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3AC28" w14:textId="4685AFBF" w:rsidR="00B91F37" w:rsidRPr="00CB49AC" w:rsidRDefault="00085489" w:rsidP="00085489">
      <w:pPr>
        <w:pStyle w:val="Title2"/>
        <w:jc w:val="center"/>
        <w:rPr>
          <w:bCs/>
          <w:color w:val="000000" w:themeColor="text1"/>
          <w:sz w:val="28"/>
          <w:szCs w:val="28"/>
          <w:lang w:val="en-GB" w:eastAsia="en-US"/>
        </w:rPr>
      </w:pPr>
      <w:r w:rsidRPr="00CB49AC">
        <w:rPr>
          <w:bCs/>
          <w:color w:val="000000" w:themeColor="text1"/>
          <w:sz w:val="28"/>
          <w:szCs w:val="28"/>
          <w:lang w:val="en-GB" w:eastAsia="en-US"/>
        </w:rPr>
        <w:t xml:space="preserve">Comparing the </w:t>
      </w:r>
      <w:r w:rsidR="004351F3" w:rsidRPr="00CB49AC">
        <w:rPr>
          <w:bCs/>
          <w:color w:val="000000" w:themeColor="text1"/>
          <w:sz w:val="28"/>
          <w:szCs w:val="28"/>
          <w:lang w:val="en-GB" w:eastAsia="en-US"/>
        </w:rPr>
        <w:t>Charge</w:t>
      </w:r>
      <w:r w:rsidR="00B91F37" w:rsidRPr="00CB49AC">
        <w:rPr>
          <w:bCs/>
          <w:color w:val="000000" w:themeColor="text1"/>
          <w:sz w:val="28"/>
          <w:szCs w:val="28"/>
          <w:lang w:val="en-GB" w:eastAsia="en-US"/>
        </w:rPr>
        <w:t xml:space="preserve"> </w:t>
      </w:r>
      <w:r w:rsidR="004351F3" w:rsidRPr="00CB49AC">
        <w:rPr>
          <w:bCs/>
          <w:color w:val="000000" w:themeColor="text1"/>
          <w:sz w:val="28"/>
          <w:szCs w:val="28"/>
          <w:lang w:val="en-GB" w:eastAsia="en-US"/>
        </w:rPr>
        <w:t xml:space="preserve">Dynamics </w:t>
      </w:r>
      <w:r w:rsidR="00546919">
        <w:rPr>
          <w:bCs/>
          <w:color w:val="000000" w:themeColor="text1"/>
          <w:sz w:val="28"/>
          <w:szCs w:val="28"/>
          <w:lang w:val="en-GB" w:eastAsia="en-US"/>
        </w:rPr>
        <w:t>of</w:t>
      </w:r>
      <w:r w:rsidR="004351F3" w:rsidRPr="00CB49AC">
        <w:rPr>
          <w:bCs/>
          <w:color w:val="000000" w:themeColor="text1"/>
          <w:sz w:val="28"/>
          <w:szCs w:val="28"/>
          <w:lang w:val="en-GB" w:eastAsia="en-US"/>
        </w:rPr>
        <w:t xml:space="preserve"> MAPbBr</w:t>
      </w:r>
      <w:r w:rsidR="004351F3" w:rsidRPr="00CB49AC">
        <w:rPr>
          <w:bCs/>
          <w:color w:val="000000" w:themeColor="text1"/>
          <w:sz w:val="28"/>
          <w:szCs w:val="28"/>
          <w:vertAlign w:val="subscript"/>
          <w:lang w:val="en-GB" w:eastAsia="en-US"/>
        </w:rPr>
        <w:t>3</w:t>
      </w:r>
      <w:r w:rsidR="004351F3" w:rsidRPr="00CB49AC">
        <w:rPr>
          <w:bCs/>
          <w:color w:val="000000" w:themeColor="text1"/>
          <w:sz w:val="28"/>
          <w:szCs w:val="28"/>
          <w:lang w:val="en-GB" w:eastAsia="en-US"/>
        </w:rPr>
        <w:t xml:space="preserve"> </w:t>
      </w:r>
      <w:r w:rsidR="00C621DC">
        <w:rPr>
          <w:bCs/>
          <w:color w:val="000000" w:themeColor="text1"/>
          <w:sz w:val="28"/>
          <w:szCs w:val="28"/>
          <w:lang w:val="en-GB" w:eastAsia="en-US"/>
        </w:rPr>
        <w:t>to</w:t>
      </w:r>
      <w:r w:rsidR="004351F3" w:rsidRPr="00CB49AC">
        <w:rPr>
          <w:bCs/>
          <w:color w:val="000000" w:themeColor="text1"/>
          <w:sz w:val="28"/>
          <w:szCs w:val="28"/>
          <w:lang w:val="en-GB" w:eastAsia="en-US"/>
        </w:rPr>
        <w:t xml:space="preserve"> MAPbI</w:t>
      </w:r>
      <w:r w:rsidR="004351F3" w:rsidRPr="00CB49AC">
        <w:rPr>
          <w:bCs/>
          <w:color w:val="000000" w:themeColor="text1"/>
          <w:sz w:val="28"/>
          <w:szCs w:val="28"/>
          <w:vertAlign w:val="subscript"/>
          <w:lang w:val="en-GB" w:eastAsia="en-US"/>
        </w:rPr>
        <w:t xml:space="preserve">3 </w:t>
      </w:r>
      <w:r w:rsidR="00546919">
        <w:rPr>
          <w:bCs/>
          <w:color w:val="000000" w:themeColor="text1"/>
          <w:sz w:val="28"/>
          <w:szCs w:val="28"/>
          <w:lang w:val="en-GB" w:eastAsia="en-US"/>
        </w:rPr>
        <w:t xml:space="preserve">using Microwave Photoconductance </w:t>
      </w:r>
      <w:r w:rsidR="0006447A">
        <w:rPr>
          <w:bCs/>
          <w:color w:val="000000" w:themeColor="text1"/>
          <w:sz w:val="28"/>
          <w:szCs w:val="28"/>
          <w:lang w:val="en-GB" w:eastAsia="en-US"/>
        </w:rPr>
        <w:t>M</w:t>
      </w:r>
      <w:r w:rsidR="00546919">
        <w:rPr>
          <w:bCs/>
          <w:color w:val="000000" w:themeColor="text1"/>
          <w:sz w:val="28"/>
          <w:szCs w:val="28"/>
          <w:lang w:val="en-GB" w:eastAsia="en-US"/>
        </w:rPr>
        <w:t>easurements</w:t>
      </w:r>
    </w:p>
    <w:p w14:paraId="0D75C4D4" w14:textId="77777777" w:rsidR="004351F3" w:rsidRPr="00CB49AC" w:rsidRDefault="004351F3" w:rsidP="00B91F37">
      <w:pPr>
        <w:pStyle w:val="Title2"/>
        <w:rPr>
          <w:bCs/>
          <w:color w:val="000000" w:themeColor="text1"/>
          <w:sz w:val="28"/>
          <w:szCs w:val="28"/>
          <w:lang w:val="en-GB" w:eastAsia="en-US"/>
        </w:rPr>
      </w:pPr>
    </w:p>
    <w:p w14:paraId="513C9FB0" w14:textId="09844328" w:rsidR="00B91F37" w:rsidRPr="00801756" w:rsidRDefault="003631C9" w:rsidP="00B91F37">
      <w:pPr>
        <w:jc w:val="center"/>
        <w:rPr>
          <w:i/>
          <w:color w:val="000000"/>
          <w:lang w:val="en-GB"/>
        </w:rPr>
      </w:pPr>
      <w:r w:rsidRPr="00801756">
        <w:rPr>
          <w:i/>
          <w:color w:val="000000"/>
          <w:lang w:val="en-GB"/>
        </w:rPr>
        <w:t xml:space="preserve">Tom J. </w:t>
      </w:r>
      <w:proofErr w:type="spellStart"/>
      <w:r w:rsidRPr="00801756">
        <w:rPr>
          <w:i/>
          <w:color w:val="000000"/>
          <w:lang w:val="en-GB"/>
        </w:rPr>
        <w:t>Savenije</w:t>
      </w:r>
      <w:proofErr w:type="spellEnd"/>
      <w:r>
        <w:rPr>
          <w:i/>
          <w:color w:val="000000"/>
          <w:lang w:val="en-GB"/>
        </w:rPr>
        <w:t>,</w:t>
      </w:r>
      <w:r>
        <w:rPr>
          <w:i/>
          <w:color w:val="000000"/>
          <w:vertAlign w:val="superscript"/>
          <w:lang w:val="en-GB"/>
        </w:rPr>
        <w:t>*</w:t>
      </w:r>
      <w:r>
        <w:rPr>
          <w:i/>
          <w:color w:val="000000"/>
          <w:lang w:val="en-GB"/>
        </w:rPr>
        <w:t xml:space="preserve"> Jiashang Zhao and </w:t>
      </w:r>
      <w:r w:rsidR="00B91F37">
        <w:rPr>
          <w:i/>
          <w:color w:val="000000"/>
          <w:lang w:val="en-GB"/>
        </w:rPr>
        <w:t>Valentina M. Caselli</w:t>
      </w:r>
    </w:p>
    <w:p w14:paraId="1DC714D5" w14:textId="77777777" w:rsidR="00B91F37" w:rsidRPr="00801756" w:rsidRDefault="00B91F37" w:rsidP="003631C9">
      <w:pPr>
        <w:pStyle w:val="Tableofcontents"/>
      </w:pPr>
    </w:p>
    <w:p w14:paraId="7976E673" w14:textId="77777777" w:rsidR="00B91F37" w:rsidRPr="00801756" w:rsidRDefault="00B91F37" w:rsidP="003631C9">
      <w:pPr>
        <w:pStyle w:val="Tableofcontents"/>
      </w:pPr>
    </w:p>
    <w:p w14:paraId="6173B705" w14:textId="24BAB0E8" w:rsidR="00B91F37" w:rsidRPr="00801756" w:rsidRDefault="00B91F37" w:rsidP="00B91F37">
      <w:pPr>
        <w:rPr>
          <w:lang w:val="en-GB"/>
        </w:rPr>
      </w:pPr>
      <w:r w:rsidRPr="00801756">
        <w:rPr>
          <w:lang w:val="en-GB"/>
        </w:rPr>
        <w:t>Keywords: perovskite</w:t>
      </w:r>
      <w:r w:rsidR="0006447A">
        <w:rPr>
          <w:lang w:val="en-GB"/>
        </w:rPr>
        <w:t>s</w:t>
      </w:r>
      <w:r w:rsidRPr="00801756">
        <w:rPr>
          <w:lang w:val="en-GB"/>
        </w:rPr>
        <w:t xml:space="preserve">, charge </w:t>
      </w:r>
      <w:r w:rsidR="00CB49AC">
        <w:rPr>
          <w:lang w:val="en-GB"/>
        </w:rPr>
        <w:t>dynamics</w:t>
      </w:r>
      <w:r w:rsidRPr="00801756">
        <w:rPr>
          <w:lang w:val="en-GB"/>
        </w:rPr>
        <w:t xml:space="preserve">, TRMC, </w:t>
      </w:r>
      <w:r>
        <w:rPr>
          <w:lang w:val="en-GB"/>
        </w:rPr>
        <w:t>transport materials, solar cells</w:t>
      </w:r>
    </w:p>
    <w:p w14:paraId="2F4134BA" w14:textId="77777777" w:rsidR="00B91F37" w:rsidRPr="00801756" w:rsidRDefault="00B91F37" w:rsidP="003631C9">
      <w:pPr>
        <w:pStyle w:val="Tableofcontents"/>
      </w:pPr>
    </w:p>
    <w:p w14:paraId="73908B59" w14:textId="6FEFC10F" w:rsidR="00B91F37" w:rsidRPr="003E7950" w:rsidRDefault="00B91F37" w:rsidP="003631C9">
      <w:pPr>
        <w:pStyle w:val="Tableofcontents"/>
        <w:rPr>
          <w:lang w:val="nl-NL"/>
        </w:rPr>
      </w:pPr>
      <w:r w:rsidRPr="003E7950">
        <w:rPr>
          <w:lang w:val="nl-NL"/>
        </w:rPr>
        <w:t>Dr. T.J. Savenije</w:t>
      </w:r>
    </w:p>
    <w:p w14:paraId="12EA63F7" w14:textId="4509C955" w:rsidR="003631C9" w:rsidRPr="003E7950" w:rsidRDefault="003631C9" w:rsidP="003631C9">
      <w:pPr>
        <w:pStyle w:val="Tableofcontents"/>
        <w:rPr>
          <w:lang w:val="nl-NL"/>
        </w:rPr>
      </w:pPr>
      <w:r w:rsidRPr="003E7950">
        <w:rPr>
          <w:lang w:val="nl-NL"/>
        </w:rPr>
        <w:t>Jiashang Zhao</w:t>
      </w:r>
    </w:p>
    <w:p w14:paraId="5BCE4CD7" w14:textId="53566814" w:rsidR="003631C9" w:rsidRPr="00801756" w:rsidRDefault="003631C9" w:rsidP="003631C9">
      <w:pPr>
        <w:pStyle w:val="Tableofcontents"/>
      </w:pPr>
      <w:r w:rsidRPr="00B91F37">
        <w:t>Valentina M. Caselli</w:t>
      </w:r>
    </w:p>
    <w:p w14:paraId="503FBE1B" w14:textId="77777777" w:rsidR="004351F3" w:rsidRDefault="004351F3" w:rsidP="00B91F37">
      <w:pPr>
        <w:pStyle w:val="Lijstalinea"/>
        <w:ind w:left="0"/>
        <w:rPr>
          <w:rFonts w:ascii="Times New Roman" w:hAnsi="Times New Roman"/>
          <w:color w:val="000000"/>
          <w:lang w:val="en-GB"/>
        </w:rPr>
      </w:pPr>
    </w:p>
    <w:p w14:paraId="0B3ED5FD" w14:textId="52FD0899" w:rsidR="00B91F37" w:rsidRPr="00801756" w:rsidRDefault="00B91F37" w:rsidP="00B91F37">
      <w:pPr>
        <w:pStyle w:val="Lijstalinea"/>
        <w:ind w:left="0"/>
        <w:rPr>
          <w:rFonts w:ascii="Times New Roman" w:hAnsi="Times New Roman"/>
          <w:color w:val="000000"/>
          <w:lang w:val="en-GB"/>
        </w:rPr>
      </w:pPr>
      <w:r w:rsidRPr="00801756">
        <w:rPr>
          <w:rFonts w:ascii="Times New Roman" w:hAnsi="Times New Roman"/>
          <w:color w:val="000000"/>
          <w:lang w:val="en-GB"/>
        </w:rPr>
        <w:t xml:space="preserve">Department of Chemical Engineering, Delft University of Technology, van der </w:t>
      </w:r>
      <w:proofErr w:type="spellStart"/>
      <w:r w:rsidRPr="00801756">
        <w:rPr>
          <w:rFonts w:ascii="Times New Roman" w:hAnsi="Times New Roman"/>
          <w:color w:val="000000"/>
          <w:lang w:val="en-GB"/>
        </w:rPr>
        <w:t>Maasweg</w:t>
      </w:r>
      <w:proofErr w:type="spellEnd"/>
      <w:r w:rsidRPr="00801756">
        <w:rPr>
          <w:rFonts w:ascii="Times New Roman" w:hAnsi="Times New Roman"/>
          <w:color w:val="000000"/>
          <w:lang w:val="en-GB"/>
        </w:rPr>
        <w:t xml:space="preserve"> 9, 2629 HZ Delft, The Netherlands</w:t>
      </w:r>
    </w:p>
    <w:p w14:paraId="4967CA1B" w14:textId="77777777" w:rsidR="00B91F37" w:rsidRDefault="00B91F37" w:rsidP="003631C9">
      <w:pPr>
        <w:pStyle w:val="Tableofcontents"/>
      </w:pPr>
    </w:p>
    <w:p w14:paraId="21B0B5A8" w14:textId="39493AF6" w:rsidR="00B91F37" w:rsidRPr="00801756" w:rsidRDefault="00B91F37" w:rsidP="003631C9">
      <w:pPr>
        <w:pStyle w:val="Tableofcontents"/>
      </w:pPr>
      <w:r w:rsidRPr="00801756">
        <w:t xml:space="preserve">E-mail: </w:t>
      </w:r>
      <w:hyperlink r:id="rId9" w:history="1">
        <w:r w:rsidRPr="00801756">
          <w:rPr>
            <w:rStyle w:val="Hyperlink"/>
          </w:rPr>
          <w:t>T.J.Savenije@tudelft.nl</w:t>
        </w:r>
      </w:hyperlink>
    </w:p>
    <w:p w14:paraId="1335BA63" w14:textId="77777777" w:rsidR="00B91F37" w:rsidRDefault="00B91F37" w:rsidP="003631C9">
      <w:pPr>
        <w:pStyle w:val="Tableofcontents"/>
      </w:pPr>
    </w:p>
    <w:p w14:paraId="1CEFC657" w14:textId="77777777" w:rsidR="00B91F37" w:rsidRDefault="00B91F37" w:rsidP="00B91F37">
      <w:pPr>
        <w:spacing w:line="480" w:lineRule="auto"/>
        <w:jc w:val="both"/>
      </w:pPr>
    </w:p>
    <w:p w14:paraId="39D394E4" w14:textId="06110C16" w:rsidR="00546919" w:rsidRDefault="00B91F37" w:rsidP="00B91F37">
      <w:pPr>
        <w:spacing w:line="480" w:lineRule="auto"/>
        <w:jc w:val="both"/>
      </w:pPr>
      <w:r w:rsidRPr="00B80147">
        <w:t xml:space="preserve">Perovskite-based </w:t>
      </w:r>
      <w:r>
        <w:t>solar cells</w:t>
      </w:r>
      <w:r w:rsidR="0006447A">
        <w:t xml:space="preserve"> </w:t>
      </w:r>
      <w:r w:rsidRPr="00B80147">
        <w:t>have been rapidly developed, with record power conversion efficiencies now exceeding 2</w:t>
      </w:r>
      <w:r>
        <w:t>5</w:t>
      </w:r>
      <w:r w:rsidRPr="00B80147">
        <w:t>%.</w:t>
      </w:r>
      <w:r w:rsidR="007D4CD4">
        <w:fldChar w:fldCharType="begin" w:fldLock="1"/>
      </w:r>
      <w:r w:rsidR="00FA4303">
        <w:instrText>ADDIN CSL_CITATION {"citationItems":[{"id":"ITEM-1","itemData":{"DOI":"10.1021/ja809598r","ISSN":"00027863","PMID":"19366264","abstract":"Two organolead halide perovskite nanocrystals, CH3NH 3PbBr3 and CH3NH3PbI3, were found to efficiently sensitize TiO2 for visible-light conversion in photoelectrochemical cells. When self-assembled on mesoporous TiO 2 films, the nanocrystalline perovskites exhibit strong band-gap absorptions as semiconductors. The CH3NH3PbI 3-based photocell with spectral sensitivity of up to 800 nm yielded a solar energy conversion efficiency of 3.8%. The CH3NH 3PbBr3-based cell showed a high photovoltage of 0.96 V with an external quantum conversion efficiency of 65%. © 2009 American Chemical Society.","author":[{"dropping-particle":"","family":"Kojima","given":"Akihiro","non-dropping-particle":"","parse-names":false,"suffix":""},{"dropping-particle":"","family":"Teshima","given":"Kenjiro","non-dropping-particle":"","parse-names":false,"suffix":""},{"dropping-particle":"","family":"Shirai","given":"Yasuo","non-dropping-particle":"","parse-names":false,"suffix":""},{"dropping-particle":"","family":"Miyasaka","given":"Tsutomu","non-dropping-particle":"","parse-names":false,"suffix":""}],"container-title":"Journal of the American Chemical Society","id":"ITEM-1","issue":"17","issued":{"date-parts":[["2009"]]},"page":"6050-6051","title":"Organometal halide perovskites as visible-light sensitizers for photovoltaic cells","type":"article-journal","volume":"131"},"uris":["http://www.mendeley.com/documents/?uuid=96401149-4050-4cce-a124-49315cd67d8c"]},{"id":"ITEM-2","itemData":{"DOI":"10.1039/c1nr10867k","ISSN":"20403364","PMID":"21897986","abstract":"Highly efficient quantum-dot-sensitized solar cell is fabricated using ca. 2-3 nm sized perovskite (CH3NH3)PbI3 nanocrystal. Spin-coating of the equimolar mixture of CH3NH 3I and PbI2 in γ-butyrolactone solution (perovskite precursor solution) leads to (CH3NH3)PbI3 quantum dots (QDs) on nanocrystalline TiO2 surface. By electrochemical junction with iodide/iodine based redox electrolyte, perovskite QD-sensitized 3.6 μm-thick TiO2 film shows maximum external quantum efficiency (EQE) of 78.6% at 530 nm and solar-to-electrical conversion efficiency of 6.54% at AM 1.5G 1 sun intensity (100 mW cm-2), which is by far the highest efficiency among the reported inorganic quantum dot sensitizers. © 2011 The Royal Society of Chemistry.","author":[{"dropping-particle":"","family":"Im","given":"Jeong Hyeok","non-dropping-particle":"","parse-names":false,"suffix":""},{"dropping-particle":"","family":"Lee","given":"Chang Ryul","non-dropping-particle":"","parse-names":false,"suffix":""},{"dropping-particle":"","family":"Lee","given":"Jin Wook","non-dropping-particle":"","parse-names":false,"suffix":""},{"dropping-particle":"","family":"Park","given":"Sang Won","non-dropping-particle":"","parse-names":false,"suffix":""},{"dropping-particle":"","family":"Park","given":"Nam Gyu","non-dropping-particle":"","parse-names":false,"suffix":""}],"container-title":"Nanoscale","id":"ITEM-2","issue":"10","issued":{"date-parts":[["2011"]]},"page":"4088-4093","title":"6.5% Efficient Perovskite Quantum-Dot-Sensitized Solar Cell","type":"article-journal","volume":"3"},"uris":["http://www.mendeley.com/documents/?uuid=8207edd9-34c1-43cf-9a67-8afc102dab75"]},{"id":"ITEM-3","itemData":{"DOI":"10.1126/science.1243982","ISBN":"1095-9203 (Electronic)\\r0036-8075 (Linking)","ISSN":"0036-8075","PMID":"24136964","abstract":"Organic-inorganic perovskites have shown promise as high-performance absorbers in solar cells, first as a coating on a mesoporous metal oxide scaffold and more recently as a solid layer in planar heterojunction architectures. Here, we report transient absorption and photoluminescence-quenching measurements to determine the electron-hole diffusion lengths, diffusion constants, and lifetimes in mixed halide (CH3NH3PbI(3-x)Cl(x)) and triiodide (CH3NH3PbI3) perovskite absorbers. We found that the diffusion lengths are greater than 1 micrometer in the mixed halide perovskite, which is an order of magnitude greater than the absorption depth. In contrast, the triiodide absorber has electron-hole diffusion lengths of ~100 nanometers. These results justify the high efficiency of planar heterojunction perovskite solar cells and identify a critical parameter to optimize for future perovskite absorber development.","author":[{"dropping-particle":"","family":"Alcocer","given":"Marcelo J P","non-dropping-particle":"","parse-names":false,"suffix":""},{"dropping-particle":"","family":"Leijtens","given":"Tomas","non-dropping-particle":"","parse-names":false,"suffix":""},{"dropping-particle":"","family":"Herz","given":"Laura M","non-dropping-particle":"","parse-names":false,"suffix":""},{"dropping-particle":"","family":"Petrozza","given":"Annamaria","non-dropping-particle":"","parse-names":false,"suffix":""},{"dropping-particle":"","family":"Snaith","given":"Henry J.","non-dropping-particle":"","parse-names":false,"suffix":""}],"container-title":"Science","id":"ITEM-3","issue":"October","issued":{"date-parts":[["2013"]]},"page":"341-344","title":"Electron-Hole Diffusion Lengths Exceeding Trihalide Perovskite Absorber","type":"article-journal","volume":"342"},"uris":["http://www.mendeley.com/documents/?uuid=d4f7ca0b-983c-433f-a72d-a0bb27691a4b"]},{"id":"ITEM-4","itemData":{"DOI":"10.1126/science.aan2301","ISSN":"10959203","PMID":"28663498","abstract":"The formation of a dense and uniform thin layer on the substrates is crucial for the fabrication of high-performance perovskite solar cells (PSCs) containing formamidinium with multiple cations and mixed halide anions. The concentration of defect states, which reduce a cell's performance by decreasing the open-circuit voltage and short-circuit current density, needs to be as low as possible. We show that the introduction of additional iodide ions into the organic cation solution, which are used to form the perovskite layers through an intramolecular exchanging process, decreases the concentration of deep-level defects. The defect-engineered thin perovskite layers enable the fabrication of PSCs with a certified power conversion efficiency of 22.1% in small cells and 19.7% in 1-square-centimeter cells.","author":[{"dropping-particle":"","family":"Yang","given":"Woon Seok","non-dropping-particle":"","parse-names":false,"suffix":""},{"dropping-particle":"","family":"Park","given":"Byung Wook","non-dropping-particle":"","parse-names":false,"suffix":""},{"dropping-particle":"","family":"Jung","given":"Eui Hyuk","non-dropping-particle":"","parse-names":false,"suffix":""},{"dropping-particle":"","family":"Jeon","given":"Nam Joong","non-dropping-particle":"","parse-names":false,"suffix":""},{"dropping-particle":"","family":"Kim","given":"Young Chan","non-dropping-particle":"","parse-names":false,"suffix":""},{"dropping-particle":"","family":"Lee","given":"Dong Uk","non-dropping-particle":"","parse-names":false,"suffix":""},{"dropping-particle":"","family":"Shin","given":"Seong Sik","non-dropping-particle":"","parse-names":false,"suffix":""},{"dropping-particle":"","family":"Seo","given":"Jangwon","non-dropping-particle":"","parse-names":false,"suffix":""},{"dropping-particle":"","family":"Kim","given":"Eun Kyu","non-dropping-particle":"","parse-names":false,"suffix":""},{"dropping-particle":"","family":"Noh","given":"Jun Hong","non-dropping-particle":"","parse-names":false,"suffix":""},{"dropping-particle":"Il","family":"Seok","given":"Sang","non-dropping-particle":"","parse-names":false,"suffix":""}],"container-title":"Science","id":"ITEM-4","issue":"6345","issued":{"date-parts":[["2017"]]},"page":"1376-1379","title":"Iodide management in formamidinium-lead-halide-based perovskite layers for efficient solar cells","type":"article-journal","volume":"356"},"uris":["http://www.mendeley.com/documents/?uuid=f66f3270-f306-43a8-adb5-f3ef4256d705"]},{"id":"ITEM-5","itemData":{"abstract":"Best Research-Cell Efficiency Chart | Photovoltaic Research | NREL","author":[{"dropping-particle":"","family":"NREL","given":"","non-dropping-particle":"","parse-names":false,"suffix":""}],"container-title":"Best Research-Cell Efficiency Chart, Photovoltaic Research","id":"ITEM-5","issued":{"date-parts":[["2022"]]},"page":"https://www.nrel.gov/pv/cell-efficiency.html","title":"Best Research-Cell Efficiencies: Rev. 19-01-2022","type":"article"},"uris":["http://www.mendeley.com/documents/?uuid=ed4fbb52-b940-4157-8b49-15648b6faa18"]}],"mendeley":{"formattedCitation":"&lt;sup&gt;[1–5]&lt;/sup&gt;","plainTextFormattedCitation":"[1–5]","previouslyFormattedCitation":"&lt;sup&gt;[1–5]&lt;/sup&gt;"},"properties":{"noteIndex":0},"schema":"https://github.com/citation-style-language/schema/raw/master/csl-citation.json"}</w:instrText>
      </w:r>
      <w:r w:rsidR="007D4CD4">
        <w:fldChar w:fldCharType="separate"/>
      </w:r>
      <w:r w:rsidR="007D4CD4" w:rsidRPr="007D4CD4">
        <w:rPr>
          <w:noProof/>
          <w:vertAlign w:val="superscript"/>
        </w:rPr>
        <w:t>[1–5]</w:t>
      </w:r>
      <w:r w:rsidR="007D4CD4">
        <w:fldChar w:fldCharType="end"/>
      </w:r>
      <w:r w:rsidRPr="00B80147">
        <w:t xml:space="preserve"> </w:t>
      </w:r>
      <w:r>
        <w:t>I</w:t>
      </w:r>
      <w:r w:rsidRPr="00B80147">
        <w:t>n order to</w:t>
      </w:r>
      <w:r>
        <w:t xml:space="preserve"> </w:t>
      </w:r>
      <w:r w:rsidRPr="00B80147">
        <w:t xml:space="preserve">rationally </w:t>
      </w:r>
      <w:r>
        <w:t>improve the efficiency of</w:t>
      </w:r>
      <w:r w:rsidRPr="00B80147">
        <w:t xml:space="preserve"> </w:t>
      </w:r>
      <w:r w:rsidR="00546919">
        <w:t>these devices</w:t>
      </w:r>
      <w:r w:rsidRPr="00B80147">
        <w:t>, it is important to understand</w:t>
      </w:r>
      <w:r w:rsidR="00AE3720">
        <w:t xml:space="preserve"> and quantify</w:t>
      </w:r>
      <w:r>
        <w:t xml:space="preserve"> the </w:t>
      </w:r>
      <w:r w:rsidR="001F137E">
        <w:t>dynamics of the excess charge</w:t>
      </w:r>
      <w:r w:rsidR="00546919">
        <w:t xml:space="preserve"> carriers</w:t>
      </w:r>
      <w:r w:rsidR="001F137E">
        <w:t xml:space="preserve"> generated on </w:t>
      </w:r>
      <w:r w:rsidR="008D50FD">
        <w:t>o</w:t>
      </w:r>
      <w:r w:rsidR="001F137E">
        <w:t xml:space="preserve">ptical excitation of the </w:t>
      </w:r>
      <w:r w:rsidR="000A58EF">
        <w:t xml:space="preserve">metal halide </w:t>
      </w:r>
      <w:r w:rsidR="001F137E">
        <w:t xml:space="preserve">perovskite </w:t>
      </w:r>
      <w:r w:rsidR="000A58EF">
        <w:t xml:space="preserve">(MHP) </w:t>
      </w:r>
      <w:r w:rsidR="001F137E">
        <w:t xml:space="preserve">absorber layer. </w:t>
      </w:r>
      <w:r w:rsidR="008D50FD">
        <w:t>Furthermore,</w:t>
      </w:r>
      <w:r w:rsidR="001F137E">
        <w:t xml:space="preserve"> knowledge regarding the charge extraction by </w:t>
      </w:r>
      <w:r w:rsidR="00AE3720">
        <w:t xml:space="preserve">charge selective </w:t>
      </w:r>
      <w:r w:rsidR="00FA51D3">
        <w:t>transport layer</w:t>
      </w:r>
      <w:r w:rsidR="000A58EF">
        <w:t>s</w:t>
      </w:r>
      <w:r>
        <w:t xml:space="preserve"> (</w:t>
      </w:r>
      <w:r w:rsidR="00AE3720">
        <w:t>CS</w:t>
      </w:r>
      <w:r w:rsidR="00FA51D3">
        <w:t>TL</w:t>
      </w:r>
      <w:r w:rsidR="000A58EF">
        <w:t>s</w:t>
      </w:r>
      <w:r>
        <w:t xml:space="preserve">) </w:t>
      </w:r>
      <w:r w:rsidR="001F137E">
        <w:t xml:space="preserve">is imperative to select proper </w:t>
      </w:r>
      <w:r w:rsidR="00E56742">
        <w:t xml:space="preserve">and stable </w:t>
      </w:r>
      <w:r w:rsidR="001F137E">
        <w:t>transport layer</w:t>
      </w:r>
      <w:r w:rsidR="00546919">
        <w:t>s</w:t>
      </w:r>
      <w:r w:rsidR="001F137E">
        <w:t xml:space="preserve"> sandwiching the absorber material</w:t>
      </w:r>
      <w:r w:rsidRPr="00B80147">
        <w:t xml:space="preserve">. </w:t>
      </w:r>
      <w:r>
        <w:t xml:space="preserve">In </w:t>
      </w:r>
      <w:r w:rsidR="00AE3720">
        <w:t xml:space="preserve">this </w:t>
      </w:r>
      <w:r w:rsidR="00085489">
        <w:t>chapter</w:t>
      </w:r>
      <w:r w:rsidR="00AE3720">
        <w:t xml:space="preserve"> we revisit some of our earlier papers in which we </w:t>
      </w:r>
      <w:r w:rsidR="00546919">
        <w:t xml:space="preserve">have </w:t>
      </w:r>
      <w:r w:rsidR="00AE3720">
        <w:t xml:space="preserve">studied </w:t>
      </w:r>
      <w:r w:rsidR="001F137E">
        <w:t>the charge dynamics</w:t>
      </w:r>
      <w:r w:rsidR="00AE3720">
        <w:t xml:space="preserve"> using the</w:t>
      </w:r>
      <w:r>
        <w:t xml:space="preserve"> </w:t>
      </w:r>
      <w:r w:rsidRPr="00B80147">
        <w:t xml:space="preserve">Time-Resolved Microwave Conductivity </w:t>
      </w:r>
      <w:r w:rsidR="00694C2A">
        <w:t xml:space="preserve">(TRMC) </w:t>
      </w:r>
      <w:r w:rsidR="00AE3720">
        <w:t xml:space="preserve">technique. </w:t>
      </w:r>
      <w:r w:rsidR="00B75048">
        <w:t xml:space="preserve">Here we will focus on two archetype </w:t>
      </w:r>
      <w:r w:rsidR="000A58EF">
        <w:t>MHP</w:t>
      </w:r>
      <w:r w:rsidR="00B75048">
        <w:t xml:space="preserve">s </w:t>
      </w:r>
      <w:r w:rsidR="00B75048" w:rsidRPr="00B75048">
        <w:rPr>
          <w:i/>
        </w:rPr>
        <w:t>i.e.</w:t>
      </w:r>
      <w:r w:rsidR="00B75048">
        <w:t xml:space="preserve"> methylammonium lead iodide (MAPbI</w:t>
      </w:r>
      <w:r w:rsidR="00B75048">
        <w:rPr>
          <w:vertAlign w:val="subscript"/>
        </w:rPr>
        <w:t>3</w:t>
      </w:r>
      <w:r w:rsidR="00B75048">
        <w:t>) and methylammonium lead bromide (MAPbBr</w:t>
      </w:r>
      <w:r w:rsidR="00B75048">
        <w:rPr>
          <w:vertAlign w:val="subscript"/>
        </w:rPr>
        <w:t>3</w:t>
      </w:r>
      <w:r w:rsidR="00B75048">
        <w:t>), which show</w:t>
      </w:r>
      <w:r w:rsidR="00546919">
        <w:t>,</w:t>
      </w:r>
      <w:r w:rsidR="00C31908">
        <w:t xml:space="preserve"> interestingly</w:t>
      </w:r>
      <w:r w:rsidR="00546919">
        <w:t>,</w:t>
      </w:r>
      <w:r w:rsidR="00B75048">
        <w:t xml:space="preserve"> rather different charge carrier dynamics. </w:t>
      </w:r>
      <w:r w:rsidR="006B77DA">
        <w:t xml:space="preserve">We will </w:t>
      </w:r>
      <w:r w:rsidR="00C31908">
        <w:t>argue</w:t>
      </w:r>
      <w:r w:rsidR="006B77DA">
        <w:t xml:space="preserve"> how these differences can be connected to variations in mobilit</w:t>
      </w:r>
      <w:r w:rsidR="00603D9A">
        <w:t>ies</w:t>
      </w:r>
      <w:r w:rsidR="006B77DA">
        <w:t xml:space="preserve"> and trap densit</w:t>
      </w:r>
      <w:r w:rsidR="00603D9A">
        <w:t>ies</w:t>
      </w:r>
      <w:r w:rsidR="006B77DA">
        <w:t xml:space="preserve">. </w:t>
      </w:r>
      <w:r w:rsidR="00603D9A">
        <w:t xml:space="preserve">Although </w:t>
      </w:r>
      <w:r w:rsidR="00570EB3">
        <w:t xml:space="preserve">photoconductivity measurements do not provide specific information regarding </w:t>
      </w:r>
      <w:r w:rsidR="00603D9A">
        <w:t>differences</w:t>
      </w:r>
      <w:r w:rsidR="00570EB3">
        <w:t xml:space="preserve"> in electron and hole mobility</w:t>
      </w:r>
      <w:r w:rsidR="006A171F">
        <w:t xml:space="preserve"> nor the type of deep trap </w:t>
      </w:r>
      <w:r w:rsidR="00603D9A">
        <w:t>states,</w:t>
      </w:r>
      <w:r w:rsidR="00570EB3">
        <w:t xml:space="preserve"> by combining the </w:t>
      </w:r>
      <w:r w:rsidR="000A58EF">
        <w:t>MHP</w:t>
      </w:r>
      <w:r w:rsidR="00570EB3">
        <w:t xml:space="preserve"> layer with </w:t>
      </w:r>
      <w:r w:rsidR="0029295F">
        <w:t xml:space="preserve">CSTLs </w:t>
      </w:r>
      <w:r w:rsidR="00603D9A">
        <w:t>these matters can be disclosed</w:t>
      </w:r>
      <w:r w:rsidR="006A171F">
        <w:t xml:space="preserve">. </w:t>
      </w:r>
    </w:p>
    <w:p w14:paraId="3EBCA139" w14:textId="27FC0540" w:rsidR="00B91F37" w:rsidRPr="00546919" w:rsidRDefault="00C31908" w:rsidP="00B91F37">
      <w:pPr>
        <w:spacing w:line="480" w:lineRule="auto"/>
        <w:jc w:val="both"/>
      </w:pPr>
      <w:r>
        <w:rPr>
          <w:lang w:val="en-GB"/>
        </w:rPr>
        <w:t xml:space="preserve">This chapter is </w:t>
      </w:r>
      <w:r w:rsidR="00546919">
        <w:rPr>
          <w:lang w:val="en-GB"/>
        </w:rPr>
        <w:t>built</w:t>
      </w:r>
      <w:r>
        <w:rPr>
          <w:lang w:val="en-GB"/>
        </w:rPr>
        <w:t xml:space="preserve"> up as follows:</w:t>
      </w:r>
      <w:r w:rsidR="00546919">
        <w:t xml:space="preserve"> </w:t>
      </w:r>
      <w:r w:rsidR="007D50C1">
        <w:rPr>
          <w:color w:val="000000" w:themeColor="text1"/>
          <w:lang w:val="en-GB"/>
        </w:rPr>
        <w:t>t</w:t>
      </w:r>
      <w:r w:rsidR="00603D9A" w:rsidRPr="00603D9A">
        <w:rPr>
          <w:color w:val="000000" w:themeColor="text1"/>
          <w:lang w:val="en-GB"/>
        </w:rPr>
        <w:t>he first section</w:t>
      </w:r>
      <w:r>
        <w:rPr>
          <w:color w:val="000000" w:themeColor="text1"/>
          <w:lang w:val="en-GB"/>
        </w:rPr>
        <w:t xml:space="preserve"> comprises</w:t>
      </w:r>
      <w:r w:rsidR="007C106E">
        <w:rPr>
          <w:color w:val="000000" w:themeColor="text1"/>
          <w:lang w:val="en-GB"/>
        </w:rPr>
        <w:t xml:space="preserve"> a short comprehensive </w:t>
      </w:r>
      <w:r>
        <w:rPr>
          <w:color w:val="000000" w:themeColor="text1"/>
          <w:lang w:val="en-GB"/>
        </w:rPr>
        <w:t>overview</w:t>
      </w:r>
      <w:r w:rsidR="007C106E">
        <w:rPr>
          <w:color w:val="000000" w:themeColor="text1"/>
          <w:lang w:val="en-GB"/>
        </w:rPr>
        <w:t xml:space="preserve"> </w:t>
      </w:r>
      <w:r>
        <w:rPr>
          <w:color w:val="000000" w:themeColor="text1"/>
          <w:lang w:val="en-GB"/>
        </w:rPr>
        <w:t>regarding</w:t>
      </w:r>
      <w:r w:rsidR="007C106E">
        <w:rPr>
          <w:color w:val="000000" w:themeColor="text1"/>
          <w:lang w:val="en-GB"/>
        </w:rPr>
        <w:t xml:space="preserve"> </w:t>
      </w:r>
      <w:r w:rsidR="00546919">
        <w:rPr>
          <w:color w:val="000000" w:themeColor="text1"/>
          <w:lang w:val="en-GB"/>
        </w:rPr>
        <w:t xml:space="preserve">the </w:t>
      </w:r>
      <w:r w:rsidR="00603D9A" w:rsidRPr="00603D9A">
        <w:rPr>
          <w:color w:val="000000" w:themeColor="text1"/>
          <w:lang w:val="en-GB"/>
        </w:rPr>
        <w:t xml:space="preserve">electrodeless TRMC technique. Section two introduces a kinetic model to obtain </w:t>
      </w:r>
      <w:r w:rsidR="00603D9A" w:rsidRPr="00603D9A">
        <w:rPr>
          <w:color w:val="000000" w:themeColor="text1"/>
          <w:lang w:val="en-GB"/>
        </w:rPr>
        <w:lastRenderedPageBreak/>
        <w:t>quantitative data</w:t>
      </w:r>
      <w:r w:rsidR="007C106E">
        <w:rPr>
          <w:color w:val="000000" w:themeColor="text1"/>
          <w:lang w:val="en-GB"/>
        </w:rPr>
        <w:t xml:space="preserve"> </w:t>
      </w:r>
      <w:r w:rsidR="007C106E" w:rsidRPr="00603D9A">
        <w:rPr>
          <w:color w:val="000000" w:themeColor="text1"/>
          <w:lang w:val="en-GB"/>
        </w:rPr>
        <w:t>from the TRMC results</w:t>
      </w:r>
      <w:r w:rsidR="00603D9A" w:rsidRPr="00603D9A">
        <w:rPr>
          <w:color w:val="000000" w:themeColor="text1"/>
          <w:lang w:val="en-GB"/>
        </w:rPr>
        <w:t xml:space="preserve">, including charge carrier mobilities and </w:t>
      </w:r>
      <w:r w:rsidR="007C106E">
        <w:rPr>
          <w:color w:val="000000" w:themeColor="text1"/>
          <w:lang w:val="en-GB"/>
        </w:rPr>
        <w:t>trap densities</w:t>
      </w:r>
      <w:r w:rsidR="00603D9A" w:rsidRPr="00603D9A">
        <w:rPr>
          <w:color w:val="000000" w:themeColor="text1"/>
          <w:lang w:val="en-GB"/>
        </w:rPr>
        <w:t xml:space="preserve">. The third section </w:t>
      </w:r>
      <w:r w:rsidR="007C106E">
        <w:rPr>
          <w:color w:val="000000" w:themeColor="text1"/>
          <w:lang w:val="en-GB"/>
        </w:rPr>
        <w:t xml:space="preserve">presents the TRMC measurements on </w:t>
      </w:r>
      <w:r w:rsidR="007C106E">
        <w:t>MAPbI</w:t>
      </w:r>
      <w:r w:rsidR="007C106E">
        <w:rPr>
          <w:vertAlign w:val="subscript"/>
        </w:rPr>
        <w:t>3</w:t>
      </w:r>
      <w:r w:rsidR="007C106E">
        <w:t xml:space="preserve"> and MAPbBr</w:t>
      </w:r>
      <w:r w:rsidR="007C106E">
        <w:rPr>
          <w:vertAlign w:val="subscript"/>
        </w:rPr>
        <w:t>3</w:t>
      </w:r>
      <w:r w:rsidR="007C106E">
        <w:rPr>
          <w:color w:val="000000" w:themeColor="text1"/>
          <w:lang w:val="en-GB"/>
        </w:rPr>
        <w:t xml:space="preserve"> including analysis</w:t>
      </w:r>
      <w:r w:rsidR="00546919">
        <w:rPr>
          <w:color w:val="000000" w:themeColor="text1"/>
          <w:lang w:val="en-GB"/>
        </w:rPr>
        <w:t xml:space="preserve"> of the decay kinetics</w:t>
      </w:r>
      <w:r w:rsidR="00603D9A" w:rsidRPr="00603D9A">
        <w:rPr>
          <w:color w:val="000000" w:themeColor="text1"/>
          <w:lang w:val="en-GB"/>
        </w:rPr>
        <w:t xml:space="preserve">. </w:t>
      </w:r>
      <w:r w:rsidR="00B5192F" w:rsidRPr="00603D9A">
        <w:rPr>
          <w:color w:val="000000" w:themeColor="text1"/>
          <w:lang w:val="en-GB"/>
        </w:rPr>
        <w:t>The</w:t>
      </w:r>
      <w:r w:rsidR="00B5192F">
        <w:rPr>
          <w:color w:val="000000" w:themeColor="text1"/>
          <w:lang w:val="en-GB"/>
        </w:rPr>
        <w:t xml:space="preserve"> found</w:t>
      </w:r>
      <w:r w:rsidR="00B5192F" w:rsidRPr="00603D9A">
        <w:rPr>
          <w:color w:val="000000" w:themeColor="text1"/>
          <w:lang w:val="en-GB"/>
        </w:rPr>
        <w:t xml:space="preserve"> mobilities will </w:t>
      </w:r>
      <w:r w:rsidR="00B5192F">
        <w:rPr>
          <w:color w:val="000000" w:themeColor="text1"/>
          <w:lang w:val="en-GB"/>
        </w:rPr>
        <w:t xml:space="preserve">be discussed and </w:t>
      </w:r>
      <w:r w:rsidR="00B5192F" w:rsidRPr="00603D9A">
        <w:rPr>
          <w:color w:val="000000" w:themeColor="text1"/>
          <w:lang w:val="en-GB"/>
        </w:rPr>
        <w:t>compared to other reported values determined by e.g. terahertz spectroscopy.</w:t>
      </w:r>
      <w:r w:rsidR="00B5192F">
        <w:rPr>
          <w:color w:val="000000" w:themeColor="text1"/>
          <w:lang w:val="en-GB"/>
        </w:rPr>
        <w:t xml:space="preserve"> </w:t>
      </w:r>
      <w:r w:rsidR="00330741">
        <w:rPr>
          <w:color w:val="000000" w:themeColor="text1"/>
          <w:lang w:val="en-GB"/>
        </w:rPr>
        <w:t>In t</w:t>
      </w:r>
      <w:r w:rsidR="00603D9A" w:rsidRPr="00603D9A">
        <w:rPr>
          <w:color w:val="000000" w:themeColor="text1"/>
          <w:lang w:val="en-GB"/>
        </w:rPr>
        <w:t xml:space="preserve">he </w:t>
      </w:r>
      <w:r w:rsidR="0029295F">
        <w:rPr>
          <w:color w:val="000000" w:themeColor="text1"/>
          <w:lang w:val="en-GB"/>
        </w:rPr>
        <w:t>last</w:t>
      </w:r>
      <w:r w:rsidR="00603D9A" w:rsidRPr="00603D9A">
        <w:rPr>
          <w:color w:val="000000" w:themeColor="text1"/>
          <w:lang w:val="en-GB"/>
        </w:rPr>
        <w:t xml:space="preserve"> section </w:t>
      </w:r>
      <w:r w:rsidR="00330741">
        <w:rPr>
          <w:color w:val="000000" w:themeColor="text1"/>
          <w:lang w:val="en-GB"/>
        </w:rPr>
        <w:t xml:space="preserve">TRMC measurements on </w:t>
      </w:r>
      <w:r w:rsidR="00546919">
        <w:rPr>
          <w:color w:val="000000" w:themeColor="text1"/>
          <w:lang w:val="en-GB"/>
        </w:rPr>
        <w:t>both</w:t>
      </w:r>
      <w:r w:rsidR="00330741">
        <w:rPr>
          <w:color w:val="000000" w:themeColor="text1"/>
          <w:lang w:val="en-GB"/>
        </w:rPr>
        <w:t xml:space="preserve"> </w:t>
      </w:r>
      <w:r w:rsidR="000A58EF">
        <w:t>MHP</w:t>
      </w:r>
      <w:r w:rsidR="00330741">
        <w:rPr>
          <w:color w:val="000000" w:themeColor="text1"/>
          <w:lang w:val="en-GB"/>
        </w:rPr>
        <w:t xml:space="preserve">s </w:t>
      </w:r>
      <w:r w:rsidR="00330741" w:rsidRPr="005B5EA2">
        <w:rPr>
          <w:color w:val="000000" w:themeColor="text1"/>
          <w:lang w:val="en-GB"/>
        </w:rPr>
        <w:t>supplied</w:t>
      </w:r>
      <w:r w:rsidR="00330741">
        <w:rPr>
          <w:color w:val="000000" w:themeColor="text1"/>
          <w:lang w:val="en-GB"/>
        </w:rPr>
        <w:t xml:space="preserve"> with different CS</w:t>
      </w:r>
      <w:r w:rsidR="000A58EF">
        <w:rPr>
          <w:color w:val="000000" w:themeColor="text1"/>
          <w:lang w:val="en-GB"/>
        </w:rPr>
        <w:t>TL</w:t>
      </w:r>
      <w:r w:rsidR="00330741">
        <w:rPr>
          <w:color w:val="000000" w:themeColor="text1"/>
          <w:lang w:val="en-GB"/>
        </w:rPr>
        <w:t>s are presented</w:t>
      </w:r>
      <w:r w:rsidR="00603D9A" w:rsidRPr="00603D9A">
        <w:rPr>
          <w:color w:val="000000" w:themeColor="text1"/>
          <w:lang w:val="en-GB"/>
        </w:rPr>
        <w:t xml:space="preserve">. </w:t>
      </w:r>
      <w:r w:rsidR="00546919">
        <w:t>The CS</w:t>
      </w:r>
      <w:r w:rsidR="000A58EF">
        <w:t>TL</w:t>
      </w:r>
      <w:r w:rsidR="00546919">
        <w:t>s comprise Spiro-</w:t>
      </w:r>
      <w:proofErr w:type="spellStart"/>
      <w:r w:rsidR="00546919">
        <w:t>OMeTAD</w:t>
      </w:r>
      <w:proofErr w:type="spellEnd"/>
      <w:r w:rsidR="00546919">
        <w:t xml:space="preserve"> </w:t>
      </w:r>
      <w:r w:rsidR="00DF3279">
        <w:t xml:space="preserve">as </w:t>
      </w:r>
      <w:r w:rsidR="00F82E22">
        <w:t xml:space="preserve">a </w:t>
      </w:r>
      <w:r w:rsidR="00DF3279">
        <w:t xml:space="preserve">hole transport layer </w:t>
      </w:r>
      <w:r w:rsidR="00546919">
        <w:t xml:space="preserve">or </w:t>
      </w:r>
      <w:r w:rsidR="00DF3279">
        <w:t xml:space="preserve">C60 as </w:t>
      </w:r>
      <w:r w:rsidR="00546919">
        <w:t>electron transport layer</w:t>
      </w:r>
      <w:r w:rsidR="00546919">
        <w:rPr>
          <w:lang w:val="en-GB"/>
        </w:rPr>
        <w:t xml:space="preserve">. </w:t>
      </w:r>
      <w:r w:rsidR="00032B2D">
        <w:rPr>
          <w:color w:val="000000" w:themeColor="text1"/>
          <w:lang w:val="en-GB"/>
        </w:rPr>
        <w:t>Possible i</w:t>
      </w:r>
      <w:r w:rsidR="00330741">
        <w:rPr>
          <w:color w:val="000000" w:themeColor="text1"/>
          <w:lang w:val="en-GB"/>
        </w:rPr>
        <w:t xml:space="preserve">mplications </w:t>
      </w:r>
      <w:r w:rsidR="00032B2D">
        <w:rPr>
          <w:color w:val="000000" w:themeColor="text1"/>
          <w:lang w:val="en-GB"/>
        </w:rPr>
        <w:t>of</w:t>
      </w:r>
      <w:r w:rsidR="00330741">
        <w:rPr>
          <w:color w:val="000000" w:themeColor="text1"/>
          <w:lang w:val="en-GB"/>
        </w:rPr>
        <w:t xml:space="preserve"> the </w:t>
      </w:r>
      <w:r w:rsidR="007B456C">
        <w:rPr>
          <w:color w:val="000000" w:themeColor="text1"/>
          <w:lang w:val="en-GB"/>
        </w:rPr>
        <w:t xml:space="preserve">mobilities </w:t>
      </w:r>
      <w:r w:rsidR="00032B2D">
        <w:rPr>
          <w:color w:val="000000" w:themeColor="text1"/>
          <w:lang w:val="en-GB"/>
        </w:rPr>
        <w:t>and trap densities, which determine the</w:t>
      </w:r>
      <w:r w:rsidR="0029295F">
        <w:rPr>
          <w:color w:val="000000" w:themeColor="text1"/>
          <w:lang w:val="en-GB"/>
        </w:rPr>
        <w:t xml:space="preserve"> charge carrier diffusion lengths</w:t>
      </w:r>
      <w:r w:rsidR="00032B2D">
        <w:rPr>
          <w:color w:val="000000" w:themeColor="text1"/>
          <w:lang w:val="en-GB"/>
        </w:rPr>
        <w:t>,</w:t>
      </w:r>
      <w:r w:rsidR="00330741">
        <w:rPr>
          <w:color w:val="000000" w:themeColor="text1"/>
          <w:lang w:val="en-GB"/>
        </w:rPr>
        <w:t xml:space="preserve"> </w:t>
      </w:r>
      <w:r w:rsidR="0029295F">
        <w:rPr>
          <w:color w:val="000000" w:themeColor="text1"/>
          <w:lang w:val="en-GB"/>
        </w:rPr>
        <w:t>on the charge collection and performance of a corresponding cell</w:t>
      </w:r>
      <w:r w:rsidR="00330741">
        <w:rPr>
          <w:color w:val="000000" w:themeColor="text1"/>
          <w:lang w:val="en-GB"/>
        </w:rPr>
        <w:t xml:space="preserve"> will be discussed. </w:t>
      </w:r>
    </w:p>
    <w:p w14:paraId="3CDAAA2B" w14:textId="77777777" w:rsidR="00CB49AC" w:rsidRDefault="00CB49AC" w:rsidP="001D6716">
      <w:pPr>
        <w:pStyle w:val="Head1"/>
      </w:pPr>
    </w:p>
    <w:p w14:paraId="55E22C00" w14:textId="0E04EA0E" w:rsidR="009742A8" w:rsidRPr="005B5EA2" w:rsidRDefault="00CB49AC" w:rsidP="001D6716">
      <w:pPr>
        <w:pStyle w:val="Head1"/>
        <w:rPr>
          <w:b/>
        </w:rPr>
      </w:pPr>
      <w:r w:rsidRPr="005B5EA2">
        <w:rPr>
          <w:b/>
        </w:rPr>
        <w:t>Section 1: Time-Resolved Microwave Conductivity</w:t>
      </w:r>
    </w:p>
    <w:p w14:paraId="47A584C3" w14:textId="192ACDD9" w:rsidR="00CB49AC" w:rsidRPr="00CF6004" w:rsidRDefault="00CB49AC" w:rsidP="001D6716">
      <w:pPr>
        <w:pStyle w:val="Head1"/>
      </w:pPr>
      <w:r w:rsidRPr="00CF6004">
        <w:t>The TRMC technique can be used to study the dynamics of photo-induced charge carriers in semiconductor materials with low background conductivities.</w:t>
      </w:r>
      <w:r w:rsidR="00021102">
        <w:fldChar w:fldCharType="begin" w:fldLock="1"/>
      </w:r>
      <w:r w:rsidR="00021102">
        <w:instrText xml:space="preserve">ADDIN CSL_CITATION {"citationItems":[{"id":"ITEM-1","itemData":{"DOI":"10.1021/jp0217738","ISSN":"15206106","abstract":"The flash-photolysis time-resolved microwave conductivity technique (FP-TRMC) has been used to study photoinduced charge separation in bilayers consisting of a smooth, transparent, 80 nm thick layer of anatase TiO 2 onto which poly(3-hexylthiophene) (P3HT) sensitizer layers have been spin-coated. Interfacial charge separation, resulting from excitation of the polymer in the visible, is found to persist well into the millisecond time domain. Photoconductivity action spectra have been measured between 420 and 700 nm for P3HT layer thicknesses, L, from </w:instrText>
      </w:r>
      <w:r w:rsidR="00021102">
        <w:rPr>
          <w:rFonts w:ascii="Cambria Math" w:hAnsi="Cambria Math" w:cs="Cambria Math"/>
        </w:rPr>
        <w:instrText>∼</w:instrText>
      </w:r>
      <w:r w:rsidR="00021102">
        <w:instrText>2 to 200 nm. Using this electrodeless technique, the bilayers could be irradiated from either the polymer (\"front\") or semiconductor (\"back\") side. On front-side irradiation at 540 nm (close to the absorption maximum of the polymer), the efficiency of charge separation per incident photon (IPCSE) initially increased to a maximum value of 0.8% for L ≈ 10 nm. For thicker layers the IPCSE gradually decreased, eventually to 0.1% for L ≈ 170 nm. On back-side irradiation the IPCSE increased over the first 10 nm to a value close to the maximum found for front-side irradiation, and decreased only slightly for further increase in layer thickness. Analytical expressions for the thickness dependence based on exciton diffusion with a Lambert - Beer excitation profile have been used to fit the experimental data. Best fits were obtained for an exciton</w:instrText>
      </w:r>
      <w:r w:rsidR="00021102">
        <w:rPr>
          <w:rFonts w:hint="eastAsia"/>
        </w:rPr>
        <w:instrText xml:space="preserve"> diffusion length, </w:instrText>
      </w:r>
      <w:r w:rsidR="00021102">
        <w:rPr>
          <w:rFonts w:hint="eastAsia"/>
        </w:rPr>
        <w:instrText>∧</w:instrText>
      </w:r>
      <w:r w:rsidR="00021102">
        <w:rPr>
          <w:rFonts w:hint="eastAsia"/>
        </w:rPr>
        <w:instrText xml:space="preserve"> (=</w:instrText>
      </w:r>
      <w:r w:rsidR="00021102">
        <w:rPr>
          <w:rFonts w:hint="eastAsia"/>
        </w:rPr>
        <w:instrText>√</w:instrText>
      </w:r>
      <w:r w:rsidR="00021102">
        <w:rPr>
          <w:rFonts w:hint="eastAsia"/>
        </w:rPr>
        <w:instrText>(D</w:instrText>
      </w:r>
      <w:r w:rsidR="00021102">
        <w:rPr>
          <w:rFonts w:hint="eastAsia"/>
        </w:rPr>
        <w:instrText>τ</w:instrText>
      </w:r>
      <w:r w:rsidR="00021102">
        <w:rPr>
          <w:rFonts w:hint="eastAsia"/>
        </w:rPr>
        <w:instrText xml:space="preserve">) with D the diffusion coefficient and </w:instrText>
      </w:r>
      <w:r w:rsidR="00021102">
        <w:rPr>
          <w:rFonts w:hint="eastAsia"/>
        </w:rPr>
        <w:instrText>τ</w:instrText>
      </w:r>
      <w:r w:rsidR="00021102">
        <w:rPr>
          <w:rFonts w:hint="eastAsia"/>
        </w:rPr>
        <w:instrText xml:space="preserve"> the natural lifetime), of 5.3 or 2.6 nm depending on whether excitons were taken to be reflected or quenched at the polymer/gas interface, respectively. The IPCSE decreased at high light </w:instrText>
      </w:r>
      <w:r w:rsidR="00021102">
        <w:instrText>intensities; an effect that is attributed to the occurrence of exciton - exciton annihilation within the polymer layer.","author":[{"dropping-particle":"","family":"Kroeze","given":"Jessica E.","non-dropping-particle":"","parse-names":false,"suffix":""},{"dropping-particle":"","family":"Savenije","given":"Tom J.","non-dropping-particle":"","parse-names":false,"suffix":""},{"dropping-particle":"","family":"Vermeulen","given":"Martien J.W.","non-dropping-particle":"","parse-names":false,"suffix":""},{"dropping-particle":"","family":"Warman","given":"John M.","non-dropping-particle":"","parse-names":false,"suffix":""}],"container-title":"Journal of Physical Chemistry B","id":"ITEM-1","issue":"31","issued":{"date-parts":[["2003"]]},"page":"7696-7705","title":"Contactless determination of the photoconductivity action spectrum, exciton diffusion length, and charge separation efficiency in polythiophene-sensitized TiO2 bilayers","type":"article-journal","volume":"107"},"uris":["http://www.mendeley.com/documents/?uuid=9b0c1beb-a558-4bbb-9273-cb4809546f91"]},{"id":"ITEM-2","itemData":{"DOI":"10.1021/cm049577w","ISSN":"08974756","abstract":"A review is given of the one-dimensional, intrachain and intracolumnar, charge mobilities, Σμ1D, determined for π-bond-conjugated polymeric and for π-π-stacked columnar discotic materials using the pulse-radiolysis time-resolved microwave conductivity technique. The largest values, on the order of 10 cm2/(V s), are found for single-crystal polydiacetylenes polymerized either thermally or with low doses of radiation. Much lower values of Σμ1D, covering the range from 0.009 to 0.125 cm2/(V s), are found for solution-synthesized conjugated polymers for which six different backbone structures have been investigated. This is attributed mainly to their complex morphology and the resulting static disorder in the backbone structure. The highest mobilities for this class of material, ca. 0.1 cm2/(V s), are found for liquid crystalline derivatives of polyfluorene and poly(phenylenevinylene). Larger mobilities are found for discotic materials, with maximum values close to 1 cm2/(V s) in both the crystalline solid and liquid crystalline phases. This is attributed to their self-organizing nature and hence higher degree of structural order, which compensates for the weaker electronic coupling between monomeric units in the discotics compared with the covalently bonded conjugated polymers.","author":[{"dropping-particle":"","family":"Warman","given":"John M.","non-dropping-particle":"","parse-names":false,"suffix":""},{"dropping-particle":"","family":"Haas","given":"Matthijs P.","non-dropping-particle":"De","parse-names":false,"suffix":""},{"dropping-particle":"","family":"Dicker","given":"Gerald","non-dropping-particle":"","parse-names":false,"suffix":""},{"dropping-particle":"","family":"Grozema","given":"Ferdinand C.","non-dropping-particle":"","parse-names":false,"suffix":""},{"dropping-particle":"","family":"Piris","given":"Jorge","non-dropping-particle":"","parse-names":false,"suffix":""},{"dropping-particle":"","family":"Debije","given":"Michael G.","non-dropping-particle":"","parse-names":false,"suffix":""}],"container-title":"Chemistry of Materials","id":"ITEM-2","issue":"23","issued":{"date-parts":[["2004"]]},"page":"4600-4609","title":"Charge mobilities in organic semiconducting materials determined by pulse-radiolysis time-resolved microwave conductivity: π-Bond-conjugated polymers versus π-π-stacked discotics","type":"article-journal","volume":"16"},"uris":["http://www.mendeley.com/documents/?uuid=2fa84fc8-2ff7-43e9-889c-dd8565bcb9a3"]},{"id":"ITEM-3","itemData":{"DOI":"10.1021/jp406706u","ISSN":"19327447","abstract":"During the past decade, time-resolved microwave conductivity (TRMC) has evolved to an established, powerful technique to study photoactive layers. With this feature paper, we aim to fulfill two goals: (1) give a full description of the photoinduced TRMC technique, including experimental details and data analysis, and discuss to what extent the TRMC technique differs from more conventional DC techniques and (2) illustrate the potential of this technique for probing charge carrier dynamics in photoactive materials. For these reasons recent studies on conjugated polymer:fullerene blends will be presented and discussed. The findings from these studies have advanced the insight into the mechanism of charge carrier generation and decay in polymer:fullerene blends, which allows us to improve the efficiency of organic photovoltaic cells based on this active layer architecture. In short, it is shown how the TRMC technique can be used as a versatile method to screen the potential of new photovoltaic materials. © 2013 American Chemical Society.","author":[{"dropping-particle":"","family":"Savenije","given":"Tom J.","non-dropping-particle":"","parse-names":false,"suffix":""},{"dropping-particle":"","family":"Ferguson","given":"Andrew J.","non-dropping-particle":"","parse-names":false,"suffix":""},{"dropping-particle":"","family":"Kopidakis","given":"Nikos","non-dropping-particle":"","parse-names":false,"suffix":""},{"dropping-particle":"","family":"Rumbles","given":"Garry","non-dropping-particle":"","parse-names":false,"suffix":""}],"container-title":"Journal of Physical Chemistry C","id":"ITEM-3","issue":"46","issued":{"date-parts":[["2013","11","21"]]},"page":"24085-24103","title":"Revealing the dynamics of charge carriers in polymer:fullerene blends using photoinduced time-resolved microwave conductivity","type":"article-journal","volume":"117"},"uris":["http://www.mendeley.com/documents/?uuid=0068ae92-ee79-36fc-9335-4406946d5bfc"]},{"id":"ITEM-4","itemData":{"DOI":"10.1021/ja506936f","ISSN":"15205126","abstract":"The intriguing photoactive features of organic-inorganic hybrid perovskites have enabled the preparation of a new class of highly efficient solar cells. However, the fundamental properties, upon which the performance of these devices is based, are currently under-explored, making their elucidation a vital issue. Herein, we have investigated the local mobility, recombination, and energetic landscape of charge carriers in a prototype CH3NH3PbI3 perovskite (PVK) using a laser-flash time-resolved microwave conductivity (TRMC) technique. PVK was prepared on mesoporous TiO2 and Al2O3 by one or two-step sequential deposition. PVK on mesoporous TiO2 exhibited a charge carrier mobility of 20 cm2 V-1 s-1, which was predominantly attributed to holes. PVK on mesoporous Al2O3, on the other hand, exhibited a 50% lower mobility, which was resolved into balanced contributions from both holes and electrons. A general correlation between crystal size and mobility was revealed irrespective of the fabrication process and underlying layer. Modulating the microwave frequency from 9 toward 23 GHz allowed us to determine the intrinsic mobilities of each PVK sample (60-75 cm2 V-1 s-1), which were mostly independent of the mesoporous scaffold. Kinetic and frequency analysis of the transient complex conductivity strongly support the superiority of the perovskite, based on a significant suppression of charge recombination, an extremely shallow trap depth (10 meV), and a low concentration of these trapped states (less than 10%). The transport mechanism was further investigated by examining the temperature dependence of the TRMC maxima. Our study provides a basis for understanding perovskite solar cell operation, while highlighting the importance of the mesoporous layer and the perovskite fabrication process.","author":[{"dropping-particle":"","family":"Oga","given":"Hikaru","non-dropping-particle":"","parse-names":false,"suffix":""},{"dropping-particle":"","family":"Saeki","given":"Akinori","non-dropping-particle":"","parse-names":false,"suffix":""},{"dropping-particle":"","family":"Ogomi","given":"Yuhei","non-dropping-particle":"","parse-names":false,"suffix":""},{"dropping-particle":"","family":"Hayase","given":"Shuzi","non-dropping-particle":"","parse-names":false,"suffix":""},{"dropping-particle":"","family":"Seki","given":"Shu","non-dropping-particle":"","parse-names":false,"suffix":""}],"container-title":"Journal of the American Chemical Society","id":"ITEM-4","issue":"39","issued":{"date-parts":[["2014"]]},"page":"13818-13825","title":"Improved understanding of the electronic and energetic landscapes of perovskite solar cells: High local charge carrier mobility, reduced recombination, and extremely shallow traps","type":"article-journal","volume":"136"},"uris":["http://www.mendeley.com/documents/?uuid=dc67e5de-735d-4bbd-9728-766272d23956"]},{"id":"ITEM-5","itemData":{"author":[{"dropping-particle":"","family":"Hutter","given":"Eline M","non-dropping-particle":"","parse-names":false,"suffix":""},{"dropping-particle":"","family":"Savenije","given":"Tom J","non-dropping-particle":"","parse-names":false,"suffix":""},{"dropping-particle":"","family":"Ponseca Jr","given":"Carlito S","non-dropping-particle":"","parse-names":false,"suffix":""}],"container-title":"Perovskite Solar Cells: Principle, Materials and Devices","id":"ITEM-5","issued":{"date-parts":[["2017"]]},"page":"179-232","publisher":"World Scientific Publishing Co. Pte. Ltd.","title":"Time-Resolved Photoconductivity Measurements on Organometal Halide Perovskites","type":"chapter"},"uris":["http://www.mendeley.com/documents/?uuid=a835d845-aa9c-4c26-8435-55119dfd093b"]}],"mendeley":{"formattedCitation":"&lt;sup&gt;[6–10]&lt;/sup&gt;","plainTextFormattedCitation":"[6–10]","previouslyFormattedCitation":"&lt;sup&gt;[6–10]&lt;/sup&gt;"},"properties":{"noteIndex":0},"schema":"https://github.com/citation-style-language/schema/raw/master/csl-citation.json"}</w:instrText>
      </w:r>
      <w:r w:rsidR="00021102">
        <w:fldChar w:fldCharType="separate"/>
      </w:r>
      <w:r w:rsidR="00021102" w:rsidRPr="00021102">
        <w:rPr>
          <w:noProof/>
          <w:vertAlign w:val="superscript"/>
        </w:rPr>
        <w:t>[6–10]</w:t>
      </w:r>
      <w:r w:rsidR="00021102">
        <w:fldChar w:fldCharType="end"/>
      </w:r>
      <w:r w:rsidRPr="00CF6004">
        <w:t xml:space="preserve"> This technique is based on the interaction between the electric field component of </w:t>
      </w:r>
      <w:r w:rsidR="00B756C4" w:rsidRPr="00CF6004">
        <w:t xml:space="preserve">the </w:t>
      </w:r>
      <w:r w:rsidRPr="00CF6004">
        <w:t>microwaves (GHz regime) and mobile carriers</w:t>
      </w:r>
      <w:r w:rsidR="00BA5B79">
        <w:t xml:space="preserve"> </w:t>
      </w:r>
      <w:r w:rsidR="00081B57" w:rsidRPr="00CF6004">
        <w:t>(see Figure 1)</w:t>
      </w:r>
      <w:r w:rsidR="007D50C1" w:rsidRPr="00CF6004">
        <w:t>.</w:t>
      </w:r>
      <w:r w:rsidRPr="00CF6004">
        <w:t xml:space="preserve"> Hence, the photoconductivity can be determined without contacting the semiconductor to electrodes, thereby avoiding interfacial effects or undesired chemical reactions between the MHP and the metallic electrodes</w:t>
      </w:r>
      <w:r w:rsidR="00231E48" w:rsidRPr="00CF6004">
        <w:t>.</w:t>
      </w:r>
      <w:r w:rsidR="00231E48" w:rsidRPr="00CF6004">
        <w:fldChar w:fldCharType="begin" w:fldLock="1"/>
      </w:r>
      <w:r w:rsidR="00021102">
        <w:instrText>ADDIN CSL_CITATION {"citationItems":[{"id":"ITEM-1","itemData":{"DOI":"10.1063/1.5083812","ISSN":"2166532X","abstract":"Chemical reactivity of halide perovskites coupled with a low energy of formation makes it a challenge to characterize material properties and achieve long-Term device stability. In this study, we elucidate electrochemical reactions occurring at the methylammonium lead triiodide (MAPbI3)/Au interface. X-ray photoemission spectroscopy is used to identify a type of reduction/oxidation reaction termed underpotential deposition (UPD) involving lead, iodine, and hydrogen occurring at interfaces with noble metals. Changes in surface compositions and oxidation states suggest that UPD derived adsorbates at MAPbI3/Au interfaces lower the energy barrier for release of volatile HI and/or I2 catalyzing degradation at exposed contacts. Additionally, comparison to PbI2/Au interfaces demonstrates that the presence of methylammonium/methylamine accelerates the formation of a Pb0 adlayer on the Au. Reactions involving UPD Pb0 can transform the typically anodic (hole collecting) Au to a cathode in a photovoltaic measurement. Cyclic voltammetry reveals electrochemical reaction peaks in indium tin oxide (ITO)/MAPbI3/Au devices occurring within voltage ranges commonly used for perovskite characterization. The electrochemical stability window of this device architecture is measured to be between-0.5 V and 0.9 V. Voltage induced interfacial reactions contribute to reversible electrochemical peaks, hysteresis, switchable perovskite diode polarity, and permanent degradation at larger voltages. These types of surface reactions alter the interface/interphase composition beyond ion accumulation, provide a source for the diffusion of defects, and contribute to electrode material dependent current-voltage hysteresis. Moreover, the results imply fundamental limitations to achieving high device stability with noble metals and/or methylammonium containing perovskites.","author":[{"dropping-particle":"","family":"Kerner","given":"Ross A.","non-dropping-particle":"","parse-names":false,"suffix":""},{"dropping-particle":"","family":"Schulz","given":"Philip","non-dropping-particle":"","parse-names":false,"suffix":""},{"dropping-particle":"","family":"Christians","given":"Jeffrey A.","non-dropping-particle":"","parse-names":false,"suffix":""},{"dropping-particle":"","family":"Dunfield","given":"Sean P.","non-dropping-particle":"","parse-names":false,"suffix":""},{"dropping-particle":"","family":"Dou","given":"Benjia","non-dropping-particle":"","parse-names":false,"suffix":""},{"dropping-particle":"","family":"Zhao","given":"Lianfeng","non-dropping-particle":"","parse-names":false,"suffix":""},{"dropping-particle":"","family":"Teeter","given":"Glenn","non-dropping-particle":"","parse-names":false,"suffix":""},{"dropping-particle":"","family":"Berry","given":"Joseph J.","non-dropping-particle":"","parse-names":false,"suffix":""},{"dropping-particle":"","family":"Rand","given":"Barry P.","non-dropping-particle":"","parse-names":false,"suffix":""}],"container-title":"APL Materials","id":"ITEM-1","issue":"4","issued":{"date-parts":[["2019"]]},"title":"Reactions at noble metal contacts with methylammonium lead triiodide perovskites: Role of underpotential deposition and electrochemistry","type":"article-journal","volume":"7"},"uris":["http://www.mendeley.com/documents/?uuid=86b93ccb-bf81-4679-b175-8513ac61ab91"]},{"id":"ITEM-2","itemData":{"DOI":"10.1021/acsenergylett.6b00320","ISSN":"23808195","abstract":"We report a comprehensive study of the chemistry of perovskite optoelectronic device degradation and show that redox reactions are fundamental to the degradation process for CH3NH3PbI3, CsPbI3, and CsPbBr3 perovskites with Ag, Al, Yb, or Cr contacts. Using in situ X-ray diffraction measurements, we study the chemistry of CH3NH3PbI3 perovskite devices equipped with Al electrodes; we find that Al0 rapidly reduces Pb2+ to Pb0, converting CH3NH3PbI3 first to (CH3NH3)4PbI6·2H2O and then to CH3NH3I. In situ scanning electron microscopy measurements show that moisture enables continued reaction of the Al and perovskite layers by facilitating ion diffusion, before serving as a decomposition reagent for the perovskite film. Redox reactions follow what is expected based on standard electrochemical potentials for Al, Cr, and Yb; for Ag, the redox chemistry is enabled by the presence of iodide. We emphasize that critical chemical reactions can stem from intrinsic interfacial interactions between the layers in a device and not necessarily from external agents; degradation studies must consider the device as an entity, rather than focusing only on the stability of perovskite films.","author":[{"dropping-particle":"","family":"Zhao","given":"Lianfeng","non-dropping-particle":"","parse-names":false,"suffix":""},{"dropping-particle":"","family":"Kerner","given":"Ross A.","non-dropping-particle":"","parse-names":false,"suffix":""},{"dropping-particle":"","family":"Xiao","given":"Zhengguo","non-dropping-particle":"","parse-names":false,"suffix":""},{"dropping-particle":"","family":"Lin","given":"Yunhui L.","non-dropping-particle":"","parse-names":false,"suffix":""},{"dropping-particle":"","family":"Lee","given":"Kyung Min","non-dropping-particle":"","parse-names":false,"suffix":""},{"dropping-particle":"","family":"Schwartz","given":"Jeffrey","non-dropping-particle":"","parse-names":false,"suffix":""},{"dropping-particle":"","family":"Rand","given":"Barry P.","non-dropping-particle":"","parse-names":false,"suffix":""}],"container-title":"ACS Energy Letters","id":"ITEM-2","issue":"3","issued":{"date-parts":[["2016"]]},"page":"595-602","title":"Redox Chemistry Dominates the Degradation and Decomposition of Metal Halide Perovskite Optoelectronic Devices","type":"article-journal","volume":"1"},"uris":["http://www.mendeley.com/documents/?uuid=7cc581fe-a5f2-447c-914a-be2e16a42bca"]}],"mendeley":{"formattedCitation":"&lt;sup&gt;[11,12]&lt;/sup&gt;","plainTextFormattedCitation":"[11,12]","previouslyFormattedCitation":"&lt;sup&gt;[11,12]&lt;/sup&gt;"},"properties":{"noteIndex":0},"schema":"https://github.com/citation-style-language/schema/raw/master/csl-citation.json"}</w:instrText>
      </w:r>
      <w:r w:rsidR="00231E48" w:rsidRPr="00CF6004">
        <w:fldChar w:fldCharType="separate"/>
      </w:r>
      <w:r w:rsidR="00021102" w:rsidRPr="00021102">
        <w:rPr>
          <w:noProof/>
          <w:vertAlign w:val="superscript"/>
        </w:rPr>
        <w:t>[11,12]</w:t>
      </w:r>
      <w:r w:rsidR="00231E48" w:rsidRPr="00CF6004">
        <w:fldChar w:fldCharType="end"/>
      </w:r>
    </w:p>
    <w:p w14:paraId="314DAD5C" w14:textId="1083F742" w:rsidR="00081B57" w:rsidRDefault="00081B57" w:rsidP="001D6716">
      <w:pPr>
        <w:pStyle w:val="Head1"/>
      </w:pPr>
      <w:r w:rsidRPr="00AF1DA5">
        <w:rPr>
          <w:noProof/>
        </w:rPr>
        <w:drawing>
          <wp:inline distT="0" distB="0" distL="0" distR="0" wp14:anchorId="300B0FF5" wp14:editId="1600696B">
            <wp:extent cx="4492800" cy="14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2800" cy="1443600"/>
                    </a:xfrm>
                    <a:prstGeom prst="rect">
                      <a:avLst/>
                    </a:prstGeom>
                  </pic:spPr>
                </pic:pic>
              </a:graphicData>
            </a:graphic>
          </wp:inline>
        </w:drawing>
      </w:r>
    </w:p>
    <w:p w14:paraId="31B16B2E" w14:textId="391F8CA3" w:rsidR="00081B57" w:rsidRPr="00CF6004" w:rsidRDefault="00081B57" w:rsidP="001D6716">
      <w:pPr>
        <w:pStyle w:val="Head1"/>
      </w:pPr>
      <w:r w:rsidRPr="00CF6004">
        <w:t>Figure 1. Representation of photo-induced time-resolved microwave conductivity technique. In essence the MHP is optically excited by a short laser pulse, yielding excess charge car</w:t>
      </w:r>
      <w:r w:rsidR="00F82E22" w:rsidRPr="00CF6004">
        <w:t>r</w:t>
      </w:r>
      <w:r w:rsidRPr="00CF6004">
        <w:t xml:space="preserve">iers. </w:t>
      </w:r>
      <w:r w:rsidRPr="00474E41">
        <w:rPr>
          <w:color w:val="000000" w:themeColor="text1"/>
        </w:rPr>
        <w:t>These carriers interact with microwaves, resulting in a reduction of the microwave power which is measured on nanosecond timescales. TRMC is used to measure the photo-conductance</w:t>
      </w:r>
      <w:r w:rsidR="00122BF2" w:rsidRPr="00474E41">
        <w:rPr>
          <w:color w:val="000000" w:themeColor="text1"/>
        </w:rPr>
        <w:t>,</w:t>
      </w:r>
      <w:r w:rsidRPr="00474E41">
        <w:rPr>
          <w:color w:val="000000" w:themeColor="text1"/>
        </w:rPr>
        <w:t xml:space="preserve"> </w:t>
      </w:r>
      <w:r w:rsidRPr="00CF6004">
        <w:t xml:space="preserve">which scales with the time-dependent concentration </w:t>
      </w:r>
      <w:r w:rsidRPr="00CF6004">
        <w:rPr>
          <w:i/>
        </w:rPr>
        <w:t>n</w:t>
      </w:r>
      <w:r w:rsidRPr="00CF6004">
        <w:t xml:space="preserve"> and mobility </w:t>
      </w:r>
      <w:r w:rsidRPr="00CF6004">
        <w:rPr>
          <w:i/>
        </w:rPr>
        <w:t>μ</w:t>
      </w:r>
      <w:r w:rsidRPr="00CF6004">
        <w:t xml:space="preserve"> of free electrons and holes. </w:t>
      </w:r>
      <w:r w:rsidRPr="00CF6004">
        <w:lastRenderedPageBreak/>
        <w:t>The sinusoidal (dashed) line represents the magnitude of the microwave electric field as it passes through the (excited) MHP.</w:t>
      </w:r>
    </w:p>
    <w:p w14:paraId="222A795C" w14:textId="77777777" w:rsidR="00081B57" w:rsidRPr="00CF6004" w:rsidRDefault="00081B57" w:rsidP="001D6716">
      <w:pPr>
        <w:pStyle w:val="Head1"/>
      </w:pPr>
    </w:p>
    <w:p w14:paraId="33E30EC6" w14:textId="3EA2EE3B" w:rsidR="00CB49AC" w:rsidRPr="00CF6004" w:rsidRDefault="00CB49AC" w:rsidP="001D6716">
      <w:pPr>
        <w:pStyle w:val="Head1"/>
      </w:pPr>
      <w:r w:rsidRPr="00CF6004">
        <w:t xml:space="preserve">In general, if photo-excitation of a material results in the generation of free, mobile charge carriers, the conductivity of this material </w:t>
      </w:r>
      <w:r w:rsidR="00B756C4" w:rsidRPr="00CF6004">
        <w:t>change</w:t>
      </w:r>
      <w:r w:rsidR="00261D5D" w:rsidRPr="00CF6004">
        <w:t>s</w:t>
      </w:r>
      <w:r w:rsidRPr="00CF6004">
        <w:t xml:space="preserve">. </w:t>
      </w:r>
      <w:r w:rsidR="00261D5D" w:rsidRPr="00CF6004">
        <w:t>T</w:t>
      </w:r>
      <w:r w:rsidRPr="00CF6004">
        <w:t xml:space="preserve">he electrical conductivity, </w:t>
      </w:r>
      <w:r w:rsidRPr="00CF6004">
        <w:rPr>
          <w:i/>
        </w:rPr>
        <w:t>σ</w:t>
      </w:r>
      <w:r w:rsidRPr="00CF6004">
        <w:t xml:space="preserve"> scales with the concentration of free charge carriers, </w:t>
      </w:r>
      <w:r w:rsidRPr="00CF6004">
        <w:rPr>
          <w:i/>
        </w:rPr>
        <w:t>n</w:t>
      </w:r>
      <w:r w:rsidRPr="00CF6004">
        <w:t xml:space="preserve"> and their mobility </w:t>
      </w:r>
      <w:r w:rsidRPr="00CF6004">
        <w:rPr>
          <w:i/>
        </w:rPr>
        <w:t>μ</w:t>
      </w:r>
      <w:r w:rsidRPr="00CF6004">
        <w:t xml:space="preserve"> according to:</w:t>
      </w:r>
    </w:p>
    <w:p w14:paraId="28BA84EB" w14:textId="35BD9532" w:rsidR="00CB49AC" w:rsidRPr="00F228B4" w:rsidRDefault="00596B3B" w:rsidP="001D6716">
      <w:pPr>
        <w:pStyle w:val="Head1"/>
        <w:rPr>
          <w:b/>
        </w:rPr>
      </w:pPr>
      <m:oMath>
        <m:r>
          <w:rPr>
            <w:rFonts w:ascii="Cambria Math" w:hAnsi="Cambria Math"/>
          </w:rPr>
          <m:t>σ</m:t>
        </m:r>
        <m:r>
          <m:rPr>
            <m:sty m:val="p"/>
          </m:rPr>
          <w:rPr>
            <w:rFonts w:ascii="Cambria Math" w:hAnsi="Cambria Math"/>
          </w:rPr>
          <m:t>=</m:t>
        </m:r>
        <m:r>
          <w:rPr>
            <w:rFonts w:ascii="Cambria Math" w:hAnsi="Cambria Math"/>
          </w:rPr>
          <m:t>e</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n</m:t>
                </m:r>
              </m:e>
              <m:sub>
                <m:r>
                  <w:rPr>
                    <w:rFonts w:ascii="Cambria Math" w:hAnsi="Cambria Math"/>
                  </w:rPr>
                  <m:t>i</m:t>
                </m:r>
              </m:sub>
            </m:sSub>
            <m:sSub>
              <m:sSubPr>
                <m:ctrlPr>
                  <w:rPr>
                    <w:rFonts w:ascii="Cambria Math" w:hAnsi="Cambria Math"/>
                  </w:rPr>
                </m:ctrlPr>
              </m:sSubPr>
              <m:e>
                <m:r>
                  <w:rPr>
                    <w:rFonts w:ascii="Cambria Math" w:hAnsi="Cambria Math"/>
                  </w:rPr>
                  <m:t>μ</m:t>
                </m:r>
              </m:e>
              <m:sub>
                <m:r>
                  <w:rPr>
                    <w:rFonts w:ascii="Cambria Math" w:hAnsi="Cambria Math"/>
                  </w:rPr>
                  <m:t>i</m:t>
                </m:r>
              </m:sub>
            </m:sSub>
          </m:e>
        </m:nary>
      </m:oMath>
      <w:r w:rsidR="00CB49AC" w:rsidRPr="00CB49AC">
        <w:t xml:space="preserve"> </w:t>
      </w:r>
      <w:r w:rsidR="007B6286">
        <w:tab/>
      </w:r>
      <w:r w:rsidR="007B6286">
        <w:tab/>
      </w:r>
      <w:r w:rsidR="007B6286">
        <w:tab/>
      </w:r>
      <w:r w:rsidR="007B6286">
        <w:tab/>
      </w:r>
      <w:r w:rsidR="007B6286">
        <w:tab/>
      </w:r>
      <w:r w:rsidR="007B6286">
        <w:tab/>
      </w:r>
      <w:r w:rsidR="007B6286">
        <w:tab/>
      </w:r>
      <w:r w:rsidR="007B6286">
        <w:tab/>
      </w:r>
      <w:r w:rsidR="00CB49AC" w:rsidRPr="00CF6004">
        <w:t>(1)</w:t>
      </w:r>
    </w:p>
    <w:p w14:paraId="1689EDAF" w14:textId="76CC6D72" w:rsidR="00CB49AC" w:rsidRPr="00CF6004" w:rsidRDefault="00CB49AC" w:rsidP="001D6716">
      <w:pPr>
        <w:pStyle w:val="Head1"/>
      </w:pPr>
      <w:r w:rsidRPr="00CF6004">
        <w:t xml:space="preserve">where </w:t>
      </w:r>
      <w:r w:rsidRPr="00CF6004">
        <w:rPr>
          <w:i/>
        </w:rPr>
        <w:t>e</w:t>
      </w:r>
      <w:r w:rsidRPr="00CF6004">
        <w:t xml:space="preserve"> is the elementary charge. With the TRMC technique, the integrated change in </w:t>
      </w:r>
      <m:oMath>
        <m:r>
          <w:rPr>
            <w:rFonts w:ascii="Cambria Math" w:hAnsi="Cambria Math"/>
          </w:rPr>
          <m:t>σ</m:t>
        </m:r>
      </m:oMath>
      <w:r w:rsidRPr="00CF6004">
        <w:t xml:space="preserve"> over the complete film thickness</w:t>
      </w:r>
      <w:r w:rsidR="0029295F" w:rsidRPr="00CF6004">
        <w:t xml:space="preserve">, </w:t>
      </w:r>
      <w:r w:rsidR="0029295F" w:rsidRPr="00CF6004">
        <w:rPr>
          <w:i/>
        </w:rPr>
        <w:t>L</w:t>
      </w:r>
      <w:r w:rsidR="007D50C1" w:rsidRPr="00CF6004">
        <w:rPr>
          <w:iCs/>
        </w:rPr>
        <w:t>,</w:t>
      </w:r>
      <w:r w:rsidR="0034472A" w:rsidRPr="00CF6004">
        <w:t xml:space="preserve"> is measured</w:t>
      </w:r>
      <w:r w:rsidRPr="00CF6004">
        <w:t xml:space="preserve">, which yields </w:t>
      </w:r>
      <w:r w:rsidR="00261D5D" w:rsidRPr="00CF6004">
        <w:t>a</w:t>
      </w:r>
      <w:r w:rsidRPr="00CF6004">
        <w:t xml:space="preserve"> change in conductance, </w:t>
      </w:r>
      <w:r w:rsidR="00AC6257" w:rsidRPr="00CF6004">
        <w:rPr>
          <w:rFonts w:ascii="Symbol" w:eastAsia="Symbol" w:hAnsi="Symbol" w:cs="Symbol"/>
        </w:rPr>
        <w:t></w:t>
      </w:r>
      <w:r w:rsidRPr="00CF6004">
        <w:rPr>
          <w:i/>
        </w:rPr>
        <w:t>G</w:t>
      </w:r>
      <w:r w:rsidRPr="00CF6004">
        <w:t>:</w:t>
      </w:r>
    </w:p>
    <w:p w14:paraId="447022E6" w14:textId="2C245030" w:rsidR="00CB49AC" w:rsidRPr="00CB49AC" w:rsidRDefault="00596B3B" w:rsidP="001D6716">
      <w:pPr>
        <w:pStyle w:val="Head1"/>
        <w:rPr>
          <w:b/>
        </w:rPr>
      </w:pPr>
      <m:oMath>
        <m:r>
          <m:rPr>
            <m:sty m:val="p"/>
          </m:rPr>
          <w:rPr>
            <w:rFonts w:ascii="Cambria Math" w:hAnsi="Cambria Math"/>
          </w:rPr>
          <m:t>Δ</m:t>
        </m:r>
        <m:r>
          <w:rPr>
            <w:rFonts w:ascii="Cambria Math" w:hAnsi="Cambria Math"/>
          </w:rPr>
          <m:t>G</m:t>
        </m:r>
        <m:r>
          <m:rPr>
            <m:sty m:val="p"/>
          </m:rPr>
          <w:rPr>
            <w:rFonts w:ascii="Cambria Math" w:hAnsi="Cambria Math"/>
          </w:rPr>
          <m:t>=</m:t>
        </m:r>
        <m:r>
          <w:rPr>
            <w:rFonts w:ascii="Cambria Math" w:hAnsi="Cambria Math"/>
          </w:rPr>
          <m:t>β</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L</m:t>
            </m:r>
          </m:sup>
          <m:e>
            <m:r>
              <m:rPr>
                <m:sty m:val="p"/>
              </m:rPr>
              <w:rPr>
                <w:rFonts w:ascii="Cambria Math" w:hAnsi="Cambria Math"/>
              </w:rPr>
              <m:t>Δ</m:t>
            </m:r>
            <m:r>
              <w:rPr>
                <w:rFonts w:ascii="Cambria Math" w:hAnsi="Cambria Math"/>
              </w:rPr>
              <m:t>σ</m:t>
            </m:r>
            <m:d>
              <m:dPr>
                <m:ctrlPr>
                  <w:rPr>
                    <w:rFonts w:ascii="Cambria Math" w:hAnsi="Cambria Math"/>
                  </w:rPr>
                </m:ctrlPr>
              </m:dPr>
              <m:e>
                <m:r>
                  <w:rPr>
                    <w:rFonts w:ascii="Cambria Math" w:hAnsi="Cambria Math"/>
                  </w:rPr>
                  <m:t>z</m:t>
                </m:r>
              </m:e>
            </m:d>
          </m:e>
        </m:nary>
        <m:r>
          <w:rPr>
            <w:rFonts w:ascii="Cambria Math" w:hAnsi="Cambria Math"/>
          </w:rPr>
          <m:t>dz</m:t>
        </m:r>
      </m:oMath>
      <w:r w:rsidR="00CB49AC" w:rsidRPr="00CB49AC">
        <w:t xml:space="preserve"> </w:t>
      </w:r>
      <w:r w:rsidR="00FE2BA7">
        <w:tab/>
      </w:r>
      <w:r w:rsidR="00FE2BA7">
        <w:tab/>
      </w:r>
      <w:r w:rsidR="00FE2BA7">
        <w:tab/>
      </w:r>
      <w:r w:rsidR="00FE2BA7">
        <w:tab/>
      </w:r>
      <w:r w:rsidR="00FE2BA7">
        <w:tab/>
      </w:r>
      <w:r w:rsidR="00FE2BA7">
        <w:tab/>
      </w:r>
      <w:r w:rsidR="00FE2BA7">
        <w:tab/>
      </w:r>
      <w:r w:rsidR="00CB49AC" w:rsidRPr="00CF6004">
        <w:t>(2)</w:t>
      </w:r>
    </w:p>
    <w:p w14:paraId="1CF7A09B" w14:textId="72F6844F" w:rsidR="00CB49AC" w:rsidRPr="00CF6004" w:rsidRDefault="00CB49AC" w:rsidP="001D6716">
      <w:pPr>
        <w:pStyle w:val="Head1"/>
      </w:pPr>
      <w:r w:rsidRPr="00CF6004">
        <w:t xml:space="preserve">Here </w:t>
      </w:r>
      <w:r w:rsidR="0034472A" w:rsidRPr="00CF6004">
        <w:rPr>
          <w:rFonts w:ascii="Symbol" w:eastAsia="Symbol" w:hAnsi="Symbol" w:cs="Symbol"/>
          <w:i/>
          <w:iCs/>
        </w:rPr>
        <w:t></w:t>
      </w:r>
      <w:r w:rsidRPr="00CF6004">
        <w:t xml:space="preserve"> is the ratio between the wide and small inner walls of the microwave guide. Hence, Δ</w:t>
      </w:r>
      <w:r w:rsidRPr="00CF6004">
        <w:rPr>
          <w:i/>
        </w:rPr>
        <w:t>G</w:t>
      </w:r>
      <w:r w:rsidRPr="00CF6004">
        <w:t xml:space="preserve"> is proportional to the product of the total number of photo-induced free charges and their mobility. Absorption of microwaves</w:t>
      </w:r>
      <w:r w:rsidR="00C948BC" w:rsidRPr="00CF6004">
        <w:t xml:space="preserve"> by the free carriers</w:t>
      </w:r>
      <w:r w:rsidRPr="00CF6004">
        <w:t xml:space="preserve"> reduces the microwave power on the detector. The normalized reduction in microwave power (∆</w:t>
      </w:r>
      <w:r w:rsidRPr="00CF6004">
        <w:rPr>
          <w:i/>
        </w:rPr>
        <w:t>P</w:t>
      </w:r>
      <w:r w:rsidRPr="00CF6004">
        <w:t>(t))/</w:t>
      </w:r>
      <w:r w:rsidRPr="00CF6004">
        <w:rPr>
          <w:i/>
        </w:rPr>
        <w:t>P</w:t>
      </w:r>
      <w:r w:rsidRPr="00CF6004">
        <w:t xml:space="preserve"> is related to Δ</w:t>
      </w:r>
      <w:r w:rsidRPr="00CF6004">
        <w:rPr>
          <w:i/>
        </w:rPr>
        <w:t>G</w:t>
      </w:r>
      <w:r w:rsidRPr="00CF6004">
        <w:t>(t) by:</w:t>
      </w:r>
    </w:p>
    <w:p w14:paraId="62D925FC" w14:textId="4C4A2EF9" w:rsidR="00CB49AC" w:rsidRPr="00F228B4" w:rsidRDefault="00000000" w:rsidP="001D6716">
      <w:pPr>
        <w:pStyle w:val="Head1"/>
        <w:rPr>
          <w:b/>
        </w:rPr>
      </w:pPr>
      <m:oMath>
        <m:f>
          <m:fPr>
            <m:ctrlPr>
              <w:rPr>
                <w:rFonts w:ascii="Cambria Math" w:hAnsi="Cambria Math"/>
              </w:rPr>
            </m:ctrlPr>
          </m:fPr>
          <m:num>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t</m:t>
                </m:r>
              </m:e>
            </m:d>
          </m:num>
          <m:den>
            <m:r>
              <w:rPr>
                <w:rFonts w:ascii="Cambria Math" w:hAnsi="Cambria Math"/>
              </w:rPr>
              <m:t>P</m:t>
            </m:r>
          </m:den>
        </m:f>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t</m:t>
            </m:r>
          </m:e>
        </m:d>
      </m:oMath>
      <w:r w:rsidR="00CB49AC" w:rsidRPr="00596B3B">
        <w:t xml:space="preserve"> </w:t>
      </w:r>
      <w:r w:rsidR="00FE2BA7">
        <w:tab/>
      </w:r>
      <w:r w:rsidR="00FE2BA7">
        <w:tab/>
      </w:r>
      <w:r w:rsidR="00FE2BA7">
        <w:tab/>
      </w:r>
      <w:r w:rsidR="00FE2BA7">
        <w:tab/>
      </w:r>
      <w:r w:rsidR="00FE2BA7">
        <w:tab/>
      </w:r>
      <w:r w:rsidR="00FE2BA7">
        <w:tab/>
      </w:r>
      <w:r w:rsidR="00FE2BA7">
        <w:tab/>
      </w:r>
      <w:r w:rsidR="00CB49AC" w:rsidRPr="00CF6004">
        <w:t>(3)</w:t>
      </w:r>
    </w:p>
    <w:p w14:paraId="3EA9D14F" w14:textId="1A27B701" w:rsidR="00CB49AC" w:rsidRPr="00CB49AC" w:rsidRDefault="00CB49AC" w:rsidP="001D6716">
      <w:pPr>
        <w:pStyle w:val="Head1"/>
      </w:pPr>
      <w:r w:rsidRPr="00CF6004">
        <w:t xml:space="preserve">where </w:t>
      </w:r>
      <w:r w:rsidRPr="00CF6004">
        <w:rPr>
          <w:i/>
        </w:rPr>
        <w:t>K</w:t>
      </w:r>
      <w:r w:rsidRPr="00CF6004">
        <w:t xml:space="preserve"> is the sensitivity factor</w:t>
      </w:r>
      <w:r w:rsidR="00C948BC" w:rsidRPr="00CF6004">
        <w:t>, which can be quantified as</w:t>
      </w:r>
      <w:r w:rsidRPr="00CF6004">
        <w:t xml:space="preserve"> </w:t>
      </w:r>
      <w:r w:rsidR="00C948BC" w:rsidRPr="00CF6004">
        <w:t>described</w:t>
      </w:r>
      <w:r w:rsidRPr="00CF6004">
        <w:t xml:space="preserve"> previously.</w:t>
      </w:r>
      <w:r w:rsidR="00021102">
        <w:rPr>
          <w:bCs w:val="0"/>
        </w:rPr>
        <w:fldChar w:fldCharType="begin" w:fldLock="1"/>
      </w:r>
      <w:r w:rsidR="00021102">
        <w:instrText xml:space="preserve">ADDIN CSL_CITATION {"citationItems":[{"id":"ITEM-1","itemData":{"DOI":"10.1088/1361-6463/aa9559","ISSN":"13616463","abstract":"Flash-photolysis time-resolved microwave conductivity (fp-TRMC) is a versatile, highly sensitive technique for studying the complex photoconductivity of solution, solid, and gas-phase samples. The purpose of this paper is to provide a standard reference work for experimentalists interested in using microwave conductivity methods to study functional electronic materials, describing how to conduct and calibrate these experiments in order to obtain quantitative results. The main focus of the paper is on calculating the calibration factor, K, which is used to connect the measured change in microwave power absorption to the conductance of the sample. We describe the standard analytical formulae that have been used in the past, and compare them to numerical simulations. This comparison shows that the most widely used analytical analysis of fp-TRMC data systematically under-estimates the transient conductivity by </w:instrText>
      </w:r>
      <w:r w:rsidR="00021102">
        <w:rPr>
          <w:rFonts w:ascii="Cambria Math" w:hAnsi="Cambria Math" w:cs="Cambria Math"/>
        </w:rPr>
        <w:instrText>∼</w:instrText>
      </w:r>
      <w:r w:rsidR="00021102">
        <w:instrText>60%. We suggest a more accurate semi-empirical way of calibrating these experiments. However, we emphasize that the full numerical calculation is necessary to quantify both transient and steady-state conductance for arbitrary sample properties and geometry.","author":[{"dropping-particle":"","family":"Reid","given":"Obadiah G.","non-dropping-particle":"","parse-names":false,"suffix":""},{"dropping-particle":"","family":"Moore","given":"David T.","non-dropping-particle":"","parse-names":false,"suffix":""},{"dropping-particle":"","family":"Li","given":"Zhen","non-dropping-particle":"","parse-names":false,"suffix":""},{"dropping-particle":"","family":"Zhao","given":"Dewei","non-dropping-particle":"","parse-names":false,"suffix":""},{"dropping-particle":"","family":"Yan","given":"Yanfa","non-dropping-particle":"","parse-names":false,"suffix":""},{"dropping-particle":"","family":"Zhu","given":"Kai","non-dropping-particle":"","parse-names":false,"suffix":""},{"dropping-particle":"","family":"Rumbles","given":"Garry","non-dropping-particle":"","parse-names":false,"suffix":""}],"container-title":"Journal of Physics D: Applied Physics","id":"ITEM-1","issue":"49","issued":{"date-parts":[["2017"]]},"publisher":"IOP Publishing","title":"Quantitative analysis of time-resolved microwave conductivity data","type":"article-journal","volume":"50"},"uris":["http://www.mendeley.com/documents/?uuid=b8fbdea6-19fa-4c60-867c-bae648cd4d08"]},{"id":"ITEM-2","itemData":{"author":[{"dropping-particle":"","family":"Hutter","given":"Eline M","non-dropping-particle":"","parse-names":false,"suffix":""},{"dropping-particle":"","family":"Savenije","given":"Tom J","non-dropping-particle":"","parse-names":false,"suffix":""},{"dropping-particle":"","family":"Ponseca Jr","given":"Carlito S","non-dropping-particle":"","parse-names":false,"suffix":""}],"container-title":"Perovskite Solar Cells: Principle, Materials and Devices","id":"ITEM-2","issued":{"date-parts":[["2017"]]},"page":"179-232","publisher":"World Scientific Publishing Co. Pte. Ltd.","title":"Time-Resolved Photoconductivity Measurements on Organometal Halide Perovskites","type":"chapter"},"uris":["http://www.mendeley.com/documents/?uuid=a835d845-aa9c-4c26-8435-55119dfd093b"]}],"mendeley":{"formattedCitation":"&lt;sup&gt;[10,13]&lt;/sup&gt;","plainTextFormattedCitation":"[10,13]"},"properties":{"noteIndex":0},"schema":"https://github.com/citation-style-language/schema/raw/master/csl-citation.json"}</w:instrText>
      </w:r>
      <w:r w:rsidR="00021102">
        <w:rPr>
          <w:bCs w:val="0"/>
        </w:rPr>
        <w:fldChar w:fldCharType="separate"/>
      </w:r>
      <w:r w:rsidR="00021102" w:rsidRPr="00021102">
        <w:rPr>
          <w:noProof/>
          <w:vertAlign w:val="superscript"/>
        </w:rPr>
        <w:t>[10,13]</w:t>
      </w:r>
      <w:r w:rsidR="00021102">
        <w:rPr>
          <w:bCs w:val="0"/>
        </w:rPr>
        <w:fldChar w:fldCharType="end"/>
      </w:r>
      <w:r w:rsidR="00625B6E" w:rsidRPr="00625B6E">
        <w:rPr>
          <w:noProof/>
        </w:rPr>
        <w:drawing>
          <wp:inline distT="0" distB="0" distL="0" distR="0" wp14:anchorId="117F6EAF" wp14:editId="1C5FDB18">
            <wp:extent cx="2837280" cy="1726387"/>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1667" cy="1741226"/>
                    </a:xfrm>
                    <a:prstGeom prst="rect">
                      <a:avLst/>
                    </a:prstGeom>
                  </pic:spPr>
                </pic:pic>
              </a:graphicData>
            </a:graphic>
          </wp:inline>
        </w:drawing>
      </w:r>
      <w:r w:rsidR="007A3A0D" w:rsidRPr="007A3A0D">
        <w:rPr>
          <w:noProof/>
        </w:rPr>
        <w:drawing>
          <wp:inline distT="0" distB="0" distL="0" distR="0" wp14:anchorId="3CF30EFD" wp14:editId="72B5A878">
            <wp:extent cx="2893908" cy="141183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0725" cy="1424917"/>
                    </a:xfrm>
                    <a:prstGeom prst="rect">
                      <a:avLst/>
                    </a:prstGeom>
                  </pic:spPr>
                </pic:pic>
              </a:graphicData>
            </a:graphic>
          </wp:inline>
        </w:drawing>
      </w:r>
    </w:p>
    <w:p w14:paraId="0F835B52" w14:textId="5FDE4297" w:rsidR="0034472A" w:rsidRPr="00F228B4" w:rsidRDefault="0034472A" w:rsidP="001D6716">
      <w:pPr>
        <w:pStyle w:val="Head1"/>
      </w:pPr>
      <w:r w:rsidRPr="00F228B4">
        <w:t xml:space="preserve">Figure </w:t>
      </w:r>
      <w:r w:rsidR="00436B02" w:rsidRPr="00F228B4">
        <w:t>2</w:t>
      </w:r>
      <w:r w:rsidRPr="00F228B4">
        <w:t xml:space="preserve">. Schematic representation of </w:t>
      </w:r>
      <w:r w:rsidR="00C948BC" w:rsidRPr="00F228B4">
        <w:t>(</w:t>
      </w:r>
      <w:r w:rsidR="0048317B">
        <w:t>left</w:t>
      </w:r>
      <w:r w:rsidR="00C948BC" w:rsidRPr="00F228B4">
        <w:t xml:space="preserve">) </w:t>
      </w:r>
      <w:r w:rsidRPr="00F228B4">
        <w:t>the TRMC set-up</w:t>
      </w:r>
      <w:r w:rsidR="00C948BC" w:rsidRPr="00F228B4">
        <w:t xml:space="preserve"> and (</w:t>
      </w:r>
      <w:r w:rsidR="0048317B">
        <w:t>right</w:t>
      </w:r>
      <w:r w:rsidR="00C948BC" w:rsidRPr="00F228B4">
        <w:t>) the TRMC cell.</w:t>
      </w:r>
      <w:r w:rsidR="00DA1F65">
        <w:t xml:space="preserve"> Adapted from Savenije et al.</w:t>
      </w:r>
      <w:r w:rsidR="00DA1F65" w:rsidRPr="00DA1F65">
        <w:rPr>
          <w:vertAlign w:val="superscript"/>
        </w:rPr>
        <w:t>[8]</w:t>
      </w:r>
    </w:p>
    <w:p w14:paraId="34F38AEC" w14:textId="77777777" w:rsidR="0034472A" w:rsidRPr="00F228B4" w:rsidRDefault="0034472A" w:rsidP="001D6716">
      <w:pPr>
        <w:pStyle w:val="Head1"/>
      </w:pPr>
    </w:p>
    <w:p w14:paraId="0B115981" w14:textId="215E8A36" w:rsidR="00C948BC" w:rsidRPr="00F228B4" w:rsidRDefault="00CB49AC" w:rsidP="001D6716">
      <w:pPr>
        <w:pStyle w:val="Head1"/>
      </w:pPr>
      <w:r w:rsidRPr="00F228B4">
        <w:lastRenderedPageBreak/>
        <w:t xml:space="preserve">Figure </w:t>
      </w:r>
      <w:r w:rsidR="00436B02" w:rsidRPr="00F228B4">
        <w:t>2</w:t>
      </w:r>
      <w:r w:rsidRPr="00F228B4">
        <w:t xml:space="preserve"> shows a representation of the TRMC set up. Photo-excitation is realized by laser pulses of 3-5 ns FWHM with a </w:t>
      </w:r>
      <w:proofErr w:type="spellStart"/>
      <w:r w:rsidRPr="00F228B4">
        <w:t>tunable</w:t>
      </w:r>
      <w:proofErr w:type="spellEnd"/>
      <w:r w:rsidRPr="00F228B4">
        <w:t xml:space="preserve"> wavelength at a repetition rate of 10 Hz. Metallic, neutral density filters with different optical densities are </w:t>
      </w:r>
      <w:r w:rsidR="00C948BC" w:rsidRPr="00F228B4">
        <w:t>applied</w:t>
      </w:r>
      <w:r w:rsidRPr="00F228B4">
        <w:t xml:space="preserve"> to vary the photon fluence between 10</w:t>
      </w:r>
      <w:r w:rsidRPr="00F228B4">
        <w:rPr>
          <w:vertAlign w:val="superscript"/>
        </w:rPr>
        <w:t>9</w:t>
      </w:r>
      <w:r w:rsidRPr="00F228B4">
        <w:t xml:space="preserve"> and 10</w:t>
      </w:r>
      <w:r w:rsidRPr="00F228B4">
        <w:rPr>
          <w:vertAlign w:val="superscript"/>
        </w:rPr>
        <w:t>15</w:t>
      </w:r>
      <w:r w:rsidRPr="00F228B4">
        <w:t xml:space="preserve"> photons/cm</w:t>
      </w:r>
      <w:r w:rsidRPr="00F228B4">
        <w:rPr>
          <w:vertAlign w:val="superscript"/>
        </w:rPr>
        <w:t>2</w:t>
      </w:r>
      <w:r w:rsidRPr="00F228B4">
        <w:t xml:space="preserve"> per pulse. </w:t>
      </w:r>
      <w:r w:rsidR="00C948BC" w:rsidRPr="00F228B4">
        <w:t xml:space="preserve">A voltage-controlled oscillator is utilised to generate the </w:t>
      </w:r>
      <w:r w:rsidRPr="00F228B4">
        <w:t xml:space="preserve">microwaves with a frequency in the </w:t>
      </w:r>
      <w:r w:rsidR="0029295F" w:rsidRPr="00F228B4">
        <w:t>10</w:t>
      </w:r>
      <w:r w:rsidRPr="00F228B4">
        <w:t xml:space="preserve"> GHz</w:t>
      </w:r>
      <w:r w:rsidR="0029295F" w:rsidRPr="00F228B4">
        <w:t xml:space="preserve"> range</w:t>
      </w:r>
      <w:r w:rsidRPr="00F228B4">
        <w:t xml:space="preserve">. The sample of interest is placed in a microwave cell that ends with a metal grating (see Figure </w:t>
      </w:r>
      <w:r w:rsidR="00436B02" w:rsidRPr="00F228B4">
        <w:t>2</w:t>
      </w:r>
      <w:r w:rsidRPr="00F228B4">
        <w:t xml:space="preserve">b), which largely transmits the laser </w:t>
      </w:r>
      <w:r w:rsidR="0048317B">
        <w:t>power</w:t>
      </w:r>
      <w:r w:rsidR="0029295F" w:rsidRPr="00F228B4">
        <w:t>,</w:t>
      </w:r>
      <w:r w:rsidRPr="00F228B4">
        <w:t xml:space="preserve"> </w:t>
      </w:r>
      <w:r w:rsidR="0048317B">
        <w:t>but</w:t>
      </w:r>
      <w:r w:rsidR="0048317B" w:rsidRPr="00F228B4">
        <w:t xml:space="preserve"> </w:t>
      </w:r>
      <w:r w:rsidRPr="00F228B4">
        <w:t>fully reflect</w:t>
      </w:r>
      <w:r w:rsidR="007D50C1">
        <w:t>s</w:t>
      </w:r>
      <w:r w:rsidRPr="00F228B4">
        <w:t xml:space="preserve"> the microwaves. A quartz window is glued on top of the grating to seal the cell and avoid air exposure of the sample. </w:t>
      </w:r>
      <w:r w:rsidR="00E56742" w:rsidRPr="00F228B4">
        <w:t xml:space="preserve">In the presence of an iris (see Figure </w:t>
      </w:r>
      <w:r w:rsidR="00436B02" w:rsidRPr="00F228B4">
        <w:t>2</w:t>
      </w:r>
      <w:r w:rsidR="00E56742" w:rsidRPr="00F228B4">
        <w:t>b) the sensitivity factor</w:t>
      </w:r>
      <w:r w:rsidR="00CB0C58" w:rsidRPr="00F228B4">
        <w:t>,</w:t>
      </w:r>
      <w:r w:rsidR="00E56742" w:rsidRPr="00F228B4">
        <w:t xml:space="preserve"> </w:t>
      </w:r>
      <w:r w:rsidR="00E56742" w:rsidRPr="00F228B4">
        <w:rPr>
          <w:i/>
        </w:rPr>
        <w:t>K</w:t>
      </w:r>
      <w:r w:rsidR="00E56742" w:rsidRPr="00F228B4">
        <w:t xml:space="preserve"> is much higher (ca 40 times) than for a</w:t>
      </w:r>
      <w:r w:rsidR="00CB0C58" w:rsidRPr="00F228B4">
        <w:t>n</w:t>
      </w:r>
      <w:r w:rsidR="00E56742" w:rsidRPr="00F228B4">
        <w:t xml:space="preserve"> iris free </w:t>
      </w:r>
      <w:r w:rsidR="00CB0C58" w:rsidRPr="00F228B4">
        <w:t>microwave</w:t>
      </w:r>
      <w:r w:rsidR="00E56742" w:rsidRPr="00F228B4">
        <w:t xml:space="preserve"> cell. </w:t>
      </w:r>
      <w:r w:rsidR="00CB0C58" w:rsidRPr="00F228B4">
        <w:t>However,</w:t>
      </w:r>
      <w:r w:rsidR="00E56742" w:rsidRPr="00F228B4">
        <w:t xml:space="preserve"> this sensitivity gain </w:t>
      </w:r>
      <w:r w:rsidR="00CB0C58" w:rsidRPr="00F228B4">
        <w:t>leads to an increase of</w:t>
      </w:r>
      <w:r w:rsidR="00E56742" w:rsidRPr="00F228B4">
        <w:t xml:space="preserve"> the re</w:t>
      </w:r>
      <w:r w:rsidR="00CB0C58" w:rsidRPr="00F228B4">
        <w:t>s</w:t>
      </w:r>
      <w:r w:rsidR="00E56742" w:rsidRPr="00F228B4">
        <w:t xml:space="preserve">ponse time from ca 1 ns to 18 ns. </w:t>
      </w:r>
      <w:r w:rsidR="00C948BC" w:rsidRPr="00F228B4">
        <w:t>A microwave</w:t>
      </w:r>
      <w:r w:rsidRPr="00F228B4">
        <w:t xml:space="preserve"> diode detector converts the microwave power into a </w:t>
      </w:r>
      <w:r w:rsidR="00C948BC" w:rsidRPr="00F228B4">
        <w:t>transient voltage which is recorded using a digital oscill</w:t>
      </w:r>
      <w:r w:rsidR="00E56742" w:rsidRPr="00F228B4">
        <w:t>oscope.</w:t>
      </w:r>
      <w:r w:rsidR="00C948BC" w:rsidRPr="00F228B4">
        <w:t xml:space="preserve"> </w:t>
      </w:r>
    </w:p>
    <w:p w14:paraId="13CF88A3" w14:textId="556A792C" w:rsidR="00CB49AC" w:rsidRPr="00F228B4" w:rsidRDefault="00CB49AC" w:rsidP="001D6716">
      <w:pPr>
        <w:pStyle w:val="Head1"/>
      </w:pPr>
      <w:r w:rsidRPr="00F228B4">
        <w:t>If the sensitivity</w:t>
      </w:r>
      <w:r w:rsidR="006002BF" w:rsidRPr="00F228B4">
        <w:t xml:space="preserve"> factor</w:t>
      </w:r>
      <w:r w:rsidRPr="00F228B4">
        <w:t xml:space="preserve"> </w:t>
      </w:r>
      <w:r w:rsidRPr="00F228B4">
        <w:rPr>
          <w:i/>
        </w:rPr>
        <w:t>K</w:t>
      </w:r>
      <w:r w:rsidRPr="00F228B4">
        <w:t xml:space="preserve"> is known, Δ</w:t>
      </w:r>
      <w:r w:rsidRPr="00F228B4">
        <w:rPr>
          <w:i/>
        </w:rPr>
        <w:t>G</w:t>
      </w:r>
      <w:r w:rsidRPr="00F228B4">
        <w:t xml:space="preserve"> can be quantitatively obtained from the measured Δ</w:t>
      </w:r>
      <w:r w:rsidRPr="00F228B4">
        <w:rPr>
          <w:i/>
        </w:rPr>
        <w:t>P</w:t>
      </w:r>
      <w:r w:rsidRPr="00F228B4">
        <w:t>(t) /</w:t>
      </w:r>
      <w:r w:rsidRPr="00F228B4">
        <w:rPr>
          <w:i/>
        </w:rPr>
        <w:t>P</w:t>
      </w:r>
      <w:r w:rsidRPr="00F228B4">
        <w:t xml:space="preserve"> using Eq. 3. Then, the TRMC signal can be expressed in the remaining two unknown parameters: </w:t>
      </w:r>
      <w:r w:rsidRPr="00F228B4">
        <w:rPr>
          <w:i/>
        </w:rPr>
        <w:t>i.e.</w:t>
      </w:r>
      <w:r w:rsidRPr="00F228B4">
        <w:t xml:space="preserve"> the mobility</w:t>
      </w:r>
      <w:r w:rsidR="0029295F" w:rsidRPr="00F228B4">
        <w:t>,</w:t>
      </w:r>
      <w:r w:rsidRPr="00F228B4">
        <w:t xml:space="preserve"> </w:t>
      </w:r>
      <w:r w:rsidR="0029295F" w:rsidRPr="00F228B4">
        <w:rPr>
          <w:i/>
        </w:rPr>
        <w:t xml:space="preserve">μ </w:t>
      </w:r>
      <w:r w:rsidRPr="00F228B4">
        <w:t xml:space="preserve">and the charge carrier </w:t>
      </w:r>
      <w:r w:rsidR="007D50C1">
        <w:t xml:space="preserve">generation </w:t>
      </w:r>
      <w:r w:rsidRPr="00F228B4">
        <w:t>yield</w:t>
      </w:r>
      <w:r w:rsidR="0029295F" w:rsidRPr="00F228B4">
        <w:t xml:space="preserve">, </w:t>
      </w:r>
      <w:r w:rsidR="0029295F" w:rsidRPr="00F228B4">
        <w:rPr>
          <w:i/>
        </w:rPr>
        <w:t>φ</w:t>
      </w:r>
      <w:r w:rsidRPr="00F228B4">
        <w:t>. If every absorbed photon creates a single positive and a negative charge carrier, Eq. 1 simplifies to:</w:t>
      </w:r>
    </w:p>
    <w:p w14:paraId="1BB98CE4" w14:textId="04B5423F" w:rsidR="00CB49AC" w:rsidRPr="00F228B4" w:rsidRDefault="00596B3B" w:rsidP="001D6716">
      <w:pPr>
        <w:pStyle w:val="Head1"/>
        <w:rPr>
          <w:b/>
        </w:rPr>
      </w:pPr>
      <m:oMath>
        <m:r>
          <w:rPr>
            <w:rFonts w:ascii="Cambria Math" w:hAnsi="Cambria Math"/>
          </w:rPr>
          <m:t>σ</m:t>
        </m:r>
        <m:r>
          <m:rPr>
            <m:sty m:val="p"/>
          </m:rPr>
          <w:rPr>
            <w:rFonts w:ascii="Cambria Math" w:hAnsi="Cambria Math"/>
          </w:rPr>
          <m:t>=</m:t>
        </m:r>
        <m:r>
          <w:rPr>
            <w:rFonts w:ascii="Cambria Math" w:hAnsi="Cambria Math"/>
          </w:rPr>
          <m:t>en</m:t>
        </m:r>
        <m:d>
          <m:dPr>
            <m:ctrlPr>
              <w:rPr>
                <w:rFonts w:ascii="Cambria Math" w:hAnsi="Cambria Math"/>
              </w:rPr>
            </m:ctrlPr>
          </m:dPr>
          <m:e>
            <m:sSub>
              <m:sSubPr>
                <m:ctrlPr>
                  <w:rPr>
                    <w:rFonts w:ascii="Cambria Math" w:hAnsi="Cambria Math"/>
                  </w:rPr>
                </m:ctrlPr>
              </m:sSubPr>
              <m:e>
                <m:r>
                  <w:rPr>
                    <w:rFonts w:ascii="Cambria Math" w:hAnsi="Cambria Math"/>
                  </w:rPr>
                  <m:t>μ</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h</m:t>
                </m:r>
              </m:sub>
            </m:sSub>
          </m:e>
        </m:d>
      </m:oMath>
      <w:r w:rsidR="00FE2BA7">
        <w:tab/>
      </w:r>
      <w:r w:rsidR="00FE2BA7">
        <w:tab/>
      </w:r>
      <w:r w:rsidR="00FE2BA7">
        <w:tab/>
      </w:r>
      <w:r w:rsidR="00FE2BA7">
        <w:tab/>
      </w:r>
      <w:r w:rsidR="00FE2BA7">
        <w:tab/>
      </w:r>
      <w:r w:rsidR="00FE2BA7">
        <w:tab/>
      </w:r>
      <w:r w:rsidR="00FE2BA7">
        <w:tab/>
      </w:r>
      <w:r w:rsidR="00FE2BA7">
        <w:tab/>
      </w:r>
      <w:r w:rsidR="00CB49AC" w:rsidRPr="00CF6004">
        <w:t>(4)</w:t>
      </w:r>
    </w:p>
    <w:p w14:paraId="385EB8BB" w14:textId="20D037CE" w:rsidR="00CB49AC" w:rsidRPr="00F228B4" w:rsidRDefault="00CB49AC" w:rsidP="001D6716">
      <w:pPr>
        <w:pStyle w:val="Head1"/>
      </w:pPr>
      <w:r w:rsidRPr="00F228B4">
        <w:t xml:space="preserve">in which </w:t>
      </w:r>
      <w:r w:rsidRPr="00F228B4">
        <w:rPr>
          <w:i/>
        </w:rPr>
        <w:t>n</w:t>
      </w:r>
      <w:r w:rsidRPr="00F228B4">
        <w:t xml:space="preserve"> is the concentration, </w:t>
      </w:r>
      <w:proofErr w:type="spellStart"/>
      <w:r w:rsidRPr="00F228B4">
        <w:rPr>
          <w:i/>
        </w:rPr>
        <w:t>μ</w:t>
      </w:r>
      <w:r w:rsidRPr="00F228B4">
        <w:rPr>
          <w:vertAlign w:val="subscript"/>
        </w:rPr>
        <w:t>e</w:t>
      </w:r>
      <w:proofErr w:type="spellEnd"/>
      <w:r w:rsidRPr="00F228B4">
        <w:t xml:space="preserve"> is the electron mobility and </w:t>
      </w:r>
      <w:proofErr w:type="spellStart"/>
      <w:r w:rsidRPr="00F228B4">
        <w:rPr>
          <w:i/>
        </w:rPr>
        <w:t>μ</w:t>
      </w:r>
      <w:r w:rsidRPr="00F228B4">
        <w:rPr>
          <w:vertAlign w:val="subscript"/>
        </w:rPr>
        <w:t>h</w:t>
      </w:r>
      <w:proofErr w:type="spellEnd"/>
      <w:r w:rsidRPr="00F228B4">
        <w:t xml:space="preserve"> is the hole mobility. The yield can be defined as </w:t>
      </w:r>
    </w:p>
    <w:p w14:paraId="24E1B6BA" w14:textId="4EEBF18B" w:rsidR="00CB49AC" w:rsidRPr="00CB49AC" w:rsidRDefault="00596B3B" w:rsidP="001D6716">
      <w:pPr>
        <w:pStyle w:val="Head1"/>
        <w:rPr>
          <w:b/>
        </w:rPr>
      </w:pPr>
      <m:oMath>
        <m:r>
          <w:rPr>
            <w:rFonts w:ascii="Cambria Math" w:hAnsi="Cambria Math"/>
          </w:rPr>
          <m:t>φ</m:t>
        </m:r>
        <m:r>
          <m:rPr>
            <m:sty m:val="p"/>
          </m:rPr>
          <w:rPr>
            <w:rFonts w:ascii="Cambria Math" w:hAnsi="Cambria Math"/>
          </w:rPr>
          <m:t>=</m:t>
        </m:r>
        <m:f>
          <m:fPr>
            <m:ctrlPr>
              <w:rPr>
                <w:rFonts w:ascii="Cambria Math" w:hAnsi="Cambria Math"/>
              </w:rPr>
            </m:ctrlPr>
          </m:fPr>
          <m:num>
            <m:r>
              <w:rPr>
                <w:rFonts w:ascii="Cambria Math" w:hAnsi="Cambria Math"/>
              </w:rPr>
              <m:t>Ln</m:t>
            </m:r>
          </m:num>
          <m:den>
            <m:sSub>
              <m:sSubPr>
                <m:ctrlPr>
                  <w:rPr>
                    <w:rFonts w:ascii="Cambria Math" w:hAnsi="Cambria Math"/>
                  </w:rPr>
                </m:ctrlPr>
              </m:sSubPr>
              <m:e>
                <m:r>
                  <w:rPr>
                    <w:rFonts w:ascii="Cambria Math" w:hAnsi="Cambria Math"/>
                  </w:rPr>
                  <m:t>F</m:t>
                </m:r>
              </m:e>
              <m:sub>
                <m:r>
                  <w:rPr>
                    <w:rFonts w:ascii="Cambria Math" w:hAnsi="Cambria Math"/>
                  </w:rPr>
                  <m:t>A</m:t>
                </m:r>
              </m:sub>
            </m:sSub>
            <m:sSub>
              <m:sSubPr>
                <m:ctrlPr>
                  <w:rPr>
                    <w:rFonts w:ascii="Cambria Math" w:hAnsi="Cambria Math"/>
                  </w:rPr>
                </m:ctrlPr>
              </m:sSubPr>
              <m:e>
                <m:r>
                  <w:rPr>
                    <w:rFonts w:ascii="Cambria Math" w:hAnsi="Cambria Math"/>
                  </w:rPr>
                  <m:t>I</m:t>
                </m:r>
              </m:e>
              <m:sub>
                <m:r>
                  <m:rPr>
                    <m:sty m:val="p"/>
                  </m:rPr>
                  <w:rPr>
                    <w:rFonts w:ascii="Cambria Math" w:hAnsi="Cambria Math"/>
                  </w:rPr>
                  <m:t>0</m:t>
                </m:r>
              </m:sub>
            </m:sSub>
          </m:den>
        </m:f>
      </m:oMath>
      <w:r w:rsidR="00FE2BA7">
        <w:tab/>
      </w:r>
      <w:r w:rsidR="00FE2BA7">
        <w:tab/>
      </w:r>
      <w:r w:rsidR="00FE2BA7">
        <w:tab/>
      </w:r>
      <w:r w:rsidR="00FE2BA7">
        <w:tab/>
      </w:r>
      <w:r w:rsidR="00FE2BA7">
        <w:tab/>
      </w:r>
      <w:r w:rsidR="00FE2BA7">
        <w:tab/>
      </w:r>
      <w:r w:rsidR="00FE2BA7">
        <w:tab/>
      </w:r>
      <w:r w:rsidR="00FE2BA7">
        <w:tab/>
      </w:r>
      <w:r w:rsidR="00FE2BA7">
        <w:tab/>
      </w:r>
      <w:r w:rsidR="00CB49AC" w:rsidRPr="00CF6004">
        <w:t>(5)</w:t>
      </w:r>
    </w:p>
    <w:p w14:paraId="022BBA6B" w14:textId="093EA164" w:rsidR="00CB49AC" w:rsidRPr="00F228B4" w:rsidRDefault="00CB49AC" w:rsidP="001D6716">
      <w:pPr>
        <w:pStyle w:val="Head1"/>
      </w:pPr>
      <w:r w:rsidRPr="00F228B4">
        <w:t xml:space="preserve">in which </w:t>
      </w:r>
      <w:r w:rsidRPr="00F228B4">
        <w:rPr>
          <w:i/>
        </w:rPr>
        <w:t>I</w:t>
      </w:r>
      <w:r w:rsidRPr="00F228B4">
        <w:rPr>
          <w:i/>
          <w:vertAlign w:val="subscript"/>
        </w:rPr>
        <w:t>0</w:t>
      </w:r>
      <w:r w:rsidRPr="00F228B4">
        <w:t xml:space="preserve"> is the intensity of the laser in photons/pulse/unit area and </w:t>
      </w:r>
      <w:r w:rsidRPr="00F228B4">
        <w:rPr>
          <w:i/>
        </w:rPr>
        <w:t>F</w:t>
      </w:r>
      <w:r w:rsidRPr="00F228B4">
        <w:rPr>
          <w:i/>
          <w:vertAlign w:val="subscript"/>
        </w:rPr>
        <w:t>A</w:t>
      </w:r>
      <w:r w:rsidRPr="00F228B4">
        <w:t xml:space="preserve"> </w:t>
      </w:r>
      <w:r w:rsidR="00820CA0" w:rsidRPr="00F228B4">
        <w:t xml:space="preserve">is </w:t>
      </w:r>
      <w:r w:rsidRPr="00F228B4">
        <w:t xml:space="preserve">the fraction of light absorbed at the excitation wavelength. By combining </w:t>
      </w:r>
      <w:proofErr w:type="spellStart"/>
      <w:r w:rsidRPr="00F228B4">
        <w:t>Eqs</w:t>
      </w:r>
      <w:proofErr w:type="spellEnd"/>
      <w:r w:rsidRPr="00F228B4">
        <w:t xml:space="preserve">. 2, 4 and 5, the product of yield and mobility can be obtained from </w:t>
      </w:r>
      <w:proofErr w:type="spellStart"/>
      <w:r w:rsidRPr="00F228B4">
        <w:t>Δ</w:t>
      </w:r>
      <w:r w:rsidRPr="00F228B4">
        <w:rPr>
          <w:i/>
        </w:rPr>
        <w:t>G</w:t>
      </w:r>
      <w:r w:rsidRPr="00F228B4">
        <w:rPr>
          <w:vertAlign w:val="subscript"/>
        </w:rPr>
        <w:t>max</w:t>
      </w:r>
      <w:proofErr w:type="spellEnd"/>
    </w:p>
    <w:p w14:paraId="629B3ADD" w14:textId="5193C7E4" w:rsidR="00CB49AC" w:rsidRPr="00F228B4" w:rsidRDefault="00596B3B" w:rsidP="001D6716">
      <w:pPr>
        <w:pStyle w:val="Head1"/>
        <w:rPr>
          <w:b/>
        </w:rPr>
      </w:pPr>
      <m:oMath>
        <m:r>
          <w:rPr>
            <w:rFonts w:ascii="Cambria Math" w:hAnsi="Cambria Math"/>
          </w:rPr>
          <m:t>φ</m:t>
        </m:r>
        <m:d>
          <m:dPr>
            <m:ctrlPr>
              <w:rPr>
                <w:rFonts w:ascii="Cambria Math" w:hAnsi="Cambria Math"/>
              </w:rPr>
            </m:ctrlPr>
          </m:dPr>
          <m:e>
            <m:sSub>
              <m:sSubPr>
                <m:ctrlPr>
                  <w:rPr>
                    <w:rFonts w:ascii="Cambria Math" w:hAnsi="Cambria Math"/>
                  </w:rPr>
                </m:ctrlPr>
              </m:sSubPr>
              <m:e>
                <m:r>
                  <w:rPr>
                    <w:rFonts w:ascii="Cambria Math" w:hAnsi="Cambria Math"/>
                  </w:rPr>
                  <m:t>μ</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h</m:t>
                </m:r>
              </m:sub>
            </m:sSub>
          </m:e>
        </m:d>
        <m:r>
          <m:rPr>
            <m:sty m:val="p"/>
          </m:rPr>
          <w:rPr>
            <w:rFonts w:ascii="Cambria Math" w:hAnsi="Cambria Math"/>
          </w:rPr>
          <m:t>=</m:t>
        </m:r>
        <m:f>
          <m:fPr>
            <m:ctrlPr>
              <w:rPr>
                <w:rFonts w:ascii="Cambria Math" w:hAnsi="Cambria Math"/>
              </w:rPr>
            </m:ctrlPr>
          </m:fPr>
          <m:num>
            <m:r>
              <w:rPr>
                <w:rFonts w:ascii="Cambria Math" w:hAnsi="Cambria Math"/>
              </w:rPr>
              <m:t>Ln</m:t>
            </m:r>
          </m:num>
          <m:den>
            <m:sSub>
              <m:sSubPr>
                <m:ctrlPr>
                  <w:rPr>
                    <w:rFonts w:ascii="Cambria Math" w:hAnsi="Cambria Math"/>
                  </w:rPr>
                </m:ctrlPr>
              </m:sSubPr>
              <m:e>
                <m:r>
                  <w:rPr>
                    <w:rFonts w:ascii="Cambria Math" w:hAnsi="Cambria Math"/>
                  </w:rPr>
                  <m:t>F</m:t>
                </m:r>
              </m:e>
              <m:sub>
                <m:r>
                  <w:rPr>
                    <w:rFonts w:ascii="Cambria Math" w:hAnsi="Cambria Math"/>
                  </w:rPr>
                  <m:t>A</m:t>
                </m:r>
              </m:sub>
            </m:sSub>
            <m:sSub>
              <m:sSubPr>
                <m:ctrlPr>
                  <w:rPr>
                    <w:rFonts w:ascii="Cambria Math" w:hAnsi="Cambria Math"/>
                  </w:rPr>
                </m:ctrlPr>
              </m:sSubPr>
              <m:e>
                <m:r>
                  <w:rPr>
                    <w:rFonts w:ascii="Cambria Math" w:hAnsi="Cambria Math"/>
                  </w:rPr>
                  <m:t>I</m:t>
                </m:r>
              </m:e>
              <m:sub>
                <m:r>
                  <m:rPr>
                    <m:sty m:val="p"/>
                  </m:rPr>
                  <w:rPr>
                    <w:rFonts w:ascii="Cambria Math" w:hAnsi="Cambria Math"/>
                  </w:rPr>
                  <m:t>0</m:t>
                </m:r>
              </m:sub>
            </m:sSub>
          </m:den>
        </m:f>
        <m:f>
          <m:fPr>
            <m:ctrlPr>
              <w:rPr>
                <w:rFonts w:ascii="Cambria Math" w:hAnsi="Cambria Math"/>
              </w:rPr>
            </m:ctrlPr>
          </m:fPr>
          <m:num>
            <m:r>
              <m:rPr>
                <m:sty m:val="p"/>
              </m:rPr>
              <w:rPr>
                <w:rFonts w:ascii="Cambria Math" w:hAnsi="Cambria Math"/>
              </w:rPr>
              <m:t>Δ</m:t>
            </m:r>
            <m:r>
              <w:rPr>
                <w:rFonts w:ascii="Cambria Math" w:hAnsi="Cambria Math"/>
              </w:rPr>
              <m:t>σ</m:t>
            </m:r>
          </m:num>
          <m:den>
            <m:r>
              <w:rPr>
                <w:rFonts w:ascii="Cambria Math" w:hAnsi="Cambria Math"/>
              </w:rPr>
              <m:t>en</m:t>
            </m:r>
          </m:den>
        </m:f>
        <m:r>
          <m:rPr>
            <m:sty m:val="p"/>
          </m:rPr>
          <w:rPr>
            <w:rFonts w:ascii="Cambria Math" w:hAnsi="Cambria Math"/>
          </w:rPr>
          <m:t>=</m:t>
        </m:r>
        <m:f>
          <m:fPr>
            <m:ctrlPr>
              <w:rPr>
                <w:rFonts w:ascii="Cambria Math" w:hAnsi="Cambria Math"/>
              </w:rPr>
            </m:ctrlPr>
          </m:fPr>
          <m:num>
            <m:r>
              <w:rPr>
                <w:rFonts w:ascii="Cambria Math" w:hAnsi="Cambria Math"/>
              </w:rPr>
              <m:t>L</m:t>
            </m:r>
          </m:num>
          <m:den>
            <m:sSub>
              <m:sSubPr>
                <m:ctrlPr>
                  <w:rPr>
                    <w:rFonts w:ascii="Cambria Math" w:hAnsi="Cambria Math"/>
                  </w:rPr>
                </m:ctrlPr>
              </m:sSubPr>
              <m:e>
                <m:r>
                  <w:rPr>
                    <w:rFonts w:ascii="Cambria Math" w:hAnsi="Cambria Math"/>
                  </w:rPr>
                  <m:t>F</m:t>
                </m:r>
              </m:e>
              <m:sub>
                <m:r>
                  <w:rPr>
                    <w:rFonts w:ascii="Cambria Math" w:hAnsi="Cambria Math"/>
                  </w:rPr>
                  <m:t>A</m:t>
                </m:r>
              </m:sub>
            </m:sSub>
            <m:sSub>
              <m:sSubPr>
                <m:ctrlPr>
                  <w:rPr>
                    <w:rFonts w:ascii="Cambria Math" w:hAnsi="Cambria Math"/>
                  </w:rPr>
                </m:ctrlPr>
              </m:sSubPr>
              <m:e>
                <m:r>
                  <w:rPr>
                    <w:rFonts w:ascii="Cambria Math" w:hAnsi="Cambria Math"/>
                  </w:rPr>
                  <m:t>I</m:t>
                </m:r>
              </m:e>
              <m:sub>
                <m:r>
                  <m:rPr>
                    <m:sty m:val="p"/>
                  </m:rPr>
                  <w:rPr>
                    <w:rFonts w:ascii="Cambria Math" w:hAnsi="Cambria Math"/>
                  </w:rPr>
                  <m:t>0</m:t>
                </m:r>
              </m:sub>
            </m:sSub>
          </m:den>
        </m:f>
        <m:f>
          <m:fPr>
            <m:ctrlPr>
              <w:rPr>
                <w:rFonts w:ascii="Cambria Math" w:hAnsi="Cambria Math"/>
              </w:rPr>
            </m:ctrlPr>
          </m:fPr>
          <m:num>
            <m:sSub>
              <m:sSubPr>
                <m:ctrlPr>
                  <w:rPr>
                    <w:rFonts w:ascii="Cambria Math" w:hAnsi="Cambria Math"/>
                  </w:rPr>
                </m:ctrlPr>
              </m:sSubPr>
              <m:e>
                <m:r>
                  <m:rPr>
                    <m:sty m:val="p"/>
                  </m:rPr>
                  <w:rPr>
                    <w:rFonts w:ascii="Cambria Math" w:hAnsi="Cambria Math"/>
                  </w:rPr>
                  <m:t>Δ</m:t>
                </m:r>
                <m:r>
                  <w:rPr>
                    <w:rFonts w:ascii="Cambria Math" w:hAnsi="Cambria Math"/>
                  </w:rPr>
                  <m:t>G</m:t>
                </m:r>
              </m:e>
              <m:sub>
                <m:r>
                  <w:rPr>
                    <w:rFonts w:ascii="Cambria Math" w:hAnsi="Cambria Math"/>
                  </w:rPr>
                  <m:t>max</m:t>
                </m:r>
              </m:sub>
            </m:sSub>
          </m:num>
          <m:den>
            <m:r>
              <w:rPr>
                <w:rFonts w:ascii="Cambria Math" w:hAnsi="Cambria Math"/>
              </w:rPr>
              <m:t>eβL</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Δ</m:t>
                </m:r>
                <m:r>
                  <w:rPr>
                    <w:rFonts w:ascii="Cambria Math" w:hAnsi="Cambria Math"/>
                  </w:rPr>
                  <m:t>G</m:t>
                </m:r>
              </m:e>
              <m:sub>
                <m:r>
                  <w:rPr>
                    <w:rFonts w:ascii="Cambria Math" w:hAnsi="Cambria Math"/>
                  </w:rPr>
                  <m:t>max</m:t>
                </m:r>
              </m:sub>
            </m:sSub>
          </m:num>
          <m:den>
            <m:sSub>
              <m:sSubPr>
                <m:ctrlPr>
                  <w:rPr>
                    <w:rFonts w:ascii="Cambria Math" w:hAnsi="Cambria Math"/>
                  </w:rPr>
                </m:ctrlPr>
              </m:sSubPr>
              <m:e>
                <m:r>
                  <w:rPr>
                    <w:rFonts w:ascii="Cambria Math" w:hAnsi="Cambria Math"/>
                  </w:rPr>
                  <m:t>F</m:t>
                </m:r>
              </m:e>
              <m:sub>
                <m:r>
                  <w:rPr>
                    <w:rFonts w:ascii="Cambria Math" w:hAnsi="Cambria Math"/>
                  </w:rPr>
                  <m:t>A</m:t>
                </m:r>
              </m:sub>
            </m:sSub>
            <m:sSub>
              <m:sSubPr>
                <m:ctrlPr>
                  <w:rPr>
                    <w:rFonts w:ascii="Cambria Math" w:hAnsi="Cambria Math"/>
                  </w:rPr>
                </m:ctrlPr>
              </m:sSubPr>
              <m:e>
                <m:r>
                  <w:rPr>
                    <w:rFonts w:ascii="Cambria Math" w:hAnsi="Cambria Math"/>
                  </w:rPr>
                  <m:t>I</m:t>
                </m:r>
              </m:e>
              <m:sub>
                <m:r>
                  <m:rPr>
                    <m:sty m:val="p"/>
                  </m:rPr>
                  <w:rPr>
                    <w:rFonts w:ascii="Cambria Math" w:hAnsi="Cambria Math"/>
                  </w:rPr>
                  <m:t>0</m:t>
                </m:r>
              </m:sub>
            </m:sSub>
            <m:r>
              <w:rPr>
                <w:rFonts w:ascii="Cambria Math" w:hAnsi="Cambria Math"/>
              </w:rPr>
              <m:t>eβ</m:t>
            </m:r>
          </m:den>
        </m:f>
      </m:oMath>
      <w:r w:rsidR="00FE2BA7">
        <w:tab/>
      </w:r>
      <w:r w:rsidR="00FE2BA7">
        <w:tab/>
      </w:r>
      <w:r w:rsidR="00FE2BA7">
        <w:tab/>
      </w:r>
      <w:r w:rsidR="00FE2BA7">
        <w:tab/>
      </w:r>
      <w:r w:rsidR="00FE2BA7">
        <w:tab/>
      </w:r>
      <w:r w:rsidR="00CB49AC" w:rsidRPr="00CF6004">
        <w:t>(6)</w:t>
      </w:r>
    </w:p>
    <w:p w14:paraId="782E1FA1" w14:textId="266A52E9" w:rsidR="00CB49AC" w:rsidRPr="00F228B4" w:rsidRDefault="00CB49AC" w:rsidP="001D6716">
      <w:pPr>
        <w:pStyle w:val="Head1"/>
      </w:pPr>
      <w:r w:rsidRPr="00F228B4">
        <w:lastRenderedPageBreak/>
        <w:t>Expressing the TRMC signal in</w:t>
      </w:r>
      <w:r w:rsidR="00FE2BA7" w:rsidRPr="00F228B4">
        <w:t xml:space="preserve"> </w:t>
      </w:r>
      <m:oMath>
        <m: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μ</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h</m:t>
                </m:r>
              </m:sub>
            </m:sSub>
          </m:e>
        </m:d>
      </m:oMath>
      <w:r w:rsidRPr="00F228B4">
        <w:t xml:space="preserve"> product enables us to directly compare TRMC measurements of different samples.</w:t>
      </w:r>
    </w:p>
    <w:p w14:paraId="1C805130" w14:textId="28D8F68E" w:rsidR="00CB49AC" w:rsidRPr="00F228B4" w:rsidRDefault="00CB49AC" w:rsidP="001D6716">
      <w:pPr>
        <w:pStyle w:val="Head1"/>
      </w:pPr>
      <w:r w:rsidRPr="00F228B4">
        <w:t xml:space="preserve">In contrast to DC techniques, such as time-of-flight or field effect transistor measurements, charges do not undergo a net displacement in the photo-active layer during a TRMC measurement. In fact, due to the low electric field strength of the microwaves in the cell and the rapid oscillating direction of the electric field, the drift distances are relatively small, </w:t>
      </w:r>
      <w:r w:rsidRPr="00F228B4">
        <w:rPr>
          <w:i/>
        </w:rPr>
        <w:t>i.e.</w:t>
      </w:r>
      <w:r w:rsidRPr="00F228B4">
        <w:t xml:space="preserve"> in the </w:t>
      </w:r>
      <w:proofErr w:type="spellStart"/>
      <w:r w:rsidRPr="00F228B4">
        <w:t>nanometer</w:t>
      </w:r>
      <w:proofErr w:type="spellEnd"/>
      <w:r w:rsidRPr="00F228B4">
        <w:t xml:space="preserve"> regime. </w:t>
      </w:r>
      <w:r w:rsidR="00FE0A3D" w:rsidRPr="00F228B4">
        <w:t>This implies that transport over grain boundaries does not limit the mobilities unless the grain size becomes &lt;100 nm.</w:t>
      </w:r>
      <w:r w:rsidR="0051626E">
        <w:fldChar w:fldCharType="begin" w:fldLock="1"/>
      </w:r>
      <w:r w:rsidR="00021102">
        <w:instrText>ADDIN CSL_CITATION {"citationItems":[{"id":"ITEM-1","itemData":{"DOI":"10.1021/acs.jpclett.9b02757","ISSN":"19487185","PMID":"31542932","abstract":"Growing large, oriented grains of perovskite often leads to efficient devices, but it is unclear if properties of the grains are responsible for the efficiency. Domains observed in SEM are commonly misidentified with crystallographic grains, but SEM images do not provide diffraction information. We study methylammoinium lead iodide (MAPbI3) films fabricated via flash infrared annealing (FIRA) and the conventional antisolvent (AS) method by measuring grain size and orientation using electron back-scattered diffraction (EBSD) and studying how these affect optoelectronic properties such as local photoluminescence (PL), charge carrier lifetimes, and mobilities. We observe a local enhancement and shift of the PL emission at different regions of the FIRA clusters, but we observe no effect of crystal orientation on the optoelectronic properties. Additionally, despite substantial differences in grain size between the two systems, we find similar optoelectronic properties. These findings show that optoelectronic quality is not necessarily related to the orientation and size of crystalline domains.","author":[{"dropping-particle":"","family":"Muscarella","given":"Loreta A.","non-dropping-particle":"","parse-names":false,"suffix":""},{"dropping-particle":"","family":"Hutter","given":"Eline M.","non-dropping-particle":"","parse-names":false,"suffix":""},{"dropping-particle":"","family":"Sanchez","given":"Sandy","non-dropping-particle":"","parse-names":false,"suffix":""},{"dropping-particle":"","family":"Dieleman","given":"Christian D.","non-dropping-particle":"","parse-names":false,"suffix":""},{"dropping-particle":"","family":"Savenije","given":"Tom J.","non-dropping-particle":"","parse-names":false,"suffix":""},{"dropping-particle":"","family":"Hagfeldt","given":"Anders","non-dropping-particle":"","parse-names":false,"suffix":""},{"dropping-particle":"","family":"Saliba","given":"Michael","non-dropping-particle":"","parse-names":false,"suffix":""},{"dropping-particle":"","family":"Ehrler","given":"Bruno","non-dropping-particle":"","parse-names":false,"suffix":""}],"container-title":"Journal of Physical Chemistry Letters","id":"ITEM-1","issue":"20","issued":{"date-parts":[["2019"]]},"page":"6010-6018","title":"Crystal Orientation and Grain Size: Do They Determine Optoelectronic Properties of MAPbI3 Perovskite?","type":"article-journal","volume":"10"},"uris":["http://www.mendeley.com/documents/?uuid=05895c31-6a31-411a-8cee-98bfd345d758"]}],"mendeley":{"formattedCitation":"&lt;sup&gt;[14]&lt;/sup&gt;","plainTextFormattedCitation":"[14]","previouslyFormattedCitation":"&lt;sup&gt;[14]&lt;/sup&gt;"},"properties":{"noteIndex":0},"schema":"https://github.com/citation-style-language/schema/raw/master/csl-citation.json"}</w:instrText>
      </w:r>
      <w:r w:rsidR="0051626E">
        <w:fldChar w:fldCharType="separate"/>
      </w:r>
      <w:r w:rsidR="00021102" w:rsidRPr="00021102">
        <w:rPr>
          <w:noProof/>
          <w:vertAlign w:val="superscript"/>
        </w:rPr>
        <w:t>[14]</w:t>
      </w:r>
      <w:r w:rsidR="0051626E">
        <w:fldChar w:fldCharType="end"/>
      </w:r>
      <w:r w:rsidR="00FE0A3D" w:rsidRPr="00F228B4">
        <w:t xml:space="preserve"> For techniques in which excess carriers have to cross grain boundaries</w:t>
      </w:r>
      <w:r w:rsidR="005B5EA2">
        <w:t>,</w:t>
      </w:r>
      <w:r w:rsidR="00FE0A3D" w:rsidRPr="00F228B4">
        <w:t xml:space="preserve"> reported mobilities are typically at least an order of magnitude less</w:t>
      </w:r>
      <w:r w:rsidR="00FE0A3D" w:rsidRPr="00CF6004">
        <w:rPr>
          <w:color w:val="000000" w:themeColor="text1"/>
        </w:rPr>
        <w:t>.</w:t>
      </w:r>
      <w:r w:rsidR="00AB5A31" w:rsidRPr="00CF6004">
        <w:rPr>
          <w:color w:val="000000" w:themeColor="text1"/>
        </w:rPr>
        <w:fldChar w:fldCharType="begin" w:fldLock="1"/>
      </w:r>
      <w:r w:rsidR="00021102">
        <w:rPr>
          <w:color w:val="000000" w:themeColor="text1"/>
        </w:rPr>
        <w:instrText>ADDIN CSL_CITATION {"citationItems":[{"id":"ITEM-1","itemData":{"DOI":"10.1021/j150668a057","ISBN":"2088602550","ISSN":"00223654","abstract":"A time-of-flight technique for mobility measurements in the condensed phase is described. Multiphoton ionization is used to create a thin layer of charge in the bulk of a sample at any arbitrary position between coplanar electrodes. Transit times are extracted from a pair of photocurrent traces obtained at fixed excitation position but with opposite polarities of the applied field. Methods are presented for analyzing both simple two-ion photocurrent transients and more complex multiple-ion traces. The technique is applied to solutions of zinc tetraphenylporphine and p-benzoquinone in benzene or hexane. Both two-ion and multiple-ion traces are observed and analyzed. The multiple-ion time-of-flight signals illustrate both the sensitivity of the method as well as its potential application to time-resolved photochemical studies at extremely low levels of charge density. © 1984 American Chemical Society.","author":[{"dropping-particle":"","family":"Haber","given":"K. S.","non-dropping-particle":"","parse-names":false,"suffix":""},{"dropping-particle":"","family":"Albrecht","given":"A. C.","non-dropping-particle":"","parse-names":false,"suffix":""}],"container-title":"Journal of Physical Chemistry","id":"ITEM-1","issue":"24","issued":{"date-parts":[["1984"]]},"page":"6025-6030","title":"Time-of-flight technique for mobility measurements in the condensed phase","type":"article-journal","volume":"88"},"uris":["http://www.mendeley.com/documents/?uuid=857e6c15-1375-48c7-80a2-70cd35644e53"]}],"mendeley":{"formattedCitation":"&lt;sup&gt;[15]&lt;/sup&gt;","plainTextFormattedCitation":"[15]","previouslyFormattedCitation":"&lt;sup&gt;[15]&lt;/sup&gt;"},"properties":{"noteIndex":0},"schema":"https://github.com/citation-style-language/schema/raw/master/csl-citation.json"}</w:instrText>
      </w:r>
      <w:r w:rsidR="00AB5A31" w:rsidRPr="00CF6004">
        <w:rPr>
          <w:color w:val="000000" w:themeColor="text1"/>
        </w:rPr>
        <w:fldChar w:fldCharType="separate"/>
      </w:r>
      <w:r w:rsidR="00021102" w:rsidRPr="00021102">
        <w:rPr>
          <w:noProof/>
          <w:color w:val="000000" w:themeColor="text1"/>
          <w:vertAlign w:val="superscript"/>
        </w:rPr>
        <w:t>[15]</w:t>
      </w:r>
      <w:r w:rsidR="00AB5A31" w:rsidRPr="00CF6004">
        <w:rPr>
          <w:color w:val="000000" w:themeColor="text1"/>
        </w:rPr>
        <w:fldChar w:fldCharType="end"/>
      </w:r>
      <w:r w:rsidR="00FE0A3D" w:rsidRPr="00CF6004">
        <w:rPr>
          <w:color w:val="FF0000"/>
        </w:rPr>
        <w:t xml:space="preserve"> </w:t>
      </w:r>
      <w:r w:rsidR="00FE0A3D" w:rsidRPr="00F228B4">
        <w:t>An extensive discussion over the latter is reported for thin films of MAPbI</w:t>
      </w:r>
      <w:r w:rsidR="00FE0A3D" w:rsidRPr="0051626E">
        <w:rPr>
          <w:vertAlign w:val="subscript"/>
        </w:rPr>
        <w:t>3</w:t>
      </w:r>
      <w:r w:rsidR="00FE0A3D" w:rsidRPr="00F228B4">
        <w:t xml:space="preserve"> by Levine et al.</w:t>
      </w:r>
      <w:r w:rsidR="0051626E">
        <w:fldChar w:fldCharType="begin" w:fldLock="1"/>
      </w:r>
      <w:r w:rsidR="00021102">
        <w:instrText>ADDIN CSL_CITATION {"citationItems":[{"id":"ITEM-1","itemData":{"DOI":"10.1063/1.5037637","ISSN":"10897550","abstract":"Time-resolved, pulsed excitation methods are widely used to deduce optoelectronic properties of semiconductors, including now also Halide Perovskites (HaPs), especially transport properties. However, as yet, no evaluation of their amenability and justification for the use of the results for the above-noted purposes has been reported. To check if we can learn from pulsed measurement results about steady-state phototransport properties, we show here that, although pulsed measurements can be useful to extract information on the recombination kinetics of HaPs, great care should be taken. One issue is that no changes in the material are induced during or as a result of the excitation, and another one concerns in how far pulsed excitation-derived data can be used to find relevant steady-state parameters. To answer the latter question, we revisited pulsed excitation and propose a novel way to compare between pulsed and steady state measurements at different excitation intensities. We performed steady-state photoconductivity and ambipolar diffusion length measurements, as well as pulsed time-resolved microwave conductivity and time-resolved photoluminescence measurements as a function of excitation intensity on the same samples of different MAPbI3 thin films, and found good quasi-quantitative agreement between the results, explaining them with a generalized single level recombination model that describes the basic physics of phototransport of HaP absorbers. Moreover, we find the first experimental manifestation of the boundaries between several effective recombination regimes that exist in HaPs, by analyzing their phototransport behavior as a function of excitation intensity.","author":[{"dropping-particle":"","family":"Levine","given":"Igal","non-dropping-particle":"","parse-names":false,"suffix":""},{"dropping-particle":"","family":"Gupta","given":"Satyajit","non-dropping-particle":"","parse-names":false,"suffix":""},{"dropping-particle":"","family":"Bera","given":"Achintya","non-dropping-particle":"","parse-names":false,"suffix":""},{"dropping-particle":"","family":"Ceratti","given":"Davide","non-dropping-particle":"","parse-names":false,"suffix":""},{"dropping-particle":"","family":"Hodes","given":"Gary","non-dropping-particle":"","parse-names":false,"suffix":""},{"dropping-particle":"","family":"Cahen","given":"David","non-dropping-particle":"","parse-names":false,"suffix":""},{"dropping-particle":"","family":"Guo","given":"Dengyang","non-dropping-particle":"","parse-names":false,"suffix":""},{"dropping-particle":"","family":"Savenije","given":"Tom J.","non-dropping-particle":"","parse-names":false,"suffix":""},{"dropping-particle":"","family":"Ávila","given":"Jorge","non-dropping-particle":"","parse-names":false,"suffix":""},{"dropping-particle":"","family":"Bolink","given":"Henk J.","non-dropping-particle":"","parse-names":false,"suffix":""},{"dropping-particle":"","family":"Millo","given":"Oded","non-dropping-particle":"","parse-names":false,"suffix":""},{"dropping-particle":"","family":"Azulay","given":"Doron","non-dropping-particle":"","parse-names":false,"suffix":""},{"dropping-particle":"","family":"Balberg","given":"Isaac","non-dropping-particle":"","parse-names":false,"suffix":""}],"container-title":"Journal of Applied Physics","id":"ITEM-1","issue":"10","issued":{"date-parts":[["2018"]]},"title":"Can we use time-resolved measurements to get steady-state transport data for halide perovskites?","type":"article-journal","volume":"124"},"uris":["http://www.mendeley.com/documents/?uuid=e7dcb562-d62b-404e-b6a4-28e07bec7db4"]}],"mendeley":{"formattedCitation":"&lt;sup&gt;[16]&lt;/sup&gt;","plainTextFormattedCitation":"[16]","previouslyFormattedCitation":"&lt;sup&gt;[16]&lt;/sup&gt;"},"properties":{"noteIndex":0},"schema":"https://github.com/citation-style-language/schema/raw/master/csl-citation.json"}</w:instrText>
      </w:r>
      <w:r w:rsidR="0051626E">
        <w:fldChar w:fldCharType="separate"/>
      </w:r>
      <w:r w:rsidR="00021102" w:rsidRPr="00021102">
        <w:rPr>
          <w:noProof/>
          <w:vertAlign w:val="superscript"/>
        </w:rPr>
        <w:t>[16]</w:t>
      </w:r>
      <w:r w:rsidR="0051626E">
        <w:fldChar w:fldCharType="end"/>
      </w:r>
      <w:r w:rsidR="0051626E" w:rsidRPr="00F228B4" w:rsidDel="00A91010">
        <w:t xml:space="preserve"> </w:t>
      </w:r>
    </w:p>
    <w:p w14:paraId="3C1F9299" w14:textId="5E788EDA" w:rsidR="00CB49AC" w:rsidRPr="00F228B4" w:rsidRDefault="00F2401B" w:rsidP="001D6716">
      <w:pPr>
        <w:pStyle w:val="Head1"/>
      </w:pPr>
      <w:r w:rsidRPr="00F228B4">
        <w:t>Note</w:t>
      </w:r>
      <w:r w:rsidR="00CB49AC" w:rsidRPr="00F228B4">
        <w:t xml:space="preserve"> that both electrons and holes</w:t>
      </w:r>
      <w:r w:rsidR="007D50C1">
        <w:t>’</w:t>
      </w:r>
      <w:r w:rsidR="009D01DF" w:rsidRPr="00F228B4">
        <w:t xml:space="preserve"> </w:t>
      </w:r>
      <w:r w:rsidR="007D50C1">
        <w:t xml:space="preserve">contributions to the </w:t>
      </w:r>
      <w:r w:rsidR="00CB49AC" w:rsidRPr="00F228B4">
        <w:t>photo-conductance</w:t>
      </w:r>
      <w:r w:rsidR="007D50C1">
        <w:t xml:space="preserve"> depend on their mobilities</w:t>
      </w:r>
      <w:r w:rsidR="00CB49AC" w:rsidRPr="00F228B4">
        <w:t>. This is in contrast with more frequently used time-resolved photoluminescence (</w:t>
      </w:r>
      <w:r w:rsidR="00CB0C58" w:rsidRPr="00F228B4">
        <w:t>TR</w:t>
      </w:r>
      <w:r w:rsidR="00CB49AC" w:rsidRPr="00F228B4">
        <w:t xml:space="preserve">PL) measurements, which specifically detects radiative recombination events. Therefore, the decays obtained with TRMC cannot a priori be compared to </w:t>
      </w:r>
      <w:r w:rsidR="00CB0C58" w:rsidRPr="00F228B4">
        <w:t>TR</w:t>
      </w:r>
      <w:r w:rsidR="00CB49AC" w:rsidRPr="00F228B4">
        <w:t xml:space="preserve">PL </w:t>
      </w:r>
      <w:r w:rsidR="00CB0C58" w:rsidRPr="00F228B4">
        <w:t>signals</w:t>
      </w:r>
      <w:r w:rsidR="00CB49AC" w:rsidRPr="00F228B4">
        <w:t xml:space="preserve">. Instead, TRMC gives complementary insights to </w:t>
      </w:r>
      <w:r w:rsidR="00CB0C58" w:rsidRPr="00F228B4">
        <w:t>TR</w:t>
      </w:r>
      <w:r w:rsidR="00CB49AC" w:rsidRPr="00F228B4">
        <w:t xml:space="preserve">PL, since it </w:t>
      </w:r>
      <w:r w:rsidR="005B5EA2">
        <w:t>displays</w:t>
      </w:r>
      <w:r w:rsidR="00CB49AC" w:rsidRPr="00F228B4">
        <w:t xml:space="preserve"> the recombination of all free mobile charge carriers: both radiative and non-radiative. Therefore, TRMC is especially useful for studying the recombination kinetics in MHPs showing poor light-outcoupling and substantial reabsorption of emitted photons, such as macroscopic </w:t>
      </w:r>
      <w:r w:rsidR="000A58EF" w:rsidRPr="00F228B4">
        <w:rPr>
          <w:lang w:val="en-US" w:eastAsia="en-US"/>
        </w:rPr>
        <w:t>MHP</w:t>
      </w:r>
      <w:r w:rsidR="00CB49AC" w:rsidRPr="00F228B4">
        <w:t xml:space="preserve"> crystals, or </w:t>
      </w:r>
      <w:r w:rsidR="000A58EF" w:rsidRPr="00F228B4">
        <w:rPr>
          <w:lang w:val="en-US" w:eastAsia="en-US"/>
        </w:rPr>
        <w:t>MHP</w:t>
      </w:r>
      <w:r w:rsidR="00CB0C58" w:rsidRPr="00F228B4">
        <w:t xml:space="preserve">s supplied with a </w:t>
      </w:r>
      <w:r w:rsidR="00CB49AC" w:rsidRPr="00F228B4">
        <w:t xml:space="preserve">transport material, where most recombination is non-radiative. </w:t>
      </w:r>
    </w:p>
    <w:p w14:paraId="0E2E9F77" w14:textId="2DA84856" w:rsidR="00CB49AC" w:rsidRPr="00F228B4" w:rsidRDefault="00CB49AC" w:rsidP="001D6716">
      <w:pPr>
        <w:pStyle w:val="Head1"/>
      </w:pPr>
    </w:p>
    <w:p w14:paraId="2BEBD63F" w14:textId="1250BD38" w:rsidR="00CB49AC" w:rsidRPr="00266AD8" w:rsidRDefault="00CB49AC" w:rsidP="001D6716">
      <w:pPr>
        <w:pStyle w:val="Head1"/>
        <w:rPr>
          <w:b/>
        </w:rPr>
      </w:pPr>
      <w:r w:rsidRPr="00266AD8">
        <w:rPr>
          <w:b/>
        </w:rPr>
        <w:t xml:space="preserve">Section 2: </w:t>
      </w:r>
      <w:r w:rsidR="00B44BD7" w:rsidRPr="00266AD8">
        <w:rPr>
          <w:b/>
        </w:rPr>
        <w:t>Global m</w:t>
      </w:r>
      <w:r w:rsidRPr="00266AD8">
        <w:rPr>
          <w:b/>
        </w:rPr>
        <w:t xml:space="preserve">odelling of </w:t>
      </w:r>
      <w:r w:rsidR="00CB0C58" w:rsidRPr="00266AD8">
        <w:rPr>
          <w:b/>
        </w:rPr>
        <w:t xml:space="preserve">TRMC </w:t>
      </w:r>
      <w:r w:rsidRPr="00266AD8">
        <w:rPr>
          <w:b/>
        </w:rPr>
        <w:t>Data</w:t>
      </w:r>
    </w:p>
    <w:p w14:paraId="71EB0C77" w14:textId="6F5F611C" w:rsidR="00FC7A0E" w:rsidRPr="00CF6004" w:rsidRDefault="00CB49AC" w:rsidP="001D6716">
      <w:pPr>
        <w:pStyle w:val="Head1"/>
      </w:pPr>
      <w:r w:rsidRPr="00CF6004">
        <w:t xml:space="preserve">In order to extract quantitative data out of TRMC measurements, the generic kinetic model, as detailed in Figure </w:t>
      </w:r>
      <w:r w:rsidR="007C35C4" w:rsidRPr="00CF6004">
        <w:t>3</w:t>
      </w:r>
      <w:r w:rsidR="00FC7A0E" w:rsidRPr="00CF6004">
        <w:t xml:space="preserve"> can be used</w:t>
      </w:r>
      <w:r w:rsidRPr="00CF6004">
        <w:t>.</w:t>
      </w:r>
      <w:r w:rsidR="007559B4" w:rsidRPr="00CF6004">
        <w:fldChar w:fldCharType="begin" w:fldLock="1"/>
      </w:r>
      <w:r w:rsidR="00021102">
        <w:instrText>ADDIN CSL_CITATION {"citationItems":[{"id":"ITEM-1","itemData":{"DOI":"10.1103/PhysRevApplied.2.034007","ISSN":"23317019","abstract":"Organic-inorganic perovskites are attracting increasing attention for their use in high-performance solar cells. Nevertheless, a detailed understanding of charge generation, interplay of excitons and free charge carriers, and recombination pathways, crucial for further device improvement, remains incomplete. Here, we present an analytical model describing both equilibrium properties of free charge carriers and excitons in the presence of electronic subgap trap states and their time evolution after photoexcitation in CH3NH3PbI3-xClx. At low fluences the charge-trapping pathways limit the photoluminescence quantum efficiency, whereas at high fluences the traps are predominantly filled and recombination of the photogenerated species is dominated by efficient radiative processes. We show experimentally that the photoluminescence quantum efficiency approaches 100% at low temperatures and at high fluences, as predicted by our model. Our approach provides a theoretical framework to understand the fundamental physics of perovskite semiconductors and to help in designing and enhancing the material for improved optoelectronic device operation.","author":[{"dropping-particle":"","family":"Stranks","given":"Samuel D.","non-dropping-particle":"","parse-names":false,"suffix":""},{"dropping-particle":"","family":"Burlakov","given":"Victor M.","non-dropping-particle":"","parse-names":false,"suffix":""},{"dropping-particle":"","family":"Leijtens","given":"Tomas","non-dropping-particle":"","parse-names":false,"suffix":""},{"dropping-particle":"","family":"Ball","given":"James M.","non-dropping-particle":"","parse-names":false,"suffix":""},{"dropping-particle":"","family":"Goriely","given":"Alain","non-dropping-particle":"","parse-names":false,"suffix":""},{"dropping-particle":"","family":"Snaith","given":"Henry J.","non-dropping-particle":"","parse-names":false,"suffix":""}],"container-title":"Physical Review Applied","id":"ITEM-1","issue":"3","issued":{"date-parts":[["2014"]]},"page":"1-8","title":"Recombination Kinetics in Organic-Inorganic Perovskites: Excitons, Free Charge, and Subgap States","type":"article-journal","volume":"2"},"uris":["http://www.mendeley.com/documents/?uuid=c44f6c28-b707-4bc4-b507-36ac28c296c8"]},{"id":"ITEM-2","itemData":{"author":[{"dropping-particle":"","family":"Hutter","given":"Eline M","non-dropping-particle":"","parse-names":false,"suffix":""},{"dropping-particle":"","family":"Eperon","given":"Giles E","non-dropping-particle":"","parse-names":false,"suffix":""},{"dropping-particle":"","family":"Stranks","given":"Samuel D","non-dropping-particle":"","parse-names":false,"suffix":""},{"dropping-particle":"","family":"Savenije","given":"Tom J","non-dropping-particle":"","parse-names":false,"suffix":""}],"container-title":"The journal of physical chemistry letters","id":"ITEM-2","issue":"15","issued":{"date-parts":[["2015"]]},"page":"3082-3090","publisher":"ACS Publications","title":"Charge carriers in planar and meso-structured organic--inorganic perovskites: mobilities, lifetimes, and concentrations of trap states","type":"article-journal","volume":"6"},"uris":["http://www.mendeley.com/documents/?uuid=27d7d9d2-f37d-4bfc-9bb9-c6c1b2acfd5c"]}],"mendeley":{"formattedCitation":"&lt;sup&gt;[17,18]&lt;/sup&gt;","plainTextFormattedCitation":"[17,18]","previouslyFormattedCitation":"&lt;sup&gt;[17,18]&lt;/sup&gt;"},"properties":{"noteIndex":0},"schema":"https://github.com/citation-style-language/schema/raw/master/csl-citation.json"}</w:instrText>
      </w:r>
      <w:r w:rsidR="007559B4" w:rsidRPr="00CF6004">
        <w:fldChar w:fldCharType="separate"/>
      </w:r>
      <w:r w:rsidR="00021102" w:rsidRPr="00021102">
        <w:rPr>
          <w:noProof/>
          <w:vertAlign w:val="superscript"/>
        </w:rPr>
        <w:t>[17,18]</w:t>
      </w:r>
      <w:r w:rsidR="007559B4" w:rsidRPr="00CF6004">
        <w:fldChar w:fldCharType="end"/>
      </w:r>
      <w:r w:rsidRPr="00CF6004">
        <w:t xml:space="preserve"> This model accounts for different recombination pathways of photo-excited electrons and holes and assumes homogeneous generation and decay of </w:t>
      </w:r>
      <w:r w:rsidRPr="00CF6004">
        <w:lastRenderedPageBreak/>
        <w:t xml:space="preserve">charges, which can be experimentally realized by using an excitation wavelength close to the absorption onset. In view of the relatively small exciton binding energy </w:t>
      </w:r>
      <w:r w:rsidR="00D07C65" w:rsidRPr="00CF6004">
        <w:t xml:space="preserve">of most </w:t>
      </w:r>
      <w:r w:rsidR="000A58EF" w:rsidRPr="00CF6004">
        <w:rPr>
          <w:lang w:val="en-US" w:eastAsia="en-US"/>
        </w:rPr>
        <w:t>MHP</w:t>
      </w:r>
      <w:r w:rsidR="00D07C65" w:rsidRPr="00CF6004">
        <w:t xml:space="preserve">s </w:t>
      </w:r>
      <w:r w:rsidRPr="00CF6004">
        <w:t>compared to thermal energy,</w:t>
      </w:r>
      <w:r w:rsidR="007559B4" w:rsidRPr="00CF6004">
        <w:fldChar w:fldCharType="begin" w:fldLock="1"/>
      </w:r>
      <w:r w:rsidR="00021102">
        <w:instrText>ADDIN CSL_CITATION {"citationItems":[{"id":"ITEM-1","itemData":{"DOI":"10.1038/nphys3357","ISSN":"17452481","abstract":"Solar cells based on the organic-inorganic tri-halide perovskite family of materials have shown significant progress recently, offering the prospect of low-cost solar energy from devices that are very simple to process. Fundamental to understanding the operation of these devices is the exciton binding energy, which has proved both difficult to measure directly and controversial. We demonstrate that by using very high magnetic fields it is possible to make an accurate and direct spectroscopic measurement of the exciton binding energy, which we find to be only 16 meV at low temperatures, over three times smaller than has been previously assumed. In the room-temperature phase we show that the binding energy falls to even smaller values of only a few millielectronvolts, which explains their excellent device performance as being due to spontaneous free-carrier generation following light absorption. Additionally, we determine the excitonic reduced effective mass to be 0.104m e (where m e is the electron mass), significantly smaller than previously estimated experimentally but in good agreement with recent calculations. Our work provides crucial information about the photophysics of these materials, which will in turn allow improved optoelectronic device operation and better understanding of their electronic properties.","author":[{"dropping-particle":"","family":"Miyata","given":"Atsuhiko","non-dropping-particle":"","parse-names":false,"suffix":""},{"dropping-particle":"","family":"Mitioglu","given":"Anatolie","non-dropping-particle":"","parse-names":false,"suffix":""},{"dropping-particle":"","family":"Plochocka","given":"Paulina","non-dropping-particle":"","parse-names":false,"suffix":""},{"dropping-particle":"","family":"Portugall","given":"Oliver","non-dropping-particle":"","parse-names":false,"suffix":""},{"dropping-particle":"","family":"Wang","given":"Jacob Tse Wei","non-dropping-particle":"","parse-names":false,"suffix":""},{"dropping-particle":"","family":"Stranks","given":"Samuel D.","non-dropping-particle":"","parse-names":false,"suffix":""},{"dropping-particle":"","family":"Snaith","given":"Henry J.","non-dropping-particle":"","parse-names":false,"suffix":""},{"dropping-particle":"","family":"Nicholas","given":"Robin J.","non-dropping-particle":"","parse-names":false,"suffix":""}],"container-title":"Nature Physics","id":"ITEM-1","issue":"7","issued":{"date-parts":[["2015"]]},"page":"582-587","title":"Direct measurement of the exciton binding energy and effective masses for charge carriers in organic-inorganic tri-halide perovskites","type":"article-journal","volume":"11"},"uris":["http://www.mendeley.com/documents/?uuid=5077db9d-5ba0-48c7-84a0-7eddeba059d6"]}],"mendeley":{"formattedCitation":"&lt;sup&gt;[19]&lt;/sup&gt;","plainTextFormattedCitation":"[19]","previouslyFormattedCitation":"&lt;sup&gt;[19]&lt;/sup&gt;"},"properties":{"noteIndex":0},"schema":"https://github.com/citation-style-language/schema/raw/master/csl-citation.json"}</w:instrText>
      </w:r>
      <w:r w:rsidR="007559B4" w:rsidRPr="00CF6004">
        <w:fldChar w:fldCharType="separate"/>
      </w:r>
      <w:r w:rsidR="00021102" w:rsidRPr="00021102">
        <w:rPr>
          <w:noProof/>
          <w:vertAlign w:val="superscript"/>
        </w:rPr>
        <w:t>[19]</w:t>
      </w:r>
      <w:r w:rsidR="007559B4" w:rsidRPr="00CF6004">
        <w:fldChar w:fldCharType="end"/>
      </w:r>
      <w:r w:rsidRPr="00CF6004">
        <w:t xml:space="preserve"> electron-hole pairs dissociate into free CB electrons and VB holes. </w:t>
      </w:r>
    </w:p>
    <w:p w14:paraId="37841E02" w14:textId="0BDD44B7" w:rsidR="00CB49AC" w:rsidRPr="00F228B4" w:rsidRDefault="00CB49AC" w:rsidP="001D6716">
      <w:pPr>
        <w:pStyle w:val="Head1"/>
      </w:pPr>
      <w:r w:rsidRPr="00F228B4">
        <w:t xml:space="preserve">Formation of charge carriers is represented by the generation term, </w:t>
      </w:r>
      <w:r w:rsidRPr="00F228B4">
        <w:rPr>
          <w:i/>
        </w:rPr>
        <w:t>G</w:t>
      </w:r>
      <w:r w:rsidRPr="00F228B4">
        <w:rPr>
          <w:i/>
          <w:vertAlign w:val="subscript"/>
        </w:rPr>
        <w:t>C</w:t>
      </w:r>
      <w:r w:rsidRPr="00F228B4">
        <w:t xml:space="preserve"> and takes into account the temporal profile and total light intensity of the laser pulse. In general, </w:t>
      </w:r>
      <w:r w:rsidR="00D07C65" w:rsidRPr="00F228B4">
        <w:t xml:space="preserve">perovskite </w:t>
      </w:r>
      <w:r w:rsidRPr="00F228B4">
        <w:t>semiconductor</w:t>
      </w:r>
      <w:r w:rsidR="00D07C65" w:rsidRPr="00F228B4">
        <w:t>s</w:t>
      </w:r>
      <w:r w:rsidRPr="00F228B4">
        <w:t xml:space="preserve"> are often unintentionally doped due to impurities</w:t>
      </w:r>
      <w:r w:rsidR="00D07C65" w:rsidRPr="00F228B4">
        <w:t xml:space="preserve"> and defects states</w:t>
      </w:r>
      <w:r w:rsidRPr="00F228B4">
        <w:t xml:space="preserve"> in the crystal lattice. This leads to additional CB electrons (n-type) or VB holes (p-type) already present before photo-excitation. </w:t>
      </w:r>
      <w:r w:rsidR="00D07C65" w:rsidRPr="00F228B4">
        <w:t>In case of a p-type doped perovskite as shown i</w:t>
      </w:r>
      <w:r w:rsidRPr="00F228B4">
        <w:t xml:space="preserve">n Figure </w:t>
      </w:r>
      <w:r w:rsidR="007C35C4" w:rsidRPr="00F228B4">
        <w:t>3</w:t>
      </w:r>
      <w:r w:rsidRPr="00F228B4">
        <w:t xml:space="preserve">, the concentration of dark carriers is represented by </w:t>
      </w:r>
      <w:r w:rsidRPr="00F228B4">
        <w:rPr>
          <w:i/>
        </w:rPr>
        <w:t>p</w:t>
      </w:r>
      <w:r w:rsidRPr="00F228B4">
        <w:rPr>
          <w:i/>
          <w:vertAlign w:val="subscript"/>
        </w:rPr>
        <w:t>0</w:t>
      </w:r>
      <w:r w:rsidRPr="00F228B4">
        <w:t xml:space="preserve">. Note that </w:t>
      </w:r>
      <w:r w:rsidR="007C35C4" w:rsidRPr="00F228B4">
        <w:rPr>
          <w:i/>
        </w:rPr>
        <w:t>p</w:t>
      </w:r>
      <w:r w:rsidR="007C35C4" w:rsidRPr="00F228B4">
        <w:rPr>
          <w:i/>
          <w:vertAlign w:val="subscript"/>
        </w:rPr>
        <w:t>0</w:t>
      </w:r>
      <w:r w:rsidRPr="00F228B4">
        <w:t xml:space="preserve"> does not contribute to the photo-conductance</w:t>
      </w:r>
      <w:r w:rsidR="00D07C65" w:rsidRPr="00F228B4">
        <w:t xml:space="preserve"> since the TRMC technique is an AC technique</w:t>
      </w:r>
      <w:r w:rsidR="00FC7A0E" w:rsidRPr="00F228B4">
        <w:t>,</w:t>
      </w:r>
      <w:r w:rsidR="00D07C65" w:rsidRPr="00F228B4">
        <w:t xml:space="preserve"> </w:t>
      </w:r>
      <w:r w:rsidR="00FC7A0E" w:rsidRPr="00F228B4">
        <w:t>however</w:t>
      </w:r>
      <w:r w:rsidR="00D07C65" w:rsidRPr="00F228B4">
        <w:t xml:space="preserve"> </w:t>
      </w:r>
      <w:r w:rsidR="00FC7A0E" w:rsidRPr="00F228B4">
        <w:rPr>
          <w:i/>
        </w:rPr>
        <w:t>p</w:t>
      </w:r>
      <w:r w:rsidR="00FC7A0E" w:rsidRPr="00F228B4">
        <w:rPr>
          <w:i/>
          <w:vertAlign w:val="subscript"/>
        </w:rPr>
        <w:t>0</w:t>
      </w:r>
      <w:r w:rsidR="00D07C65" w:rsidRPr="00F228B4">
        <w:t xml:space="preserve"> affects the recombination rate</w:t>
      </w:r>
      <w:r w:rsidR="0053543A" w:rsidRPr="00F228B4">
        <w:t>s</w:t>
      </w:r>
      <w:r w:rsidRPr="00F228B4">
        <w:t xml:space="preserve">. </w:t>
      </w:r>
    </w:p>
    <w:p w14:paraId="627FF2CA" w14:textId="4C0EF354" w:rsidR="00CB49AC" w:rsidRPr="00CB49AC" w:rsidRDefault="007711BF" w:rsidP="001D6716">
      <w:pPr>
        <w:pStyle w:val="Head1"/>
      </w:pPr>
      <w:r w:rsidRPr="007711BF">
        <w:rPr>
          <w:noProof/>
          <w:lang w:val="de-DE"/>
        </w:rPr>
        <w:drawing>
          <wp:inline distT="0" distB="0" distL="0" distR="0" wp14:anchorId="7499AA2A" wp14:editId="1F4E9C6C">
            <wp:extent cx="2582265" cy="2023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92603" cy="2031318"/>
                    </a:xfrm>
                    <a:prstGeom prst="rect">
                      <a:avLst/>
                    </a:prstGeom>
                  </pic:spPr>
                </pic:pic>
              </a:graphicData>
            </a:graphic>
          </wp:inline>
        </w:drawing>
      </w:r>
      <w:r w:rsidR="00CB49AC" w:rsidRPr="00CB49AC">
        <w:t xml:space="preserve"> </w:t>
      </w:r>
    </w:p>
    <w:p w14:paraId="619214D6" w14:textId="0A5E1100" w:rsidR="00CB49AC" w:rsidRPr="00F228B4" w:rsidRDefault="00CB49AC" w:rsidP="001D6716">
      <w:pPr>
        <w:pStyle w:val="Head1"/>
      </w:pPr>
      <w:r w:rsidRPr="00F228B4">
        <w:t xml:space="preserve">Figure </w:t>
      </w:r>
      <w:r w:rsidR="007C35C4" w:rsidRPr="00F228B4">
        <w:t>3</w:t>
      </w:r>
      <w:r w:rsidRPr="00F228B4">
        <w:t xml:space="preserve">. Kinetic model of processes occurring upon photo-excitation of a </w:t>
      </w:r>
      <w:r w:rsidR="00D07C65" w:rsidRPr="00F228B4">
        <w:t xml:space="preserve">(unintentionally) p-type </w:t>
      </w:r>
      <w:r w:rsidR="007C35C4" w:rsidRPr="00F228B4">
        <w:t>semiconductor perovskite</w:t>
      </w:r>
      <w:r w:rsidRPr="00F228B4">
        <w:t xml:space="preserve">. Here, </w:t>
      </w:r>
      <w:r w:rsidR="007C35C4" w:rsidRPr="00F228B4">
        <w:rPr>
          <w:i/>
        </w:rPr>
        <w:t>G</w:t>
      </w:r>
      <w:r w:rsidR="007C35C4" w:rsidRPr="00F228B4">
        <w:rPr>
          <w:i/>
          <w:vertAlign w:val="subscript"/>
        </w:rPr>
        <w:t>C</w:t>
      </w:r>
      <w:r w:rsidRPr="00F228B4">
        <w:t xml:space="preserve"> represents the photo-excitation of electrons (closed circles) from the valence band (VB) to the conduction band (CB). The CB electrons can recombine with holes (open circles) in the VB via </w:t>
      </w:r>
      <w:r w:rsidRPr="00F228B4">
        <w:rPr>
          <w:i/>
        </w:rPr>
        <w:t>k</w:t>
      </w:r>
      <w:r w:rsidRPr="00F228B4">
        <w:rPr>
          <w:i/>
          <w:vertAlign w:val="subscript"/>
        </w:rPr>
        <w:t>2</w:t>
      </w:r>
      <w:r w:rsidRPr="00F228B4">
        <w:t xml:space="preserve">. In competition with </w:t>
      </w:r>
      <w:r w:rsidR="007C35C4" w:rsidRPr="00F228B4">
        <w:rPr>
          <w:i/>
        </w:rPr>
        <w:t>k</w:t>
      </w:r>
      <w:r w:rsidR="007C35C4" w:rsidRPr="00F228B4">
        <w:rPr>
          <w:i/>
          <w:vertAlign w:val="subscript"/>
        </w:rPr>
        <w:t>2</w:t>
      </w:r>
      <w:r w:rsidRPr="00F228B4">
        <w:t xml:space="preserve">, electrons can be immobilized in intra-band gap trap states with total density </w:t>
      </w:r>
      <w:r w:rsidRPr="00F228B4">
        <w:rPr>
          <w:i/>
        </w:rPr>
        <w:t>N</w:t>
      </w:r>
      <w:r w:rsidRPr="00F228B4">
        <w:rPr>
          <w:i/>
          <w:vertAlign w:val="subscript"/>
        </w:rPr>
        <w:t>T</w:t>
      </w:r>
      <w:r w:rsidRPr="00F228B4">
        <w:t xml:space="preserve"> via </w:t>
      </w:r>
      <w:proofErr w:type="spellStart"/>
      <w:r w:rsidRPr="00F228B4">
        <w:rPr>
          <w:i/>
        </w:rPr>
        <w:t>k</w:t>
      </w:r>
      <w:r w:rsidRPr="00F228B4">
        <w:rPr>
          <w:i/>
          <w:vertAlign w:val="subscript"/>
        </w:rPr>
        <w:t>T</w:t>
      </w:r>
      <w:r w:rsidRPr="00F228B4">
        <w:t>.</w:t>
      </w:r>
      <w:proofErr w:type="spellEnd"/>
      <w:r w:rsidRPr="00F228B4">
        <w:t xml:space="preserve"> Finally, the trapped electrons can recombine with holes from the VB via </w:t>
      </w:r>
      <w:proofErr w:type="spellStart"/>
      <w:r w:rsidRPr="00F228B4">
        <w:rPr>
          <w:i/>
        </w:rPr>
        <w:t>k</w:t>
      </w:r>
      <w:r w:rsidRPr="00F228B4">
        <w:rPr>
          <w:i/>
          <w:vertAlign w:val="subscript"/>
        </w:rPr>
        <w:t>D</w:t>
      </w:r>
      <w:proofErr w:type="spellEnd"/>
      <w:r w:rsidRPr="00F228B4">
        <w:t xml:space="preserve">. In the case of an (unintentionally) </w:t>
      </w:r>
      <w:r w:rsidRPr="00F228B4">
        <w:lastRenderedPageBreak/>
        <w:t xml:space="preserve">doped </w:t>
      </w:r>
      <w:r w:rsidR="000A58EF" w:rsidRPr="00F228B4">
        <w:t>MHP</w:t>
      </w:r>
      <w:r w:rsidRPr="00F228B4">
        <w:t>, there will be additional holes (</w:t>
      </w:r>
      <w:r w:rsidR="007C35C4" w:rsidRPr="00F228B4">
        <w:rPr>
          <w:i/>
        </w:rPr>
        <w:t>p</w:t>
      </w:r>
      <w:r w:rsidR="007C35C4" w:rsidRPr="00F228B4">
        <w:rPr>
          <w:i/>
          <w:vertAlign w:val="subscript"/>
        </w:rPr>
        <w:t>0</w:t>
      </w:r>
      <w:r w:rsidRPr="00F228B4">
        <w:t xml:space="preserve">, p-type) on top of the photo-generated holes. Note that this fully mathematical model also holds for </w:t>
      </w:r>
      <w:r w:rsidR="00FC7A0E" w:rsidRPr="00F228B4">
        <w:t>an</w:t>
      </w:r>
      <w:r w:rsidR="00D07C65" w:rsidRPr="00F228B4">
        <w:t xml:space="preserve"> n-type</w:t>
      </w:r>
      <w:r w:rsidR="007C35C4" w:rsidRPr="00F228B4">
        <w:t xml:space="preserve"> </w:t>
      </w:r>
      <w:r w:rsidR="000A58EF" w:rsidRPr="00F228B4">
        <w:t>MHP</w:t>
      </w:r>
      <w:r w:rsidRPr="00F228B4">
        <w:t xml:space="preserve"> with trap states for holes</w:t>
      </w:r>
      <w:r w:rsidR="00D07C65" w:rsidRPr="00F228B4">
        <w:t>.</w:t>
      </w:r>
    </w:p>
    <w:p w14:paraId="0575FCAF" w14:textId="0C805254" w:rsidR="00CB49AC" w:rsidRPr="00F228B4" w:rsidRDefault="00CB49AC" w:rsidP="001D6716">
      <w:pPr>
        <w:pStyle w:val="Head1"/>
      </w:pPr>
      <w:r w:rsidRPr="00F228B4">
        <w:t xml:space="preserve">The following set of </w:t>
      </w:r>
      <w:r w:rsidR="00B30C7B" w:rsidRPr="00F228B4">
        <w:t xml:space="preserve">coupled </w:t>
      </w:r>
      <w:r w:rsidRPr="00F228B4">
        <w:t xml:space="preserve">differential equations implements </w:t>
      </w:r>
      <w:r w:rsidR="00D07C65" w:rsidRPr="00F228B4">
        <w:t xml:space="preserve">the processes shown in </w:t>
      </w:r>
      <w:r w:rsidRPr="00F228B4">
        <w:t xml:space="preserve">Figure </w:t>
      </w:r>
      <w:r w:rsidR="00D07C65" w:rsidRPr="00F228B4">
        <w:t>3</w:t>
      </w:r>
      <w:r w:rsidRPr="00F228B4">
        <w:t xml:space="preserve"> and describes </w:t>
      </w:r>
      <w:r w:rsidRPr="00F228B4">
        <w:rPr>
          <w:i/>
        </w:rPr>
        <w:t>n</w:t>
      </w:r>
      <w:r w:rsidRPr="00F228B4">
        <w:rPr>
          <w:i/>
          <w:vertAlign w:val="subscript"/>
        </w:rPr>
        <w:t>e</w:t>
      </w:r>
      <w:r w:rsidRPr="00F228B4">
        <w:t xml:space="preserve"> (Eq. </w:t>
      </w:r>
      <w:r w:rsidR="00EE3755" w:rsidRPr="00F228B4">
        <w:t>7</w:t>
      </w:r>
      <w:r w:rsidRPr="00F228B4">
        <w:t xml:space="preserve">) </w:t>
      </w:r>
      <w:proofErr w:type="spellStart"/>
      <w:r w:rsidRPr="00F228B4">
        <w:rPr>
          <w:i/>
        </w:rPr>
        <w:t>n</w:t>
      </w:r>
      <w:r w:rsidRPr="00F228B4">
        <w:rPr>
          <w:i/>
          <w:vertAlign w:val="subscript"/>
        </w:rPr>
        <w:t>h</w:t>
      </w:r>
      <w:proofErr w:type="spellEnd"/>
      <w:r w:rsidRPr="00F228B4">
        <w:t xml:space="preserve"> (Eq. </w:t>
      </w:r>
      <w:r w:rsidR="00EE3755" w:rsidRPr="00F228B4">
        <w:t>8</w:t>
      </w:r>
      <w:r w:rsidRPr="00F228B4">
        <w:t xml:space="preserve">) and </w:t>
      </w:r>
      <w:proofErr w:type="spellStart"/>
      <w:r w:rsidRPr="00F228B4">
        <w:rPr>
          <w:i/>
        </w:rPr>
        <w:t>n</w:t>
      </w:r>
      <w:r w:rsidRPr="00F228B4">
        <w:rPr>
          <w:i/>
          <w:vertAlign w:val="subscript"/>
        </w:rPr>
        <w:t>t</w:t>
      </w:r>
      <w:proofErr w:type="spellEnd"/>
      <w:r w:rsidRPr="00F228B4">
        <w:t xml:space="preserve"> (Eq. </w:t>
      </w:r>
      <w:r w:rsidR="00EE3755" w:rsidRPr="00F228B4">
        <w:t>9</w:t>
      </w:r>
      <w:r w:rsidRPr="00F228B4">
        <w:t xml:space="preserve">) as function of time. The rate constants for band-to-band electron-hole recombination, trap filling and trap emptying are represented by </w:t>
      </w:r>
      <w:r w:rsidRPr="00F228B4">
        <w:rPr>
          <w:i/>
        </w:rPr>
        <w:t>k</w:t>
      </w:r>
      <w:r w:rsidRPr="00F228B4">
        <w:rPr>
          <w:i/>
          <w:vertAlign w:val="subscript"/>
        </w:rPr>
        <w:t>2</w:t>
      </w:r>
      <w:r w:rsidRPr="00F228B4">
        <w:t xml:space="preserve">, </w:t>
      </w:r>
      <w:proofErr w:type="spellStart"/>
      <w:r w:rsidRPr="00F228B4">
        <w:rPr>
          <w:i/>
        </w:rPr>
        <w:t>k</w:t>
      </w:r>
      <w:r w:rsidRPr="00F228B4">
        <w:rPr>
          <w:i/>
          <w:vertAlign w:val="subscript"/>
        </w:rPr>
        <w:t>T</w:t>
      </w:r>
      <w:proofErr w:type="spellEnd"/>
      <w:r w:rsidRPr="00F228B4">
        <w:t xml:space="preserve"> and </w:t>
      </w:r>
      <w:proofErr w:type="spellStart"/>
      <w:r w:rsidRPr="00F228B4">
        <w:rPr>
          <w:i/>
        </w:rPr>
        <w:t>k</w:t>
      </w:r>
      <w:r w:rsidRPr="00F228B4">
        <w:rPr>
          <w:i/>
          <w:vertAlign w:val="subscript"/>
        </w:rPr>
        <w:t>D</w:t>
      </w:r>
      <w:proofErr w:type="spellEnd"/>
      <w:r w:rsidRPr="00F228B4">
        <w:t xml:space="preserve"> respectively. </w:t>
      </w:r>
    </w:p>
    <w:p w14:paraId="1A6B8125" w14:textId="45F63AD7" w:rsidR="00CB49AC" w:rsidRPr="001C5A5F" w:rsidRDefault="00000000" w:rsidP="001D6716">
      <w:pPr>
        <w:pStyle w:val="Head1"/>
        <w:rPr>
          <w:b/>
        </w:rPr>
      </w:pPr>
      <m:oMath>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n</m:t>
                </m:r>
              </m:e>
              <m:sub>
                <m:r>
                  <w:rPr>
                    <w:rFonts w:ascii="Cambria Math" w:hAnsi="Cambria Math"/>
                  </w:rPr>
                  <m:t>e</m:t>
                </m:r>
              </m:sub>
            </m:sSub>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sSub>
          <m:sSubPr>
            <m:ctrlPr>
              <w:rPr>
                <w:rFonts w:ascii="Cambria Math" w:hAnsi="Cambria Math"/>
              </w:rPr>
            </m:ctrlPr>
          </m:sSubPr>
          <m:e>
            <m:r>
              <w:rPr>
                <w:rFonts w:ascii="Cambria Math" w:hAnsi="Cambria Math"/>
              </w:rPr>
              <m:t>n</m:t>
            </m:r>
          </m:e>
          <m:sub>
            <m:r>
              <w:rPr>
                <w:rFonts w:ascii="Cambria Math" w:hAnsi="Cambria Math"/>
              </w:rPr>
              <m:t>e</m:t>
            </m:r>
          </m:sub>
        </m:sSub>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sSub>
          <m:sSubPr>
            <m:ctrlPr>
              <w:rPr>
                <w:rFonts w:ascii="Cambria Math" w:hAnsi="Cambria Math"/>
              </w:rPr>
            </m:ctrlPr>
          </m:sSubPr>
          <m:e>
            <m:r>
              <w:rPr>
                <w:rFonts w:ascii="Cambria Math" w:hAnsi="Cambria Math"/>
              </w:rPr>
              <m:t>n</m:t>
            </m:r>
          </m:e>
          <m:sub>
            <m:r>
              <w:rPr>
                <w:rFonts w:ascii="Cambria Math" w:hAnsi="Cambria Math"/>
              </w:rPr>
              <m:t>e</m:t>
            </m:r>
          </m:sub>
        </m:sSub>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t</m:t>
                </m:r>
              </m:sub>
            </m:sSub>
          </m:e>
        </m:d>
      </m:oMath>
      <w:r w:rsidR="00CB49AC" w:rsidRPr="001C5A5F">
        <w:t xml:space="preserve">       </w:t>
      </w:r>
      <w:r w:rsidR="00362883" w:rsidRPr="001C5A5F">
        <w:tab/>
      </w:r>
      <w:r w:rsidR="00362883" w:rsidRPr="001C5A5F">
        <w:tab/>
      </w:r>
      <w:r w:rsidR="00362883" w:rsidRPr="001C5A5F">
        <w:tab/>
      </w:r>
      <w:r w:rsidR="00362883" w:rsidRPr="001C5A5F">
        <w:tab/>
      </w:r>
      <w:r w:rsidR="00CB49AC" w:rsidRPr="00CF6004">
        <w:t>(</w:t>
      </w:r>
      <w:r w:rsidR="00EE3755" w:rsidRPr="00CF6004">
        <w:t>7</w:t>
      </w:r>
      <w:r w:rsidR="00CB49AC" w:rsidRPr="00CF6004">
        <w:t>)</w:t>
      </w:r>
    </w:p>
    <w:p w14:paraId="29462B6E" w14:textId="466AA302" w:rsidR="00CB49AC" w:rsidRPr="001C5A5F" w:rsidRDefault="00000000" w:rsidP="001D6716">
      <w:pPr>
        <w:pStyle w:val="Head1"/>
        <w:rPr>
          <w:b/>
        </w:rPr>
      </w:pPr>
      <m:oMath>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n</m:t>
                </m:r>
              </m:e>
              <m:sub>
                <m:r>
                  <w:rPr>
                    <w:rFonts w:ascii="Cambria Math" w:hAnsi="Cambria Math"/>
                  </w:rPr>
                  <m:t>h</m:t>
                </m:r>
              </m:sub>
            </m:sSub>
            <m:r>
              <m:rPr>
                <m:nor/>
              </m:rPr>
              <m:t> </m:t>
            </m:r>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sSub>
          <m:sSubPr>
            <m:ctrlPr>
              <w:rPr>
                <w:rFonts w:ascii="Cambria Math" w:hAnsi="Cambria Math"/>
              </w:rPr>
            </m:ctrlPr>
          </m:sSubPr>
          <m:e>
            <m:r>
              <w:rPr>
                <w:rFonts w:ascii="Cambria Math" w:hAnsi="Cambria Math"/>
              </w:rPr>
              <m:t>n</m:t>
            </m:r>
          </m:e>
          <m:sub>
            <m:r>
              <w:rPr>
                <w:rFonts w:ascii="Cambria Math" w:hAnsi="Cambria Math"/>
              </w:rPr>
              <m:t>e</m:t>
            </m:r>
          </m:sub>
        </m:sSub>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D</m:t>
            </m:r>
          </m:sub>
        </m:sSub>
        <m:sSub>
          <m:sSubPr>
            <m:ctrlPr>
              <w:rPr>
                <w:rFonts w:ascii="Cambria Math" w:hAnsi="Cambria Math"/>
              </w:rPr>
            </m:ctrlPr>
          </m:sSubPr>
          <m:e>
            <m:r>
              <w:rPr>
                <w:rFonts w:ascii="Cambria Math" w:hAnsi="Cambria Math"/>
              </w:rPr>
              <m:t>n</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e>
        </m:d>
      </m:oMath>
      <w:r w:rsidR="00CB49AC" w:rsidRPr="001C5A5F">
        <w:t xml:space="preserve">  </w:t>
      </w:r>
      <w:r w:rsidR="00362883" w:rsidRPr="001C5A5F">
        <w:tab/>
      </w:r>
      <w:r w:rsidR="00362883" w:rsidRPr="001C5A5F">
        <w:tab/>
      </w:r>
      <w:r w:rsidR="00362883" w:rsidRPr="001C5A5F">
        <w:tab/>
      </w:r>
      <w:r w:rsidR="00362883" w:rsidRPr="001C5A5F">
        <w:tab/>
      </w:r>
      <w:r w:rsidR="00CB49AC" w:rsidRPr="00CF6004">
        <w:t>(</w:t>
      </w:r>
      <w:r w:rsidR="00EE3755" w:rsidRPr="00CF6004">
        <w:t>8</w:t>
      </w:r>
      <w:r w:rsidR="00CB49AC" w:rsidRPr="00CF6004">
        <w:t>)</w:t>
      </w:r>
    </w:p>
    <w:p w14:paraId="03FCDD47" w14:textId="18BBF9FC" w:rsidR="00CB49AC" w:rsidRPr="00F228B4" w:rsidRDefault="00000000" w:rsidP="001D6716">
      <w:pPr>
        <w:pStyle w:val="Head1"/>
        <w:rPr>
          <w:b/>
        </w:rPr>
      </w:pPr>
      <m:oMath>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n</m:t>
                </m:r>
              </m:e>
              <m:sub>
                <m:r>
                  <w:rPr>
                    <w:rFonts w:ascii="Cambria Math" w:hAnsi="Cambria Math"/>
                  </w:rPr>
                  <m:t>t</m:t>
                </m:r>
              </m:sub>
            </m:sSub>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sSub>
          <m:sSubPr>
            <m:ctrlPr>
              <w:rPr>
                <w:rFonts w:ascii="Cambria Math" w:hAnsi="Cambria Math"/>
              </w:rPr>
            </m:ctrlPr>
          </m:sSubPr>
          <m:e>
            <m:r>
              <w:rPr>
                <w:rFonts w:ascii="Cambria Math" w:hAnsi="Cambria Math"/>
              </w:rPr>
              <m:t>n</m:t>
            </m:r>
          </m:e>
          <m:sub>
            <m:r>
              <w:rPr>
                <w:rFonts w:ascii="Cambria Math" w:hAnsi="Cambria Math"/>
              </w:rPr>
              <m:t>e</m:t>
            </m:r>
          </m:sub>
        </m:sSub>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t</m:t>
                </m:r>
              </m:sub>
            </m:sSub>
          </m:e>
        </m:d>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D</m:t>
            </m:r>
          </m:sub>
        </m:sSub>
        <m:sSub>
          <m:sSubPr>
            <m:ctrlPr>
              <w:rPr>
                <w:rFonts w:ascii="Cambria Math" w:hAnsi="Cambria Math"/>
              </w:rPr>
            </m:ctrlPr>
          </m:sSubPr>
          <m:e>
            <m:r>
              <w:rPr>
                <w:rFonts w:ascii="Cambria Math" w:hAnsi="Cambria Math"/>
              </w:rPr>
              <m:t>n</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e>
        </m:d>
      </m:oMath>
      <w:r w:rsidR="00362883">
        <w:tab/>
      </w:r>
      <w:r w:rsidR="00362883">
        <w:tab/>
      </w:r>
      <w:r w:rsidR="00362883">
        <w:tab/>
      </w:r>
      <w:r w:rsidR="00362883">
        <w:tab/>
      </w:r>
      <w:r w:rsidR="00362883">
        <w:tab/>
      </w:r>
      <w:r w:rsidR="00CB49AC" w:rsidRPr="00CF6004">
        <w:t xml:space="preserve"> (</w:t>
      </w:r>
      <w:r w:rsidR="00EE3755" w:rsidRPr="00CF6004">
        <w:t>9</w:t>
      </w:r>
      <w:r w:rsidR="00CB49AC" w:rsidRPr="00CF6004">
        <w:t>)</w:t>
      </w:r>
    </w:p>
    <w:p w14:paraId="16C196C1" w14:textId="77777777" w:rsidR="00CB49AC" w:rsidRPr="00F228B4" w:rsidRDefault="00CB49AC" w:rsidP="001D6716">
      <w:pPr>
        <w:pStyle w:val="Head1"/>
      </w:pPr>
      <w:r w:rsidRPr="00F228B4">
        <w:t xml:space="preserve">Solving the equations using numerical methods yields the time-dependent concentrations </w:t>
      </w:r>
      <w:r w:rsidRPr="00F228B4">
        <w:rPr>
          <w:i/>
        </w:rPr>
        <w:t>n</w:t>
      </w:r>
      <w:r w:rsidRPr="00F228B4">
        <w:rPr>
          <w:i/>
          <w:vertAlign w:val="subscript"/>
        </w:rPr>
        <w:t>e</w:t>
      </w:r>
      <w:r w:rsidRPr="00F228B4">
        <w:t xml:space="preserve">, </w:t>
      </w:r>
      <w:proofErr w:type="spellStart"/>
      <w:r w:rsidRPr="00F228B4">
        <w:rPr>
          <w:i/>
        </w:rPr>
        <w:t>n</w:t>
      </w:r>
      <w:r w:rsidRPr="00F228B4">
        <w:rPr>
          <w:i/>
          <w:vertAlign w:val="subscript"/>
        </w:rPr>
        <w:t>h</w:t>
      </w:r>
      <w:proofErr w:type="spellEnd"/>
      <w:r w:rsidRPr="00F228B4">
        <w:t xml:space="preserve"> and </w:t>
      </w:r>
      <w:r w:rsidRPr="00F228B4">
        <w:rPr>
          <w:i/>
        </w:rPr>
        <w:t>n</w:t>
      </w:r>
      <w:r w:rsidRPr="00F228B4">
        <w:rPr>
          <w:i/>
          <w:vertAlign w:val="subscript"/>
        </w:rPr>
        <w:t>t</w:t>
      </w:r>
      <w:r w:rsidRPr="00F228B4">
        <w:t>. The change in photo-conductance as function of time is calculated from the product of charge carrier concentrations and mobilities according to:</w:t>
      </w:r>
    </w:p>
    <w:p w14:paraId="1BC1392A" w14:textId="5040880B" w:rsidR="00CB49AC" w:rsidRPr="00F228B4" w:rsidRDefault="00596B3B" w:rsidP="001D6716">
      <w:pPr>
        <w:pStyle w:val="Head1"/>
        <w:rPr>
          <w:b/>
        </w:rPr>
      </w:pPr>
      <m:oMath>
        <m:r>
          <m:rPr>
            <m:sty m:val="p"/>
          </m:rPr>
          <w:rPr>
            <w:rFonts w:ascii="Cambria Math" w:hAnsi="Cambria Math"/>
          </w:rPr>
          <m:t>Δ</m:t>
        </m:r>
        <m:r>
          <w:rPr>
            <w:rFonts w:ascii="Cambria Math" w:hAnsi="Cambria Math"/>
          </w:rPr>
          <m:t>G</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d>
              <m:dPr>
                <m:ctrlPr>
                  <w:rPr>
                    <w:rFonts w:ascii="Cambria Math" w:hAnsi="Cambria Math"/>
                  </w:rPr>
                </m:ctrlPr>
              </m:dPr>
              <m:e>
                <m:r>
                  <w:rPr>
                    <w:rFonts w:ascii="Cambria Math" w:hAnsi="Cambria Math"/>
                  </w:rPr>
                  <m:t>t</m:t>
                </m:r>
              </m:e>
            </m:d>
            <m:sSub>
              <m:sSubPr>
                <m:ctrlPr>
                  <w:rPr>
                    <w:rFonts w:ascii="Cambria Math" w:hAnsi="Cambria Math"/>
                  </w:rPr>
                </m:ctrlPr>
              </m:sSubPr>
              <m:e>
                <m:r>
                  <w:rPr>
                    <w:rFonts w:ascii="Cambria Math" w:hAnsi="Cambria Math"/>
                  </w:rPr>
                  <m:t>μ</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μ</m:t>
                </m:r>
              </m:e>
              <m:sub>
                <m:r>
                  <w:rPr>
                    <w:rFonts w:ascii="Cambria Math" w:hAnsi="Cambria Math"/>
                  </w:rPr>
                  <m:t>h</m:t>
                </m:r>
              </m:sub>
            </m:sSub>
          </m:e>
        </m:d>
        <m:r>
          <w:rPr>
            <w:rFonts w:ascii="Cambria Math" w:hAnsi="Cambria Math"/>
          </w:rPr>
          <m:t>βL</m:t>
        </m:r>
      </m:oMath>
      <w:r w:rsidR="00CB49AC" w:rsidRPr="001C5A5F">
        <w:t xml:space="preserve">                          </w:t>
      </w:r>
      <w:r w:rsidR="007B6286" w:rsidRPr="001C5A5F">
        <w:tab/>
      </w:r>
      <w:r w:rsidR="007B6286" w:rsidRPr="001C5A5F">
        <w:tab/>
      </w:r>
      <w:r w:rsidR="007B6286" w:rsidRPr="001C5A5F">
        <w:tab/>
      </w:r>
      <w:r w:rsidR="00CB49AC" w:rsidRPr="00CF6004">
        <w:t>(1</w:t>
      </w:r>
      <w:r w:rsidR="00EE3755" w:rsidRPr="00CF6004">
        <w:t>0</w:t>
      </w:r>
      <w:r w:rsidR="00CB49AC" w:rsidRPr="00CF6004">
        <w:t>)</w:t>
      </w:r>
    </w:p>
    <w:p w14:paraId="68ED1209" w14:textId="2727D901" w:rsidR="00CB49AC" w:rsidRPr="00F228B4" w:rsidRDefault="00CB49AC" w:rsidP="001D6716">
      <w:pPr>
        <w:pStyle w:val="Head1"/>
      </w:pPr>
      <w:r w:rsidRPr="00F228B4">
        <w:t xml:space="preserve">Here, the trapped charge carriers, </w:t>
      </w:r>
      <w:proofErr w:type="spellStart"/>
      <w:r w:rsidRPr="00F228B4">
        <w:rPr>
          <w:i/>
        </w:rPr>
        <w:t>n</w:t>
      </w:r>
      <w:r w:rsidRPr="00F228B4">
        <w:rPr>
          <w:i/>
          <w:vertAlign w:val="subscript"/>
        </w:rPr>
        <w:t>t</w:t>
      </w:r>
      <w:proofErr w:type="spellEnd"/>
      <w:r w:rsidRPr="00F228B4">
        <w:t xml:space="preserve"> are assumed to be immobile and do not contribute to Δ</w:t>
      </w:r>
      <w:r w:rsidRPr="00F228B4">
        <w:rPr>
          <w:i/>
        </w:rPr>
        <w:t>G</w:t>
      </w:r>
      <w:r w:rsidRPr="00F228B4">
        <w:t>. The mobilities are assumed to be constant within the time window of the measurement and independent of the charge density. Finally, a convolution is applied to take into account the instrumental response function of the set-up.</w:t>
      </w:r>
      <w:r w:rsidR="006C2C0B">
        <w:fldChar w:fldCharType="begin" w:fldLock="1"/>
      </w:r>
      <w:r w:rsidR="00021102">
        <w:instrText>ADDIN CSL_CITATION {"citationItems":[{"id":"ITEM-1","itemData":{"author":[{"dropping-particle":"","family":"Hutter","given":"Eline M","non-dropping-particle":"","parse-names":false,"suffix":""},{"dropping-particle":"","family":"Savenije","given":"Tom J","non-dropping-particle":"","parse-names":false,"suffix":""},{"dropping-particle":"","family":"Ponseca Jr","given":"Carlito S","non-dropping-particle":"","parse-names":false,"suffix":""}],"container-title":"Perovskite Solar Cells: Principle, Materials and Devices","id":"ITEM-1","issued":{"date-parts":[["2017"]]},"page":"179-232","publisher":"World Scientific Publishing Co. Pte. Ltd.","title":"Time-Resolved Photoconductivity Measurements on Organometal Halide Perovskites","type":"chapter"},"uris":["http://www.mendeley.com/documents/?uuid=a835d845-aa9c-4c26-8435-55119dfd093b"]}],"mendeley":{"formattedCitation":"&lt;sup&gt;[10]&lt;/sup&gt;","plainTextFormattedCitation":"[10]","previouslyFormattedCitation":"&lt;sup&gt;[10]&lt;/sup&gt;"},"properties":{"noteIndex":0},"schema":"https://github.com/citation-style-language/schema/raw/master/csl-citation.json"}</w:instrText>
      </w:r>
      <w:r w:rsidR="006C2C0B">
        <w:fldChar w:fldCharType="separate"/>
      </w:r>
      <w:r w:rsidR="00021102" w:rsidRPr="00021102">
        <w:rPr>
          <w:noProof/>
          <w:vertAlign w:val="superscript"/>
        </w:rPr>
        <w:t>[10]</w:t>
      </w:r>
      <w:r w:rsidR="006C2C0B">
        <w:fldChar w:fldCharType="end"/>
      </w:r>
      <w:r w:rsidRPr="00CF6004">
        <w:rPr>
          <w:color w:val="FF0000"/>
        </w:rPr>
        <w:t xml:space="preserve"> </w:t>
      </w:r>
      <w:r w:rsidR="00FC7A0E" w:rsidRPr="00F228B4">
        <w:t xml:space="preserve">To obtain accurate values for all kinetic parameters describing a specific </w:t>
      </w:r>
      <w:r w:rsidR="000A58EF" w:rsidRPr="00F228B4">
        <w:t>MHP</w:t>
      </w:r>
      <w:r w:rsidR="002040C2" w:rsidRPr="00F228B4">
        <w:t>,</w:t>
      </w:r>
      <w:r w:rsidR="00FC7A0E" w:rsidRPr="00F228B4">
        <w:t xml:space="preserve"> a set of TRMC traces induced by widely varying laser intensities</w:t>
      </w:r>
      <w:r w:rsidR="002040C2" w:rsidRPr="00F228B4">
        <w:t xml:space="preserve"> (preferably more th</w:t>
      </w:r>
      <w:r w:rsidR="001B42BA" w:rsidRPr="00F228B4">
        <w:t>a</w:t>
      </w:r>
      <w:r w:rsidR="002040C2" w:rsidRPr="00F228B4">
        <w:t>n two orders of magnitude)</w:t>
      </w:r>
      <w:r w:rsidR="00384F8A">
        <w:t xml:space="preserve"> </w:t>
      </w:r>
      <w:r w:rsidR="00384F8A" w:rsidRPr="00F228B4">
        <w:t>should be recorded</w:t>
      </w:r>
      <w:r w:rsidR="00FC7A0E" w:rsidRPr="00F228B4">
        <w:t>.</w:t>
      </w:r>
      <w:r w:rsidR="002040C2" w:rsidRPr="00F228B4">
        <w:t xml:space="preserve"> Fits to these TRMC traces vary only by adapting the laser intensity, which is incorporated in the generation term, </w:t>
      </w:r>
      <w:r w:rsidR="002040C2" w:rsidRPr="00F228B4">
        <w:rPr>
          <w:i/>
        </w:rPr>
        <w:t>G</w:t>
      </w:r>
      <w:r w:rsidR="002040C2" w:rsidRPr="00F228B4">
        <w:rPr>
          <w:i/>
          <w:vertAlign w:val="subscript"/>
        </w:rPr>
        <w:t>C</w:t>
      </w:r>
      <w:r w:rsidR="002040C2" w:rsidRPr="00F228B4">
        <w:t xml:space="preserve">. By following this global approach accurate quantification of all parameters is feasible. </w:t>
      </w:r>
    </w:p>
    <w:p w14:paraId="619D00D9" w14:textId="77777777" w:rsidR="001525BD" w:rsidRDefault="001525BD">
      <w:pPr>
        <w:rPr>
          <w:b/>
          <w:color w:val="000000"/>
          <w:lang w:val="en-GB"/>
        </w:rPr>
      </w:pPr>
      <w:r>
        <w:br w:type="page"/>
      </w:r>
    </w:p>
    <w:p w14:paraId="3C723EDE" w14:textId="2CD4D4EF" w:rsidR="00CB49AC" w:rsidRPr="00266AD8" w:rsidRDefault="00384F8A" w:rsidP="001D6716">
      <w:pPr>
        <w:pStyle w:val="Head1"/>
        <w:rPr>
          <w:b/>
        </w:rPr>
      </w:pPr>
      <w:r w:rsidRPr="00266AD8">
        <w:rPr>
          <w:b/>
        </w:rPr>
        <w:lastRenderedPageBreak/>
        <w:t xml:space="preserve">Section </w:t>
      </w:r>
      <w:r w:rsidR="00FE5805" w:rsidRPr="00266AD8">
        <w:rPr>
          <w:b/>
        </w:rPr>
        <w:t>3</w:t>
      </w:r>
      <w:r w:rsidR="00CB49AC" w:rsidRPr="00266AD8">
        <w:rPr>
          <w:b/>
        </w:rPr>
        <w:t xml:space="preserve">. </w:t>
      </w:r>
      <w:r w:rsidR="001525BD" w:rsidRPr="00266AD8">
        <w:rPr>
          <w:b/>
          <w:color w:val="000000" w:themeColor="text1"/>
        </w:rPr>
        <w:t xml:space="preserve">TRMC measurements on </w:t>
      </w:r>
      <w:r w:rsidR="001525BD" w:rsidRPr="00266AD8">
        <w:rPr>
          <w:b/>
          <w:lang w:val="en-US" w:eastAsia="en-US"/>
        </w:rPr>
        <w:t>MAPbI</w:t>
      </w:r>
      <w:r w:rsidR="001525BD" w:rsidRPr="00266AD8">
        <w:rPr>
          <w:b/>
          <w:vertAlign w:val="subscript"/>
          <w:lang w:val="en-US" w:eastAsia="en-US"/>
        </w:rPr>
        <w:t>3</w:t>
      </w:r>
      <w:r w:rsidR="001525BD" w:rsidRPr="00266AD8">
        <w:rPr>
          <w:b/>
          <w:lang w:val="en-US" w:eastAsia="en-US"/>
        </w:rPr>
        <w:t xml:space="preserve"> and MAPbBr</w:t>
      </w:r>
      <w:r w:rsidR="001525BD" w:rsidRPr="00266AD8">
        <w:rPr>
          <w:b/>
          <w:vertAlign w:val="subscript"/>
          <w:lang w:val="en-US" w:eastAsia="en-US"/>
        </w:rPr>
        <w:t>3</w:t>
      </w:r>
    </w:p>
    <w:p w14:paraId="0658E28E" w14:textId="02F0A42A" w:rsidR="001525BD" w:rsidRPr="001A7AEC" w:rsidRDefault="00645506" w:rsidP="00B91F37">
      <w:pPr>
        <w:spacing w:line="480" w:lineRule="auto"/>
        <w:jc w:val="both"/>
        <w:rPr>
          <w:vertAlign w:val="subscript"/>
        </w:rPr>
      </w:pPr>
      <w:r w:rsidRPr="004357F9">
        <w:rPr>
          <w:noProof/>
        </w:rPr>
        <w:drawing>
          <wp:anchor distT="0" distB="0" distL="114300" distR="114300" simplePos="0" relativeHeight="251680768" behindDoc="0" locked="0" layoutInCell="1" allowOverlap="1" wp14:anchorId="678DA240" wp14:editId="3CD016B2">
            <wp:simplePos x="0" y="0"/>
            <wp:positionH relativeFrom="column">
              <wp:posOffset>2941955</wp:posOffset>
            </wp:positionH>
            <wp:positionV relativeFrom="paragraph">
              <wp:posOffset>2411730</wp:posOffset>
            </wp:positionV>
            <wp:extent cx="2951480" cy="2209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1480" cy="2209800"/>
                    </a:xfrm>
                    <a:prstGeom prst="rect">
                      <a:avLst/>
                    </a:prstGeom>
                  </pic:spPr>
                </pic:pic>
              </a:graphicData>
            </a:graphic>
            <wp14:sizeRelH relativeFrom="page">
              <wp14:pctWidth>0</wp14:pctWidth>
            </wp14:sizeRelH>
            <wp14:sizeRelV relativeFrom="page">
              <wp14:pctHeight>0</wp14:pctHeight>
            </wp14:sizeRelV>
          </wp:anchor>
        </w:drawing>
      </w:r>
      <w:r w:rsidR="00F6491C" w:rsidRPr="00F6491C">
        <w:rPr>
          <w:noProof/>
        </w:rPr>
        <w:drawing>
          <wp:anchor distT="0" distB="0" distL="114300" distR="114300" simplePos="0" relativeHeight="251685888" behindDoc="0" locked="0" layoutInCell="1" allowOverlap="1" wp14:anchorId="72FBADC7" wp14:editId="1C833155">
            <wp:simplePos x="0" y="0"/>
            <wp:positionH relativeFrom="column">
              <wp:posOffset>-12488</wp:posOffset>
            </wp:positionH>
            <wp:positionV relativeFrom="paragraph">
              <wp:posOffset>176530</wp:posOffset>
            </wp:positionV>
            <wp:extent cx="2995200" cy="213120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5200" cy="2131200"/>
                    </a:xfrm>
                    <a:prstGeom prst="rect">
                      <a:avLst/>
                    </a:prstGeom>
                  </pic:spPr>
                </pic:pic>
              </a:graphicData>
            </a:graphic>
            <wp14:sizeRelH relativeFrom="page">
              <wp14:pctWidth>0</wp14:pctWidth>
            </wp14:sizeRelH>
            <wp14:sizeRelV relativeFrom="page">
              <wp14:pctHeight>0</wp14:pctHeight>
            </wp14:sizeRelV>
          </wp:anchor>
        </w:drawing>
      </w:r>
      <w:r w:rsidR="005121FB" w:rsidRPr="005121FB">
        <w:rPr>
          <w:noProof/>
        </w:rPr>
        <w:drawing>
          <wp:anchor distT="0" distB="0" distL="114300" distR="114300" simplePos="0" relativeHeight="251684864" behindDoc="0" locked="0" layoutInCell="1" allowOverlap="1" wp14:anchorId="77E02B8B" wp14:editId="64D699A0">
            <wp:simplePos x="0" y="0"/>
            <wp:positionH relativeFrom="column">
              <wp:posOffset>81915</wp:posOffset>
            </wp:positionH>
            <wp:positionV relativeFrom="paragraph">
              <wp:posOffset>2412576</wp:posOffset>
            </wp:positionV>
            <wp:extent cx="2952000" cy="2210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2000" cy="2210400"/>
                    </a:xfrm>
                    <a:prstGeom prst="rect">
                      <a:avLst/>
                    </a:prstGeom>
                  </pic:spPr>
                </pic:pic>
              </a:graphicData>
            </a:graphic>
            <wp14:sizeRelH relativeFrom="page">
              <wp14:pctWidth>0</wp14:pctWidth>
            </wp14:sizeRelH>
            <wp14:sizeRelV relativeFrom="page">
              <wp14:pctHeight>0</wp14:pctHeight>
            </wp14:sizeRelV>
          </wp:anchor>
        </w:drawing>
      </w:r>
      <w:r w:rsidR="0000567C" w:rsidRPr="0000567C">
        <w:rPr>
          <w:noProof/>
        </w:rPr>
        <w:drawing>
          <wp:anchor distT="0" distB="0" distL="114300" distR="114300" simplePos="0" relativeHeight="251679744" behindDoc="0" locked="0" layoutInCell="1" allowOverlap="1" wp14:anchorId="6CFC180B" wp14:editId="24EFE97E">
            <wp:simplePos x="0" y="0"/>
            <wp:positionH relativeFrom="column">
              <wp:posOffset>2811569</wp:posOffset>
            </wp:positionH>
            <wp:positionV relativeFrom="paragraph">
              <wp:posOffset>194521</wp:posOffset>
            </wp:positionV>
            <wp:extent cx="3074400" cy="2178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4400" cy="2178000"/>
                    </a:xfrm>
                    <a:prstGeom prst="rect">
                      <a:avLst/>
                    </a:prstGeom>
                  </pic:spPr>
                </pic:pic>
              </a:graphicData>
            </a:graphic>
            <wp14:sizeRelH relativeFrom="page">
              <wp14:pctWidth>0</wp14:pctWidth>
            </wp14:sizeRelH>
            <wp14:sizeRelV relativeFrom="page">
              <wp14:pctHeight>0</wp14:pctHeight>
            </wp14:sizeRelV>
          </wp:anchor>
        </w:drawing>
      </w:r>
      <w:r w:rsidR="00E804B8" w:rsidRPr="00E804B8">
        <w:rPr>
          <w:noProof/>
        </w:rPr>
        <w:t xml:space="preserve"> </w:t>
      </w:r>
    </w:p>
    <w:p w14:paraId="6180B2F8" w14:textId="1CD50502" w:rsidR="005121FB" w:rsidRDefault="005121FB" w:rsidP="00B91F37">
      <w:pPr>
        <w:spacing w:line="480" w:lineRule="auto"/>
        <w:jc w:val="both"/>
        <w:rPr>
          <w:color w:val="000000"/>
          <w:lang w:val="en-GB"/>
        </w:rPr>
      </w:pPr>
    </w:p>
    <w:p w14:paraId="32BDC000" w14:textId="7259EF22" w:rsidR="00B82764" w:rsidRDefault="00B82764" w:rsidP="00B91F37">
      <w:pPr>
        <w:spacing w:line="480" w:lineRule="auto"/>
        <w:jc w:val="both"/>
        <w:rPr>
          <w:color w:val="000000"/>
          <w:lang w:val="en-GB"/>
        </w:rPr>
      </w:pPr>
      <w:r w:rsidRPr="00B82764">
        <w:rPr>
          <w:color w:val="000000"/>
          <w:lang w:val="en-GB"/>
        </w:rPr>
        <w:t xml:space="preserve">Figure </w:t>
      </w:r>
      <w:r w:rsidR="000677B6">
        <w:rPr>
          <w:color w:val="000000"/>
          <w:lang w:val="en-GB"/>
        </w:rPr>
        <w:t>4</w:t>
      </w:r>
      <w:r w:rsidRPr="00B82764">
        <w:rPr>
          <w:color w:val="000000"/>
          <w:lang w:val="en-GB"/>
        </w:rPr>
        <w:t>. Experimental TRMC traces for (a) MAPbI</w:t>
      </w:r>
      <w:r w:rsidRPr="00B82764">
        <w:rPr>
          <w:color w:val="000000"/>
          <w:vertAlign w:val="subscript"/>
          <w:lang w:val="en-GB"/>
        </w:rPr>
        <w:t>3</w:t>
      </w:r>
      <w:r w:rsidRPr="00B82764">
        <w:rPr>
          <w:color w:val="000000"/>
          <w:lang w:val="en-GB"/>
        </w:rPr>
        <w:t xml:space="preserve"> </w:t>
      </w:r>
      <w:r w:rsidR="001A7AEC">
        <w:rPr>
          <w:color w:val="000000"/>
          <w:lang w:val="en-GB"/>
        </w:rPr>
        <w:t xml:space="preserve">and (b) </w:t>
      </w:r>
      <w:r w:rsidR="001A7AEC" w:rsidRPr="00B82764">
        <w:rPr>
          <w:color w:val="000000"/>
          <w:lang w:val="en-GB"/>
        </w:rPr>
        <w:t>MAPb</w:t>
      </w:r>
      <w:r w:rsidR="001A7AEC">
        <w:rPr>
          <w:color w:val="000000"/>
          <w:lang w:val="en-GB"/>
        </w:rPr>
        <w:t>Br</w:t>
      </w:r>
      <w:r w:rsidR="001A7AEC" w:rsidRPr="00B82764">
        <w:rPr>
          <w:color w:val="000000"/>
          <w:vertAlign w:val="subscript"/>
          <w:lang w:val="en-GB"/>
        </w:rPr>
        <w:t>3</w:t>
      </w:r>
      <w:r w:rsidR="001A7AEC">
        <w:rPr>
          <w:color w:val="000000"/>
          <w:lang w:val="en-GB"/>
        </w:rPr>
        <w:t xml:space="preserve"> </w:t>
      </w:r>
      <w:r w:rsidR="001A7AEC" w:rsidRPr="00B82764">
        <w:rPr>
          <w:color w:val="000000"/>
          <w:lang w:val="en-GB"/>
        </w:rPr>
        <w:t>recorded at</w:t>
      </w:r>
      <w:r w:rsidR="001A7AEC">
        <w:rPr>
          <w:color w:val="000000"/>
          <w:lang w:val="en-GB"/>
        </w:rPr>
        <w:t xml:space="preserve"> wavelengths of </w:t>
      </w:r>
      <w:r w:rsidR="001A7AEC" w:rsidRPr="00165986">
        <w:rPr>
          <w:i/>
          <w:color w:val="000000"/>
          <w:lang w:val="en-GB"/>
        </w:rPr>
        <w:t>λ</w:t>
      </w:r>
      <w:r w:rsidR="001A7AEC" w:rsidRPr="00B82764">
        <w:rPr>
          <w:color w:val="000000"/>
          <w:lang w:val="en-GB"/>
        </w:rPr>
        <w:t xml:space="preserve"> = 6</w:t>
      </w:r>
      <w:r w:rsidR="00384F8A">
        <w:rPr>
          <w:color w:val="000000"/>
          <w:lang w:val="en-GB"/>
        </w:rPr>
        <w:t>5</w:t>
      </w:r>
      <w:r w:rsidR="001A7AEC" w:rsidRPr="00B82764">
        <w:rPr>
          <w:color w:val="000000"/>
          <w:lang w:val="en-GB"/>
        </w:rPr>
        <w:t xml:space="preserve">0 nm </w:t>
      </w:r>
      <w:r w:rsidR="001A7AEC">
        <w:rPr>
          <w:color w:val="000000"/>
          <w:lang w:val="en-GB"/>
        </w:rPr>
        <w:t xml:space="preserve">and 500 nm, respectively. </w:t>
      </w:r>
      <w:r w:rsidRPr="00B82764">
        <w:rPr>
          <w:color w:val="000000"/>
          <w:lang w:val="en-GB"/>
        </w:rPr>
        <w:t xml:space="preserve">The </w:t>
      </w:r>
      <w:r w:rsidR="001A7AEC">
        <w:rPr>
          <w:color w:val="000000"/>
          <w:lang w:val="en-GB"/>
        </w:rPr>
        <w:t>full</w:t>
      </w:r>
      <w:r w:rsidRPr="00B82764">
        <w:rPr>
          <w:color w:val="000000"/>
          <w:lang w:val="en-GB"/>
        </w:rPr>
        <w:t xml:space="preserve"> lines </w:t>
      </w:r>
      <w:r w:rsidR="00474E41">
        <w:rPr>
          <w:color w:val="000000"/>
          <w:lang w:val="en-GB"/>
        </w:rPr>
        <w:t>are</w:t>
      </w:r>
      <w:r w:rsidRPr="00B82764">
        <w:rPr>
          <w:color w:val="000000"/>
          <w:lang w:val="en-GB"/>
        </w:rPr>
        <w:t xml:space="preserve"> calculated by </w:t>
      </w:r>
      <w:r w:rsidR="00545C6F">
        <w:rPr>
          <w:color w:val="000000"/>
          <w:lang w:val="en-GB"/>
        </w:rPr>
        <w:t xml:space="preserve">numerically </w:t>
      </w:r>
      <w:r w:rsidRPr="00B82764">
        <w:rPr>
          <w:color w:val="000000"/>
          <w:lang w:val="en-GB"/>
        </w:rPr>
        <w:t>solving differential equations (</w:t>
      </w:r>
      <w:r w:rsidR="008D41B9" w:rsidRPr="008D41B9">
        <w:rPr>
          <w:color w:val="000000" w:themeColor="text1"/>
          <w:lang w:val="en-GB"/>
        </w:rPr>
        <w:t>7-9</w:t>
      </w:r>
      <w:r w:rsidRPr="00B82764">
        <w:rPr>
          <w:color w:val="000000"/>
          <w:lang w:val="en-GB"/>
        </w:rPr>
        <w:t xml:space="preserve">) and converting the time-dependent concentration curves to </w:t>
      </w:r>
      <w:r w:rsidR="001A7AEC">
        <w:rPr>
          <w:color w:val="000000"/>
          <w:lang w:val="en-GB"/>
        </w:rPr>
        <w:t xml:space="preserve">the light intensity </w:t>
      </w:r>
      <w:r w:rsidRPr="00B82764">
        <w:rPr>
          <w:color w:val="000000"/>
          <w:lang w:val="en-GB"/>
        </w:rPr>
        <w:t>normalized ∆</w:t>
      </w:r>
      <w:r w:rsidRPr="00B82764">
        <w:rPr>
          <w:i/>
          <w:color w:val="000000"/>
          <w:lang w:val="en-GB"/>
        </w:rPr>
        <w:t>G</w:t>
      </w:r>
      <w:r w:rsidR="001A7AEC">
        <w:rPr>
          <w:i/>
          <w:color w:val="000000"/>
          <w:lang w:val="en-GB"/>
        </w:rPr>
        <w:t xml:space="preserve"> </w:t>
      </w:r>
      <w:r w:rsidR="001A7AEC">
        <w:rPr>
          <w:color w:val="000000"/>
          <w:lang w:val="en-GB"/>
        </w:rPr>
        <w:t>traces</w:t>
      </w:r>
      <w:r w:rsidRPr="00B82764">
        <w:rPr>
          <w:color w:val="000000"/>
          <w:lang w:val="en-GB"/>
        </w:rPr>
        <w:t xml:space="preserve">. </w:t>
      </w:r>
      <w:r w:rsidR="00EE3755">
        <w:rPr>
          <w:color w:val="000000"/>
          <w:lang w:val="en-GB"/>
        </w:rPr>
        <w:t xml:space="preserve">Note the difference in time scale! </w:t>
      </w:r>
      <w:r w:rsidRPr="00B82764">
        <w:rPr>
          <w:color w:val="000000"/>
          <w:lang w:val="en-GB"/>
        </w:rPr>
        <w:t>Panel</w:t>
      </w:r>
      <w:r w:rsidR="001A7AEC">
        <w:rPr>
          <w:color w:val="000000"/>
          <w:lang w:val="en-GB"/>
        </w:rPr>
        <w:t xml:space="preserve">s (c) and </w:t>
      </w:r>
      <w:r w:rsidRPr="00B82764">
        <w:rPr>
          <w:color w:val="000000"/>
          <w:lang w:val="en-GB"/>
        </w:rPr>
        <w:t xml:space="preserve">(d) show the calculated charge carrier diffusion lengths on basis of charge carrier lifetime </w:t>
      </w:r>
      <w:r w:rsidR="0048416F">
        <w:rPr>
          <w:color w:val="000000"/>
          <w:lang w:val="en-GB"/>
        </w:rPr>
        <w:t>(</w:t>
      </w:r>
      <w:r w:rsidR="0048416F" w:rsidRPr="008D41B9">
        <w:rPr>
          <w:i/>
          <w:color w:val="000000"/>
          <w:lang w:val="en-GB"/>
        </w:rPr>
        <w:t>t</w:t>
      </w:r>
      <w:r w:rsidR="0048416F">
        <w:rPr>
          <w:color w:val="000000"/>
          <w:vertAlign w:val="subscript"/>
          <w:lang w:val="en-GB"/>
        </w:rPr>
        <w:t>1/2</w:t>
      </w:r>
      <w:r w:rsidR="0048416F">
        <w:rPr>
          <w:color w:val="000000"/>
          <w:lang w:val="en-GB"/>
        </w:rPr>
        <w:t xml:space="preserve">) </w:t>
      </w:r>
      <w:r w:rsidRPr="00B82764">
        <w:rPr>
          <w:color w:val="000000"/>
          <w:lang w:val="en-GB"/>
        </w:rPr>
        <w:t>and mobility</w:t>
      </w:r>
      <w:r w:rsidR="001A7AEC">
        <w:rPr>
          <w:color w:val="000000"/>
          <w:lang w:val="en-GB"/>
        </w:rPr>
        <w:t xml:space="preserve"> for different laser intensities</w:t>
      </w:r>
      <w:r w:rsidRPr="00B82764">
        <w:rPr>
          <w:color w:val="000000"/>
          <w:lang w:val="en-GB"/>
        </w:rPr>
        <w:t>.</w:t>
      </w:r>
      <w:r w:rsidR="00DA1F65">
        <w:rPr>
          <w:color w:val="000000"/>
          <w:lang w:val="en-GB"/>
        </w:rPr>
        <w:t xml:space="preserve"> Adapted from Zhao et al.</w:t>
      </w:r>
      <w:r w:rsidR="00DA1F65" w:rsidRPr="00DA1F65">
        <w:rPr>
          <w:color w:val="000000"/>
          <w:vertAlign w:val="superscript"/>
          <w:lang w:val="en-GB"/>
        </w:rPr>
        <w:t>[29]</w:t>
      </w:r>
      <w:r w:rsidR="00DA1F65">
        <w:rPr>
          <w:color w:val="000000"/>
          <w:lang w:val="en-GB"/>
        </w:rPr>
        <w:t xml:space="preserve"> </w:t>
      </w:r>
    </w:p>
    <w:p w14:paraId="15AA9EFB" w14:textId="77777777" w:rsidR="00FF18A0" w:rsidRDefault="00FF18A0" w:rsidP="00B91F37">
      <w:pPr>
        <w:spacing w:line="480" w:lineRule="auto"/>
        <w:jc w:val="both"/>
        <w:rPr>
          <w:color w:val="000000"/>
          <w:lang w:val="en-GB"/>
        </w:rPr>
      </w:pPr>
    </w:p>
    <w:p w14:paraId="30999A3D" w14:textId="07B14C3C" w:rsidR="00BC30CD" w:rsidRDefault="00C25863" w:rsidP="00B82764">
      <w:pPr>
        <w:spacing w:line="480" w:lineRule="auto"/>
        <w:jc w:val="both"/>
        <w:rPr>
          <w:color w:val="000000"/>
          <w:lang w:val="en-GB"/>
        </w:rPr>
      </w:pPr>
      <w:r>
        <w:rPr>
          <w:color w:val="000000"/>
          <w:lang w:val="en-GB"/>
        </w:rPr>
        <w:t xml:space="preserve">Results from </w:t>
      </w:r>
      <w:r w:rsidR="00B82764" w:rsidRPr="00B82764">
        <w:rPr>
          <w:color w:val="000000"/>
          <w:lang w:val="en-GB"/>
        </w:rPr>
        <w:t xml:space="preserve">TRMC measurements on MHPs </w:t>
      </w:r>
      <w:r>
        <w:rPr>
          <w:color w:val="000000"/>
          <w:lang w:val="en-GB"/>
        </w:rPr>
        <w:t>are</w:t>
      </w:r>
      <w:r w:rsidR="00B82764" w:rsidRPr="00B82764">
        <w:rPr>
          <w:color w:val="000000"/>
          <w:lang w:val="en-GB"/>
        </w:rPr>
        <w:t xml:space="preserve"> provided in Figure</w:t>
      </w:r>
      <w:r w:rsidR="008D41B9">
        <w:rPr>
          <w:color w:val="000000"/>
          <w:lang w:val="en-GB"/>
        </w:rPr>
        <w:t>s</w:t>
      </w:r>
      <w:r w:rsidR="00B82764" w:rsidRPr="00B82764">
        <w:rPr>
          <w:color w:val="000000"/>
          <w:lang w:val="en-GB"/>
        </w:rPr>
        <w:t xml:space="preserve"> </w:t>
      </w:r>
      <w:r w:rsidR="008D41B9">
        <w:rPr>
          <w:color w:val="000000"/>
          <w:lang w:val="en-GB"/>
        </w:rPr>
        <w:t>4a and 4b</w:t>
      </w:r>
      <w:r>
        <w:rPr>
          <w:color w:val="000000"/>
          <w:lang w:val="en-GB"/>
        </w:rPr>
        <w:t xml:space="preserve"> for MAPbI</w:t>
      </w:r>
      <w:r>
        <w:rPr>
          <w:color w:val="000000"/>
          <w:vertAlign w:val="subscript"/>
          <w:lang w:val="en-GB"/>
        </w:rPr>
        <w:t>3</w:t>
      </w:r>
      <w:r>
        <w:rPr>
          <w:color w:val="000000"/>
          <w:lang w:val="en-GB"/>
        </w:rPr>
        <w:t xml:space="preserve"> and MAPbBr</w:t>
      </w:r>
      <w:r>
        <w:rPr>
          <w:color w:val="000000"/>
          <w:vertAlign w:val="subscript"/>
          <w:lang w:val="en-GB"/>
        </w:rPr>
        <w:t>3</w:t>
      </w:r>
      <w:r w:rsidRPr="00C25863">
        <w:rPr>
          <w:color w:val="000000"/>
          <w:lang w:val="en-GB"/>
        </w:rPr>
        <w:t>,</w:t>
      </w:r>
      <w:r>
        <w:rPr>
          <w:color w:val="000000"/>
          <w:lang w:val="en-GB"/>
        </w:rPr>
        <w:t xml:space="preserve"> respectively</w:t>
      </w:r>
      <w:r w:rsidR="00B82764" w:rsidRPr="00B82764">
        <w:rPr>
          <w:color w:val="000000"/>
          <w:lang w:val="en-GB"/>
        </w:rPr>
        <w:t xml:space="preserve">. </w:t>
      </w:r>
      <w:r>
        <w:rPr>
          <w:color w:val="000000"/>
          <w:lang w:val="en-GB"/>
        </w:rPr>
        <w:t>T</w:t>
      </w:r>
      <w:r w:rsidR="00B82764" w:rsidRPr="00B82764">
        <w:rPr>
          <w:color w:val="000000"/>
          <w:lang w:val="en-GB"/>
        </w:rPr>
        <w:t xml:space="preserve">he photo conductance, normalized for the number of </w:t>
      </w:r>
      <w:r>
        <w:rPr>
          <w:color w:val="000000"/>
          <w:lang w:val="en-GB"/>
        </w:rPr>
        <w:t>absorbed</w:t>
      </w:r>
      <w:r w:rsidR="00B82764" w:rsidRPr="00B82764">
        <w:rPr>
          <w:color w:val="000000"/>
          <w:lang w:val="en-GB"/>
        </w:rPr>
        <w:t xml:space="preserve"> photons is shown as function of time on photo-excitation using incident light intensities ranging </w:t>
      </w:r>
      <w:r w:rsidR="00B82764" w:rsidRPr="00B82764">
        <w:rPr>
          <w:color w:val="000000"/>
          <w:lang w:val="en-GB"/>
        </w:rPr>
        <w:lastRenderedPageBreak/>
        <w:t xml:space="preserve">over </w:t>
      </w:r>
      <w:r w:rsidR="00384F8A">
        <w:rPr>
          <w:color w:val="000000"/>
          <w:lang w:val="en-GB"/>
        </w:rPr>
        <w:t xml:space="preserve">at least </w:t>
      </w:r>
      <w:r w:rsidR="00B82764" w:rsidRPr="00B82764">
        <w:rPr>
          <w:color w:val="000000"/>
          <w:lang w:val="en-GB"/>
        </w:rPr>
        <w:t xml:space="preserve">two orders of magnitude. The rise of the signal at t = 0 originates from the formation of mobile excess charges; the maximum signal height </w:t>
      </w:r>
      <w:r>
        <w:rPr>
          <w:color w:val="000000"/>
          <w:lang w:val="en-GB"/>
        </w:rPr>
        <w:t>reflects</w:t>
      </w:r>
      <w:r w:rsidR="00B82764" w:rsidRPr="00B82764">
        <w:rPr>
          <w:color w:val="000000"/>
          <w:lang w:val="en-GB"/>
        </w:rPr>
        <w:t xml:space="preserve"> the product of charge carrier generation yield and the mobility. </w:t>
      </w:r>
      <w:r w:rsidR="008D41B9">
        <w:rPr>
          <w:color w:val="000000"/>
          <w:lang w:val="en-GB"/>
        </w:rPr>
        <w:t xml:space="preserve">For </w:t>
      </w:r>
      <w:r w:rsidR="00BC30CD">
        <w:rPr>
          <w:color w:val="000000"/>
          <w:lang w:val="en-GB"/>
        </w:rPr>
        <w:t>MAPbI</w:t>
      </w:r>
      <w:r w:rsidR="00BC30CD">
        <w:rPr>
          <w:color w:val="000000"/>
          <w:vertAlign w:val="subscript"/>
          <w:lang w:val="en-GB"/>
        </w:rPr>
        <w:t>3</w:t>
      </w:r>
      <w:r w:rsidR="00BC30CD">
        <w:rPr>
          <w:color w:val="000000"/>
          <w:lang w:val="en-GB"/>
        </w:rPr>
        <w:t xml:space="preserve"> a</w:t>
      </w:r>
      <w:r w:rsidR="00B82764" w:rsidRPr="00B82764">
        <w:rPr>
          <w:color w:val="000000"/>
          <w:lang w:val="en-GB"/>
        </w:rPr>
        <w:t xml:space="preserve">t higher intensities, the decay kinetics become increasingly faster, which is typically observed in a regime where higher order recombination dominates. </w:t>
      </w:r>
      <w:r>
        <w:rPr>
          <w:color w:val="000000"/>
          <w:lang w:val="en-GB"/>
        </w:rPr>
        <w:t xml:space="preserve">Apart from this also the maximum signal </w:t>
      </w:r>
      <w:r w:rsidR="00384F8A">
        <w:rPr>
          <w:color w:val="000000"/>
          <w:lang w:val="en-GB"/>
        </w:rPr>
        <w:t xml:space="preserve">somewhat </w:t>
      </w:r>
      <w:r>
        <w:rPr>
          <w:color w:val="000000"/>
          <w:lang w:val="en-GB"/>
        </w:rPr>
        <w:t xml:space="preserve">reduces due to the fact that in pulse recombination occurs. At </w:t>
      </w:r>
      <w:r w:rsidR="00F22502">
        <w:rPr>
          <w:color w:val="000000"/>
          <w:lang w:val="en-GB"/>
        </w:rPr>
        <w:t xml:space="preserve">very </w:t>
      </w:r>
      <w:r>
        <w:rPr>
          <w:color w:val="000000"/>
          <w:lang w:val="en-GB"/>
        </w:rPr>
        <w:t>low</w:t>
      </w:r>
      <w:r w:rsidR="00BC30CD">
        <w:rPr>
          <w:color w:val="000000"/>
          <w:lang w:val="en-GB"/>
        </w:rPr>
        <w:t xml:space="preserve"> excitation densit</w:t>
      </w:r>
      <w:r>
        <w:rPr>
          <w:color w:val="000000"/>
          <w:lang w:val="en-GB"/>
        </w:rPr>
        <w:t xml:space="preserve">ies the number of generated excess carriers is below </w:t>
      </w:r>
      <w:r w:rsidR="00BC30CD">
        <w:rPr>
          <w:color w:val="000000"/>
          <w:lang w:val="en-GB"/>
        </w:rPr>
        <w:t>the trap density</w:t>
      </w:r>
      <w:r>
        <w:rPr>
          <w:color w:val="000000"/>
          <w:lang w:val="en-GB"/>
        </w:rPr>
        <w:t>. For these excitation intensities the band to band second order recombination process</w:t>
      </w:r>
      <w:r w:rsidR="00BC30CD">
        <w:rPr>
          <w:color w:val="000000"/>
          <w:lang w:val="en-GB"/>
        </w:rPr>
        <w:t xml:space="preserve"> </w:t>
      </w:r>
      <w:r>
        <w:rPr>
          <w:color w:val="000000"/>
          <w:lang w:val="en-GB"/>
        </w:rPr>
        <w:t xml:space="preserve">is not the dominant decay process any more due to the rapid trapping of </w:t>
      </w:r>
      <w:r w:rsidR="006B46BE">
        <w:rPr>
          <w:color w:val="000000"/>
          <w:lang w:val="en-GB"/>
        </w:rPr>
        <w:t>the minority</w:t>
      </w:r>
      <w:r w:rsidR="00F22502">
        <w:rPr>
          <w:color w:val="000000"/>
          <w:lang w:val="en-GB"/>
        </w:rPr>
        <w:t xml:space="preserve"> carrier</w:t>
      </w:r>
      <w:r w:rsidR="006B46BE">
        <w:rPr>
          <w:color w:val="000000"/>
          <w:lang w:val="en-GB"/>
        </w:rPr>
        <w:t>s</w:t>
      </w:r>
      <w:r w:rsidR="00BC30CD">
        <w:rPr>
          <w:color w:val="000000"/>
          <w:lang w:val="en-GB"/>
        </w:rPr>
        <w:t xml:space="preserve">. </w:t>
      </w:r>
      <w:r w:rsidR="006256E2">
        <w:rPr>
          <w:color w:val="000000"/>
          <w:lang w:val="en-GB"/>
        </w:rPr>
        <w:t>Note that</w:t>
      </w:r>
      <w:r w:rsidR="00FE0A3D">
        <w:rPr>
          <w:color w:val="000000"/>
          <w:lang w:val="en-GB"/>
        </w:rPr>
        <w:t xml:space="preserve"> at this intensit</w:t>
      </w:r>
      <w:r w:rsidR="00474E41">
        <w:rPr>
          <w:color w:val="000000"/>
          <w:lang w:val="en-GB"/>
        </w:rPr>
        <w:t>ies</w:t>
      </w:r>
      <w:r w:rsidR="000A58EF">
        <w:rPr>
          <w:color w:val="000000"/>
          <w:lang w:val="en-GB"/>
        </w:rPr>
        <w:t>,</w:t>
      </w:r>
      <w:r w:rsidR="00F22502">
        <w:rPr>
          <w:color w:val="000000"/>
          <w:lang w:val="en-GB"/>
        </w:rPr>
        <w:t xml:space="preserve"> t</w:t>
      </w:r>
      <w:r w:rsidR="00BC30CD">
        <w:rPr>
          <w:color w:val="000000"/>
          <w:lang w:val="en-GB"/>
        </w:rPr>
        <w:t xml:space="preserve">he </w:t>
      </w:r>
      <w:r w:rsidR="00F22502">
        <w:rPr>
          <w:color w:val="000000"/>
          <w:lang w:val="en-GB"/>
        </w:rPr>
        <w:t>counter charges</w:t>
      </w:r>
      <w:r w:rsidR="00BC30CD">
        <w:rPr>
          <w:color w:val="000000"/>
          <w:lang w:val="en-GB"/>
        </w:rPr>
        <w:t xml:space="preserve"> are responsible for the observed </w:t>
      </w:r>
      <w:r>
        <w:rPr>
          <w:color w:val="000000"/>
          <w:lang w:val="en-GB"/>
        </w:rPr>
        <w:t>TRMC signal as these are still mobile</w:t>
      </w:r>
      <w:r w:rsidR="00BC30CD">
        <w:rPr>
          <w:color w:val="000000"/>
          <w:lang w:val="en-GB"/>
        </w:rPr>
        <w:t xml:space="preserve">. </w:t>
      </w:r>
      <w:r w:rsidR="0071201A">
        <w:rPr>
          <w:color w:val="000000"/>
          <w:lang w:val="en-GB"/>
        </w:rPr>
        <w:t>Most notably f</w:t>
      </w:r>
      <w:r w:rsidR="00BC30CD">
        <w:rPr>
          <w:color w:val="000000"/>
          <w:lang w:val="en-GB"/>
        </w:rPr>
        <w:t>or MAPbBr</w:t>
      </w:r>
      <w:r w:rsidR="00BC30CD">
        <w:rPr>
          <w:color w:val="000000"/>
          <w:vertAlign w:val="subscript"/>
          <w:lang w:val="en-GB"/>
        </w:rPr>
        <w:t xml:space="preserve">3 </w:t>
      </w:r>
      <w:r w:rsidR="00BC30CD">
        <w:rPr>
          <w:color w:val="000000"/>
          <w:lang w:val="en-GB"/>
        </w:rPr>
        <w:t xml:space="preserve">we observe </w:t>
      </w:r>
      <w:r w:rsidR="00F22502">
        <w:rPr>
          <w:color w:val="000000"/>
          <w:lang w:val="en-GB"/>
        </w:rPr>
        <w:t>very</w:t>
      </w:r>
      <w:r w:rsidR="00BC30CD">
        <w:rPr>
          <w:color w:val="000000"/>
          <w:lang w:val="en-GB"/>
        </w:rPr>
        <w:t xml:space="preserve"> different decay kinetics, featuring a very fast</w:t>
      </w:r>
      <w:r w:rsidR="00F22502">
        <w:rPr>
          <w:color w:val="000000"/>
          <w:lang w:val="en-GB"/>
        </w:rPr>
        <w:t>,</w:t>
      </w:r>
      <w:r w:rsidR="00FE0A3D">
        <w:rPr>
          <w:color w:val="000000"/>
          <w:lang w:val="en-GB"/>
        </w:rPr>
        <w:t xml:space="preserve"> </w:t>
      </w:r>
      <w:r w:rsidR="00BC30CD">
        <w:rPr>
          <w:color w:val="000000"/>
          <w:lang w:val="en-GB"/>
        </w:rPr>
        <w:t>sharp decrease followed by a long</w:t>
      </w:r>
      <w:r w:rsidR="00FE0A3D">
        <w:rPr>
          <w:color w:val="000000"/>
          <w:lang w:val="en-GB"/>
        </w:rPr>
        <w:t>-</w:t>
      </w:r>
      <w:r w:rsidR="00BC30CD">
        <w:rPr>
          <w:color w:val="000000"/>
          <w:lang w:val="en-GB"/>
        </w:rPr>
        <w:t xml:space="preserve">lived almost constant signal. </w:t>
      </w:r>
      <w:r w:rsidR="00F22502">
        <w:rPr>
          <w:color w:val="000000"/>
          <w:lang w:val="en-GB"/>
        </w:rPr>
        <w:t>In analogy with MAPbI</w:t>
      </w:r>
      <w:r w:rsidR="00F22502">
        <w:rPr>
          <w:color w:val="000000"/>
          <w:vertAlign w:val="subscript"/>
          <w:lang w:val="en-GB"/>
        </w:rPr>
        <w:t>3</w:t>
      </w:r>
      <w:r w:rsidR="00F22502">
        <w:rPr>
          <w:color w:val="000000"/>
          <w:lang w:val="en-GB"/>
        </w:rPr>
        <w:t xml:space="preserve"> at</w:t>
      </w:r>
      <w:r w:rsidR="00BC30CD">
        <w:rPr>
          <w:color w:val="000000"/>
          <w:lang w:val="en-GB"/>
        </w:rPr>
        <w:t xml:space="preserve"> higher intensities the normalised TRMC becomes increasingly smaller. </w:t>
      </w:r>
    </w:p>
    <w:p w14:paraId="4966D891" w14:textId="505CF6AB" w:rsidR="00125B3D" w:rsidRDefault="00B82764" w:rsidP="00545C6F">
      <w:pPr>
        <w:spacing w:line="480" w:lineRule="auto"/>
        <w:jc w:val="both"/>
        <w:rPr>
          <w:color w:val="000000"/>
          <w:lang w:val="en-GB"/>
        </w:rPr>
      </w:pPr>
      <w:r w:rsidRPr="00B82764">
        <w:rPr>
          <w:color w:val="000000"/>
          <w:lang w:val="en-GB"/>
        </w:rPr>
        <w:t xml:space="preserve">Using the kinetic model as described in Section 2, </w:t>
      </w:r>
      <w:r w:rsidR="00BC30CD">
        <w:rPr>
          <w:color w:val="000000"/>
          <w:lang w:val="en-GB"/>
        </w:rPr>
        <w:t xml:space="preserve">the </w:t>
      </w:r>
      <w:r w:rsidRPr="00B82764">
        <w:rPr>
          <w:color w:val="000000"/>
          <w:lang w:val="en-GB"/>
        </w:rPr>
        <w:t xml:space="preserve">TRMC traces </w:t>
      </w:r>
      <w:r w:rsidR="00FE0A3D">
        <w:rPr>
          <w:color w:val="000000"/>
          <w:lang w:val="en-GB"/>
        </w:rPr>
        <w:t>for</w:t>
      </w:r>
      <w:r w:rsidR="00BC30CD">
        <w:rPr>
          <w:color w:val="000000"/>
          <w:lang w:val="en-GB"/>
        </w:rPr>
        <w:t xml:space="preserve"> both MHPs are fitted </w:t>
      </w:r>
      <w:r w:rsidRPr="00B82764">
        <w:rPr>
          <w:color w:val="000000"/>
          <w:lang w:val="en-GB"/>
        </w:rPr>
        <w:t>using a single set of kinetic parameters</w:t>
      </w:r>
      <w:r w:rsidR="00BC30CD">
        <w:rPr>
          <w:color w:val="000000"/>
          <w:lang w:val="en-GB"/>
        </w:rPr>
        <w:t xml:space="preserve"> and </w:t>
      </w:r>
      <w:r w:rsidR="00545C6F">
        <w:rPr>
          <w:color w:val="000000"/>
          <w:lang w:val="en-GB"/>
        </w:rPr>
        <w:t xml:space="preserve">results </w:t>
      </w:r>
      <w:r w:rsidR="00BC30CD">
        <w:rPr>
          <w:color w:val="000000"/>
          <w:lang w:val="en-GB"/>
        </w:rPr>
        <w:t>are collected in Table 1</w:t>
      </w:r>
      <w:r w:rsidRPr="00B82764">
        <w:rPr>
          <w:color w:val="000000"/>
          <w:lang w:val="en-GB"/>
        </w:rPr>
        <w:t xml:space="preserve">. </w:t>
      </w:r>
      <w:r w:rsidR="00F22502">
        <w:rPr>
          <w:color w:val="000000"/>
          <w:lang w:val="en-GB"/>
        </w:rPr>
        <w:t>Note that</w:t>
      </w:r>
      <w:r w:rsidR="00BC30CD">
        <w:rPr>
          <w:color w:val="000000"/>
          <w:lang w:val="en-GB"/>
        </w:rPr>
        <w:t xml:space="preserve"> f</w:t>
      </w:r>
      <w:r w:rsidRPr="00B82764">
        <w:rPr>
          <w:color w:val="000000"/>
          <w:lang w:val="en-GB"/>
        </w:rPr>
        <w:t xml:space="preserve">or obtaining the different TRMC traces, only the </w:t>
      </w:r>
      <w:r w:rsidR="00F22502">
        <w:rPr>
          <w:color w:val="000000"/>
          <w:lang w:val="en-GB"/>
        </w:rPr>
        <w:t xml:space="preserve">magnitude of the </w:t>
      </w:r>
      <w:r w:rsidRPr="00B82764">
        <w:rPr>
          <w:color w:val="000000"/>
          <w:lang w:val="en-GB"/>
        </w:rPr>
        <w:t>generation term</w:t>
      </w:r>
      <w:r w:rsidR="00F22502">
        <w:rPr>
          <w:color w:val="000000"/>
          <w:lang w:val="en-GB"/>
        </w:rPr>
        <w:t>,</w:t>
      </w:r>
      <w:r w:rsidRPr="00B82764">
        <w:rPr>
          <w:color w:val="000000"/>
          <w:lang w:val="en-GB"/>
        </w:rPr>
        <w:t xml:space="preserve"> </w:t>
      </w:r>
      <w:r w:rsidRPr="00FE0A3D">
        <w:rPr>
          <w:i/>
          <w:color w:val="000000"/>
          <w:lang w:val="en-GB"/>
        </w:rPr>
        <w:t>G</w:t>
      </w:r>
      <w:r w:rsidRPr="00FE0A3D">
        <w:rPr>
          <w:i/>
          <w:color w:val="000000"/>
          <w:vertAlign w:val="subscript"/>
          <w:lang w:val="en-GB"/>
        </w:rPr>
        <w:t>c</w:t>
      </w:r>
      <w:r w:rsidRPr="00B82764">
        <w:rPr>
          <w:color w:val="000000"/>
          <w:lang w:val="en-GB"/>
        </w:rPr>
        <w:t xml:space="preserve"> is altered according to the incident intensity. </w:t>
      </w:r>
      <w:r w:rsidR="00BC30CD">
        <w:rPr>
          <w:color w:val="000000"/>
          <w:lang w:val="en-GB"/>
        </w:rPr>
        <w:t>Despite the very different decay kinetics for both MHPs w</w:t>
      </w:r>
      <w:r w:rsidRPr="00B82764">
        <w:rPr>
          <w:color w:val="000000"/>
          <w:lang w:val="en-GB"/>
        </w:rPr>
        <w:t>e see that the model describes the</w:t>
      </w:r>
      <w:r w:rsidR="00F22502">
        <w:rPr>
          <w:color w:val="000000"/>
          <w:lang w:val="en-GB"/>
        </w:rPr>
        <w:t xml:space="preserve"> TRMC</w:t>
      </w:r>
      <w:r w:rsidRPr="00B82764">
        <w:rPr>
          <w:color w:val="000000"/>
          <w:lang w:val="en-GB"/>
        </w:rPr>
        <w:t xml:space="preserve"> traces </w:t>
      </w:r>
      <w:r w:rsidR="00BC30CD">
        <w:rPr>
          <w:color w:val="000000"/>
          <w:lang w:val="en-GB"/>
        </w:rPr>
        <w:t xml:space="preserve">for both MHPs rather </w:t>
      </w:r>
      <w:r w:rsidRPr="00B82764">
        <w:rPr>
          <w:color w:val="000000"/>
          <w:lang w:val="en-GB"/>
        </w:rPr>
        <w:t xml:space="preserve">well. </w:t>
      </w:r>
      <w:r w:rsidR="002E686D">
        <w:rPr>
          <w:color w:val="000000"/>
          <w:lang w:val="en-GB"/>
        </w:rPr>
        <w:t xml:space="preserve">Using this approach it is feasible to obtain accurate values for all kinetic parameters describing the charge carrier dynamics. </w:t>
      </w:r>
      <w:r w:rsidR="00FE0A3D">
        <w:rPr>
          <w:color w:val="000000"/>
          <w:lang w:val="en-GB"/>
        </w:rPr>
        <w:t>Some prominent dissimilarities between</w:t>
      </w:r>
      <w:r w:rsidR="008F6FB9">
        <w:rPr>
          <w:color w:val="000000"/>
          <w:lang w:val="en-GB"/>
        </w:rPr>
        <w:t xml:space="preserve"> </w:t>
      </w:r>
      <w:r w:rsidR="00AA046E">
        <w:rPr>
          <w:color w:val="000000"/>
          <w:lang w:val="en-GB"/>
        </w:rPr>
        <w:t>both MHPs</w:t>
      </w:r>
      <w:r w:rsidR="00FE0A3D">
        <w:rPr>
          <w:color w:val="000000"/>
          <w:lang w:val="en-GB"/>
        </w:rPr>
        <w:t xml:space="preserve"> can be observed</w:t>
      </w:r>
      <w:r w:rsidR="00AA046E">
        <w:rPr>
          <w:color w:val="000000"/>
          <w:lang w:val="en-GB"/>
        </w:rPr>
        <w:t xml:space="preserve"> including mobilities, band-to-band </w:t>
      </w:r>
      <w:r w:rsidR="00FE0A3D">
        <w:rPr>
          <w:color w:val="000000"/>
          <w:lang w:val="en-GB"/>
        </w:rPr>
        <w:t xml:space="preserve">recombination </w:t>
      </w:r>
      <w:r w:rsidR="00AA046E">
        <w:rPr>
          <w:color w:val="000000"/>
          <w:lang w:val="en-GB"/>
        </w:rPr>
        <w:t>rate constant</w:t>
      </w:r>
      <w:r w:rsidR="00FE0A3D">
        <w:rPr>
          <w:color w:val="000000"/>
          <w:lang w:val="en-GB"/>
        </w:rPr>
        <w:t>s</w:t>
      </w:r>
      <w:r w:rsidR="00121174">
        <w:rPr>
          <w:color w:val="000000"/>
          <w:lang w:val="en-GB"/>
        </w:rPr>
        <w:t xml:space="preserve">, </w:t>
      </w:r>
      <w:r w:rsidR="00FE0A3D">
        <w:rPr>
          <w:color w:val="000000"/>
          <w:lang w:val="en-GB"/>
        </w:rPr>
        <w:t xml:space="preserve">and </w:t>
      </w:r>
      <w:r w:rsidR="00AA046E">
        <w:rPr>
          <w:color w:val="000000"/>
          <w:lang w:val="en-GB"/>
        </w:rPr>
        <w:t xml:space="preserve">values for the trap </w:t>
      </w:r>
      <w:r w:rsidR="00FE0A3D">
        <w:rPr>
          <w:color w:val="000000"/>
          <w:lang w:val="en-GB"/>
        </w:rPr>
        <w:t xml:space="preserve">- </w:t>
      </w:r>
      <w:r w:rsidR="00AA046E">
        <w:rPr>
          <w:color w:val="000000"/>
          <w:lang w:val="en-GB"/>
        </w:rPr>
        <w:t>and back</w:t>
      </w:r>
      <w:r w:rsidR="00FE0A3D">
        <w:rPr>
          <w:color w:val="000000"/>
          <w:lang w:val="en-GB"/>
        </w:rPr>
        <w:t>-</w:t>
      </w:r>
      <w:r w:rsidR="00AA046E">
        <w:rPr>
          <w:color w:val="000000"/>
          <w:lang w:val="en-GB"/>
        </w:rPr>
        <w:t xml:space="preserve">ground </w:t>
      </w:r>
      <w:r w:rsidR="00FE0A3D">
        <w:rPr>
          <w:color w:val="000000"/>
          <w:lang w:val="en-GB"/>
        </w:rPr>
        <w:t>density</w:t>
      </w:r>
      <w:r w:rsidR="00AA046E">
        <w:rPr>
          <w:color w:val="000000"/>
          <w:lang w:val="en-GB"/>
        </w:rPr>
        <w:t xml:space="preserve">. </w:t>
      </w:r>
      <w:r w:rsidR="00F67B54">
        <w:rPr>
          <w:color w:val="000000"/>
          <w:lang w:val="en-GB"/>
        </w:rPr>
        <w:t>For MAP</w:t>
      </w:r>
      <w:r w:rsidR="00384F8A">
        <w:rPr>
          <w:color w:val="000000"/>
          <w:lang w:val="en-GB"/>
        </w:rPr>
        <w:t>b</w:t>
      </w:r>
      <w:r w:rsidR="00F67B54">
        <w:rPr>
          <w:color w:val="000000"/>
          <w:lang w:val="en-GB"/>
        </w:rPr>
        <w:t>I</w:t>
      </w:r>
      <w:r w:rsidR="00F67B54">
        <w:rPr>
          <w:color w:val="000000"/>
          <w:vertAlign w:val="subscript"/>
          <w:lang w:val="en-GB"/>
        </w:rPr>
        <w:t>3</w:t>
      </w:r>
      <w:r w:rsidR="00F67B54">
        <w:rPr>
          <w:color w:val="000000"/>
          <w:lang w:val="en-GB"/>
        </w:rPr>
        <w:t xml:space="preserve"> layers m</w:t>
      </w:r>
      <w:r w:rsidR="00545C6F">
        <w:rPr>
          <w:color w:val="000000"/>
          <w:lang w:val="en-GB"/>
        </w:rPr>
        <w:t xml:space="preserve">obilities </w:t>
      </w:r>
      <w:r w:rsidR="00125B3D">
        <w:rPr>
          <w:color w:val="000000"/>
          <w:lang w:val="en-GB"/>
        </w:rPr>
        <w:t>between 50 and 100 cm</w:t>
      </w:r>
      <w:r w:rsidR="00361112">
        <w:rPr>
          <w:color w:val="000000"/>
          <w:vertAlign w:val="superscript"/>
          <w:lang w:val="en-GB"/>
        </w:rPr>
        <w:t>2</w:t>
      </w:r>
      <w:r w:rsidR="00125B3D">
        <w:rPr>
          <w:color w:val="000000"/>
          <w:lang w:val="en-GB"/>
        </w:rPr>
        <w:t xml:space="preserve">/Vs </w:t>
      </w:r>
      <w:r w:rsidR="00545C6F">
        <w:rPr>
          <w:color w:val="000000"/>
          <w:lang w:val="en-GB"/>
        </w:rPr>
        <w:t xml:space="preserve">are close to previously reported values measured using TRMC or optically pump terahertz probe </w:t>
      </w:r>
      <w:r w:rsidR="00202C06">
        <w:rPr>
          <w:color w:val="000000"/>
          <w:lang w:val="en-GB"/>
        </w:rPr>
        <w:t>measurements (OPTP)</w:t>
      </w:r>
      <w:r w:rsidR="005278BD">
        <w:rPr>
          <w:color w:val="000000"/>
          <w:lang w:val="en-GB"/>
        </w:rPr>
        <w:t>.</w:t>
      </w:r>
      <w:r w:rsidR="005278BD">
        <w:rPr>
          <w:color w:val="000000"/>
          <w:lang w:val="en-GB"/>
        </w:rPr>
        <w:fldChar w:fldCharType="begin" w:fldLock="1"/>
      </w:r>
      <w:r w:rsidR="00021102">
        <w:rPr>
          <w:color w:val="000000"/>
          <w:lang w:val="en-GB"/>
        </w:rPr>
        <w:instrText>ADDIN CSL_CITATION {"citationItems":[{"id":"ITEM-1","itemData":{"DOI":"10.1016/j.joule.2017.08.006","ISSN":"25424351","abstract":"Metal halide perovskites are generating enormous excitement for use in solar cells and light-emission applications, but devices still show substantial non-radiative losses. Here, we show that by combining light and atmospheric treatments, we can increase the internal luminescence quantum efficiencies of polycrystalline perovskite films from 1% to 89%, with carrier lifetimes of 32 μs and diffusion lengths of 77 μm, comparable with perovskite single crystals. Remarkably, the surface recombination velocity of holes in the treated films is 0.4 cm/s, approaching the values for fully passivated crystalline silicon, which has the lowest values for any semiconductor to date. The enhancements translate to solar cell power-conversion efficiencies of 19.2%, with a near-instant rise to stabilized power output, consistent with suppression of ion migration. We propose a mechanism in which light creates superoxide species from oxygen that remove shallow surface states. The work reveals an industrially scalable post-treatment capable of producing state-of-the-art semiconducting films. Metal halide perovskites are exciting materials for low-cost optoelectronic devices such as solar cells and LEDs. In order to reach the theoretical efficiency limits for both applications, any parasitic non-radiative charge-carrier recombination losses, such as those mediated by carrier trapping, must be eliminated. At present, perovskite materials still suffer from substantial non-radiative decay, particularly under solar illumination conditions, and are therefore yet to reach their full potential. Perovskite single crystals have very low trap concentrations but their controlled growth into devices does not lend themselves to the advantages offered by solution-processing thin films such as roll-to-roll depositions. Here, we demonstrate the use of light and atmospheric treatments on polycrystalline perovskite films, resulting in minimal non-radiative losses and properties approaching those of perovskite single crystals and even the best crystalline semiconductors reported to date. The authors demonstrate the use of light and atmospheric treatments on polycrystalline perovskite thin films, resulting in properties approaching those of the best crystalline semiconductors reported to date. The results translate to exceptional photovoltaic device performances with rapid rises to stabilized power output consistent with an inhibition of ionic migration.","author":[{"dropping-particle":"","family":"Brenes","given":"Roberto","non-dropping-particle":"","parse-names":false,"suffix":""},{"dropping-particle":"","family":"Guo","given":"Dengyang","non-dropping-particle":"","parse-names":false,"suffix":""},{"dropping-particle":"","family":"Osherov","given":"Anna","non-dropping-particle":"","parse-names":false,"suffix":""},{"dropping-particle":"","family":"Noel","given":"Nakita K.","non-dropping-particle":"","parse-names":false,"suffix":""},{"dropping-particle":"","family":"Eames","given":"Christopher","non-dropping-particle":"","parse-names":false,"suffix":""},{"dropping-particle":"","family":"Hutter","given":"Eline M.","non-dropping-particle":"","parse-names":false,"suffix":""},{"dropping-particle":"","family":"Pathak","given":"Sandeep K.","non-dropping-particle":"","parse-names":false,"suffix":""},{"dropping-particle":"","family":"Niroui","given":"Farnaz","non-dropping-particle":"","parse-names":false,"suffix":""},{"dropping-particle":"","family":"Friend","given":"Richard H.","non-dropping-particle":"","parse-names":false,"suffix":""},{"dropping-particle":"","family":"Islam","given":"M. Saiful","non-dropping-particle":"","parse-names":false,"suffix":""},{"dropping-particle":"","family":"Snaith","given":"Henry J.","non-dropping-particle":"","parse-names":false,"suffix":""},{"dropping-particle":"","family":"Bulović","given":"Vladimir","non-dropping-particle":"","parse-names":false,"suffix":""},{"dropping-particle":"","family":"Savenije","given":"Tom J.","non-dropping-particle":"","parse-names":false,"suffix":""},{"dropping-particle":"","family":"Stranks","given":"Samuel D.","non-dropping-particle":"","parse-names":false,"suffix":""}],"container-title":"Joule","id":"ITEM-1","issue":"1","issued":{"date-parts":[["2017","9","6"]]},"page":"155-167","publisher":"Cell Press","title":"Metal Halide Perovskite Polycrystalline Films Exhibiting Properties of Single Crystals","type":"article-journal","volume":"1"},"uris":["http://www.mendeley.com/documents/?uuid=2e937002-32e3-3926-b88b-2660c1f7ae87"]},{"id":"ITEM-2","itemData":{"DOI":"10.1021/acsenergylett.7b00276","ISSN":"23808195","abstract":"Perovskite photovoltaic cells have seen a remarkable rise in power conversion efficiencies over a period of only a few years. Much of this performance is underpinned by the favorable charge-carrier mobilities in metal halide perovskites (MHPs), which are remarkably high for materials with such facile and versatile processing routes. This Perspective outlines the mechanisms that set a fundamental upper limit to charge-carrier mobility values in MHPs and reveals how they may be tuned through changes in stoichiometry. In addition, extrinsic effects such as grain size, energetic disorder, and self-doping are discussed for specific MHPs in the context of remedies designed to avoid them.","author":[{"dropping-particle":"","family":"Herz","given":"Laura M.","non-dropping-particle":"","parse-names":false,"suffix":""}],"container-title":"ACS Energy Letters","id":"ITEM-2","issue":"7","issued":{"date-parts":[["2017"]]},"page":"1539-1548","title":"Charge-Carrier Mobilities in Metal Halide Perovskites: Fundamental Mechanisms and Limits","type":"article-journal","volume":"2"},"uris":["http://www.mendeley.com/documents/?uuid=b9c059d2-d210-4678-864a-d24ae5bfc100"]},{"id":"ITEM-3","itemData":{"DOI":"10.1063/1.5037637","ISSN":"10897550","abstract":"Time-resolved, pulsed excitation methods are widely used to deduce optoelectronic properties of semiconductors, including now also Halide Perovskites (HaPs), especially transport properties. However, as yet, no evaluation of their amenability and justification for the use of the results for the above-noted purposes has been reported. To check if we can learn from pulsed measurement results about steady-state phototransport properties, we show here that, although pulsed measurements can be useful to extract information on the recombination kinetics of HaPs, great care should be taken. One issue is that no changes in the material are induced during or as a result of the excitation, and another one concerns in how far pulsed excitation-derived data can be used to find relevant steady-state parameters. To answer the latter question, we revisited pulsed excitation and propose a novel way to compare between pulsed and steady state measurements at different excitation intensities. We performed steady-state photoconductivity and ambipolar diffusion length measurements, as well as pulsed time-resolved microwave conductivity and time-resolved photoluminescence measurements as a function of excitation intensity on the same samples of different MAPbI3 thin films, and found good quasi-quantitative agreement between the results, explaining them with a generalized single level recombination model that describes the basic physics of phototransport of HaP absorbers. Moreover, we find the first experimental manifestation of the boundaries between several effective recombination regimes that exist in HaPs, by analyzing their phototransport behavior as a function of excitation intensity.","author":[{"dropping-particle":"","family":"Levine","given":"Igal","non-dropping-particle":"","parse-names":false,"suffix":""},{"dropping-particle":"","family":"Gupta","given":"Satyajit","non-dropping-particle":"","parse-names":false,"suffix":""},{"dropping-particle":"","family":"Bera","given":"Achintya","non-dropping-particle":"","parse-names":false,"suffix":""},{"dropping-particle":"","family":"Ceratti","given":"Davide","non-dropping-particle":"","parse-names":false,"suffix":""},{"dropping-particle":"","family":"Hodes","given":"Gary","non-dropping-particle":"","parse-names":false,"suffix":""},{"dropping-particle":"","family":"Cahen","given":"David","non-dropping-particle":"","parse-names":false,"suffix":""},{"dropping-particle":"","family":"Guo","given":"Dengyang","non-dropping-particle":"","parse-names":false,"suffix":""},{"dropping-particle":"","family":"Savenije","given":"Tom J.","non-dropping-particle":"","parse-names":false,"suffix":""},{"dropping-particle":"","family":"Ávila","given":"Jorge","non-dropping-particle":"","parse-names":false,"suffix":""},{"dropping-particle":"","family":"Bolink","given":"Henk J.","non-dropping-particle":"","parse-names":false,"suffix":""},{"dropping-particle":"","family":"Millo","given":"Oded","non-dropping-particle":"","parse-names":false,"suffix":""},{"dropping-particle":"","family":"Azulay","given":"Doron","non-dropping-particle":"","parse-names":false,"suffix":""},{"dropping-particle":"","family":"Balberg","given":"Isaac","non-dropping-particle":"","parse-names":false,"suffix":""}],"container-title":"Journal of Applied Physics","id":"ITEM-3","issue":"10","issued":{"date-parts":[["2018"]]},"title":"Can we use time-resolved measurements to get steady-state transport data for halide perovskites?","type":"article-journal","volume":"124"},"uris":["http://www.mendeley.com/documents/?uuid=e7dcb562-d62b-404e-b6a4-28e07bec7db4"]}],"mendeley":{"formattedCitation":"&lt;sup&gt;[16,20,21]&lt;/sup&gt;","plainTextFormattedCitation":"[16,20,21]","previouslyFormattedCitation":"&lt;sup&gt;[16,20,21]&lt;/sup&gt;"},"properties":{"noteIndex":0},"schema":"https://github.com/citation-style-language/schema/raw/master/csl-citation.json"}</w:instrText>
      </w:r>
      <w:r w:rsidR="005278BD">
        <w:rPr>
          <w:color w:val="000000"/>
          <w:lang w:val="en-GB"/>
        </w:rPr>
        <w:fldChar w:fldCharType="separate"/>
      </w:r>
      <w:r w:rsidR="00021102" w:rsidRPr="00021102">
        <w:rPr>
          <w:noProof/>
          <w:color w:val="000000"/>
          <w:vertAlign w:val="superscript"/>
          <w:lang w:val="en-GB"/>
        </w:rPr>
        <w:t>[16,20,21]</w:t>
      </w:r>
      <w:r w:rsidR="005278BD">
        <w:rPr>
          <w:color w:val="000000"/>
          <w:lang w:val="en-GB"/>
        </w:rPr>
        <w:fldChar w:fldCharType="end"/>
      </w:r>
      <w:r w:rsidR="00545C6F">
        <w:rPr>
          <w:color w:val="000000"/>
          <w:lang w:val="en-GB"/>
        </w:rPr>
        <w:t xml:space="preserve"> </w:t>
      </w:r>
      <w:r w:rsidR="00125B3D">
        <w:rPr>
          <w:color w:val="000000"/>
          <w:lang w:val="en-GB"/>
        </w:rPr>
        <w:t xml:space="preserve">From </w:t>
      </w:r>
      <w:r w:rsidR="00FE2A07">
        <w:rPr>
          <w:color w:val="000000"/>
          <w:lang w:val="en-GB"/>
        </w:rPr>
        <w:t>T</w:t>
      </w:r>
      <w:r w:rsidR="00125B3D">
        <w:rPr>
          <w:color w:val="000000"/>
          <w:lang w:val="en-GB"/>
        </w:rPr>
        <w:t>able 1 there is a clear difference between the mobilities of MAP</w:t>
      </w:r>
      <w:r w:rsidR="00420F5C">
        <w:rPr>
          <w:color w:val="000000"/>
          <w:lang w:val="en-GB"/>
        </w:rPr>
        <w:t>b</w:t>
      </w:r>
      <w:r w:rsidR="00125B3D">
        <w:rPr>
          <w:color w:val="000000"/>
          <w:lang w:val="en-GB"/>
        </w:rPr>
        <w:t>I</w:t>
      </w:r>
      <w:r w:rsidR="00125B3D">
        <w:rPr>
          <w:color w:val="000000"/>
          <w:vertAlign w:val="subscript"/>
          <w:lang w:val="en-GB"/>
        </w:rPr>
        <w:t xml:space="preserve">3 </w:t>
      </w:r>
      <w:r w:rsidR="00125B3D">
        <w:rPr>
          <w:color w:val="000000"/>
          <w:lang w:val="en-GB"/>
        </w:rPr>
        <w:t>and MAP</w:t>
      </w:r>
      <w:r w:rsidR="00420F5C">
        <w:rPr>
          <w:color w:val="000000"/>
          <w:lang w:val="en-GB"/>
        </w:rPr>
        <w:t>b</w:t>
      </w:r>
      <w:r w:rsidR="00125B3D">
        <w:rPr>
          <w:color w:val="000000"/>
          <w:lang w:val="en-GB"/>
        </w:rPr>
        <w:t>Br</w:t>
      </w:r>
      <w:r w:rsidR="00125B3D">
        <w:rPr>
          <w:color w:val="000000"/>
          <w:vertAlign w:val="subscript"/>
          <w:lang w:val="en-GB"/>
        </w:rPr>
        <w:t>3</w:t>
      </w:r>
      <w:r w:rsidR="00125B3D">
        <w:rPr>
          <w:color w:val="000000"/>
          <w:lang w:val="en-GB"/>
        </w:rPr>
        <w:t xml:space="preserve">. The mobility </w:t>
      </w:r>
      <w:r w:rsidR="00FE2A07">
        <w:rPr>
          <w:color w:val="000000"/>
          <w:lang w:val="en-GB"/>
        </w:rPr>
        <w:t>according to</w:t>
      </w:r>
      <w:r w:rsidR="006E183E">
        <w:rPr>
          <w:color w:val="000000"/>
          <w:lang w:val="en-GB"/>
        </w:rPr>
        <w:t xml:space="preserve"> the classical Drude model is given by</w:t>
      </w:r>
    </w:p>
    <w:p w14:paraId="531E1A56" w14:textId="60D341D8" w:rsidR="006E183E" w:rsidRPr="006E183E" w:rsidRDefault="006E183E" w:rsidP="00545C6F">
      <w:pPr>
        <w:spacing w:line="480" w:lineRule="auto"/>
        <w:jc w:val="both"/>
        <w:rPr>
          <w:color w:val="000000"/>
          <w:lang w:val="en-GB"/>
        </w:rPr>
      </w:pPr>
      <m:oMath>
        <m:r>
          <w:rPr>
            <w:rFonts w:ascii="Cambria Math" w:hAnsi="Cambria Math"/>
            <w:color w:val="000000"/>
            <w:lang w:val="en-GB"/>
          </w:rPr>
          <w:lastRenderedPageBreak/>
          <m:t>μ=</m:t>
        </m:r>
        <m:f>
          <m:fPr>
            <m:ctrlPr>
              <w:rPr>
                <w:rFonts w:ascii="Cambria Math" w:hAnsi="Cambria Math"/>
                <w:i/>
                <w:color w:val="000000"/>
                <w:lang w:val="en-GB"/>
              </w:rPr>
            </m:ctrlPr>
          </m:fPr>
          <m:num>
            <m:r>
              <w:rPr>
                <w:rFonts w:ascii="Cambria Math" w:hAnsi="Cambria Math"/>
                <w:color w:val="000000"/>
                <w:lang w:val="en-GB"/>
              </w:rPr>
              <m:t>eτ</m:t>
            </m:r>
          </m:num>
          <m:den>
            <m:sSup>
              <m:sSupPr>
                <m:ctrlPr>
                  <w:rPr>
                    <w:rFonts w:ascii="Cambria Math" w:hAnsi="Cambria Math"/>
                    <w:i/>
                    <w:color w:val="000000"/>
                    <w:lang w:val="en-GB"/>
                  </w:rPr>
                </m:ctrlPr>
              </m:sSupPr>
              <m:e>
                <m:r>
                  <w:rPr>
                    <w:rFonts w:ascii="Cambria Math" w:hAnsi="Cambria Math"/>
                    <w:color w:val="000000"/>
                    <w:lang w:val="en-GB"/>
                  </w:rPr>
                  <m:t>m</m:t>
                </m:r>
              </m:e>
              <m:sup>
                <m:r>
                  <w:rPr>
                    <w:rFonts w:ascii="Cambria Math" w:hAnsi="Cambria Math"/>
                    <w:color w:val="000000"/>
                    <w:lang w:val="en-GB"/>
                  </w:rPr>
                  <m:t>*</m:t>
                </m:r>
              </m:sup>
            </m:sSup>
          </m:den>
        </m:f>
      </m:oMath>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t>(</w:t>
      </w:r>
      <w:r w:rsidR="00E21595" w:rsidRPr="0071201A">
        <w:rPr>
          <w:color w:val="000000" w:themeColor="text1"/>
          <w:lang w:val="en-GB"/>
        </w:rPr>
        <w:t>11</w:t>
      </w:r>
      <w:r>
        <w:rPr>
          <w:color w:val="000000"/>
          <w:lang w:val="en-GB"/>
        </w:rPr>
        <w:t>)</w:t>
      </w:r>
    </w:p>
    <w:p w14:paraId="14859406" w14:textId="68684F1C" w:rsidR="008664D8" w:rsidRDefault="00474E41" w:rsidP="00B82764">
      <w:pPr>
        <w:spacing w:line="480" w:lineRule="auto"/>
        <w:jc w:val="both"/>
        <w:rPr>
          <w:color w:val="000000"/>
          <w:lang w:val="en-GB"/>
        </w:rPr>
      </w:pPr>
      <w:r>
        <w:rPr>
          <w:color w:val="000000"/>
          <w:lang w:val="en-GB"/>
        </w:rPr>
        <w:t>i</w:t>
      </w:r>
      <w:r w:rsidR="00FE2A07">
        <w:rPr>
          <w:color w:val="000000"/>
          <w:lang w:val="en-GB"/>
        </w:rPr>
        <w:t xml:space="preserve">n which </w:t>
      </w:r>
      <w:r w:rsidR="00FE2A07" w:rsidRPr="00FE0A3D">
        <w:rPr>
          <w:rFonts w:ascii="Symbol" w:hAnsi="Symbol"/>
          <w:i/>
          <w:color w:val="000000"/>
          <w:lang w:val="en-GB"/>
        </w:rPr>
        <w:t></w:t>
      </w:r>
      <w:r w:rsidR="00FE2A07">
        <w:rPr>
          <w:color w:val="000000"/>
          <w:lang w:val="en-GB"/>
        </w:rPr>
        <w:t xml:space="preserve"> is the scattering time and </w:t>
      </w:r>
      <w:r w:rsidR="00FE2A07" w:rsidRPr="00FE2A07">
        <w:rPr>
          <w:i/>
          <w:color w:val="000000"/>
          <w:lang w:val="en-GB"/>
        </w:rPr>
        <w:t>m</w:t>
      </w:r>
      <w:r w:rsidR="00FE2A07">
        <w:rPr>
          <w:color w:val="000000"/>
          <w:vertAlign w:val="superscript"/>
          <w:lang w:val="en-GB"/>
        </w:rPr>
        <w:t>*</w:t>
      </w:r>
      <w:r w:rsidR="00FE2A07">
        <w:rPr>
          <w:color w:val="000000"/>
          <w:lang w:val="en-GB"/>
        </w:rPr>
        <w:t xml:space="preserve"> the effective mass. </w:t>
      </w:r>
      <w:r w:rsidR="006E183E">
        <w:rPr>
          <w:color w:val="000000"/>
          <w:lang w:val="en-GB"/>
        </w:rPr>
        <w:t xml:space="preserve">From first principles calculations or </w:t>
      </w:r>
      <w:r w:rsidR="006E183E" w:rsidRPr="006E183E">
        <w:rPr>
          <w:color w:val="000000"/>
          <w:lang w:val="en-GB"/>
        </w:rPr>
        <w:t>magneto</w:t>
      </w:r>
      <w:r>
        <w:rPr>
          <w:color w:val="000000"/>
          <w:lang w:val="en-GB"/>
        </w:rPr>
        <w:t>-</w:t>
      </w:r>
      <w:r w:rsidR="006E183E" w:rsidRPr="006E183E">
        <w:rPr>
          <w:color w:val="000000"/>
          <w:lang w:val="en-GB"/>
        </w:rPr>
        <w:t>optical studies</w:t>
      </w:r>
      <w:r w:rsidR="006E183E">
        <w:rPr>
          <w:color w:val="000000"/>
          <w:lang w:val="en-GB"/>
        </w:rPr>
        <w:t xml:space="preserve"> the effective masses of the charge carriers </w:t>
      </w:r>
      <w:r w:rsidR="00FE2A07">
        <w:rPr>
          <w:color w:val="000000"/>
          <w:lang w:val="en-GB"/>
        </w:rPr>
        <w:t>have</w:t>
      </w:r>
      <w:r w:rsidR="006E183E">
        <w:rPr>
          <w:color w:val="000000"/>
          <w:lang w:val="en-GB"/>
        </w:rPr>
        <w:t xml:space="preserve"> be</w:t>
      </w:r>
      <w:r w:rsidR="00420F5C">
        <w:rPr>
          <w:color w:val="000000"/>
          <w:lang w:val="en-GB"/>
        </w:rPr>
        <w:t>en</w:t>
      </w:r>
      <w:r w:rsidR="006E183E">
        <w:rPr>
          <w:color w:val="000000"/>
          <w:lang w:val="en-GB"/>
        </w:rPr>
        <w:t xml:space="preserve"> derived, which show similar values </w:t>
      </w:r>
      <w:r w:rsidR="003703CC">
        <w:rPr>
          <w:color w:val="000000"/>
          <w:lang w:val="en-GB"/>
        </w:rPr>
        <w:t>for</w:t>
      </w:r>
      <w:r w:rsidR="006E183E">
        <w:rPr>
          <w:color w:val="000000"/>
          <w:lang w:val="en-GB"/>
        </w:rPr>
        <w:t xml:space="preserve"> electrons and holes of 0.10</w:t>
      </w:r>
      <w:r w:rsidR="003703CC">
        <w:rPr>
          <w:color w:val="000000"/>
          <w:lang w:val="en-GB"/>
        </w:rPr>
        <w:t>m</w:t>
      </w:r>
      <w:r w:rsidR="003703CC">
        <w:rPr>
          <w:color w:val="000000"/>
          <w:vertAlign w:val="subscript"/>
          <w:lang w:val="en-GB"/>
        </w:rPr>
        <w:t>0</w:t>
      </w:r>
      <w:r w:rsidR="006E183E">
        <w:rPr>
          <w:color w:val="000000"/>
          <w:lang w:val="en-GB"/>
        </w:rPr>
        <w:t xml:space="preserve"> to 0.</w:t>
      </w:r>
      <w:r w:rsidR="008553A0">
        <w:rPr>
          <w:color w:val="000000"/>
          <w:lang w:val="en-GB"/>
        </w:rPr>
        <w:t>2</w:t>
      </w:r>
      <w:r w:rsidR="003703CC">
        <w:rPr>
          <w:color w:val="000000"/>
          <w:lang w:val="en-GB"/>
        </w:rPr>
        <w:t>m</w:t>
      </w:r>
      <w:r w:rsidR="003703CC">
        <w:rPr>
          <w:color w:val="000000"/>
          <w:vertAlign w:val="subscript"/>
          <w:lang w:val="en-GB"/>
        </w:rPr>
        <w:t>0</w:t>
      </w:r>
      <w:r w:rsidR="003703CC">
        <w:rPr>
          <w:color w:val="000000"/>
          <w:lang w:val="en-GB"/>
        </w:rPr>
        <w:t xml:space="preserve"> for both materials</w:t>
      </w:r>
      <w:r w:rsidR="006E183E">
        <w:rPr>
          <w:color w:val="000000"/>
          <w:lang w:val="en-GB"/>
        </w:rPr>
        <w:t>.</w:t>
      </w:r>
      <w:r w:rsidR="007872DF">
        <w:rPr>
          <w:color w:val="000000"/>
          <w:lang w:val="en-GB"/>
        </w:rPr>
        <w:fldChar w:fldCharType="begin" w:fldLock="1"/>
      </w:r>
      <w:r w:rsidR="00021102">
        <w:rPr>
          <w:color w:val="000000"/>
          <w:lang w:val="en-GB"/>
        </w:rPr>
        <w:instrText>ADDIN CSL_CITATION {"citationItems":[{"id":"ITEM-1","itemData":{"DOI":"10.1103/PhysRevB.89.155204","ISSN":"1550235X","abstract":"Solar cells based on a light absorbing layer of the organometal halide perovskite CH3NH3PbI3 have recently surpassed 15% conversion efficiency, though how these materials work remains largely unknown. We analyze the electronic structure and optical properties within the quasiparticle self-consistent GW approximation. While this compound bears some similarity to conventional sp semiconductors, it also displays unique features. Quasiparticle self-consistency is essential for an accurate description of the band structure: Band gaps are much larger than what is predicted by the local-density approximation (LDA) or GW based on the LDA. Valence band dispersions are modified in a very unusual manner. In addition, spin-orbit coupling strongly modifies the band structure and gives rise to unconventional dispersion relations and a Dresselhaus splitting at the band edges. The average hole mass is small, which partially accounts for the long diffusion lengths observed. The surface ionization potential (work function) is calculated to be 5.7 eV with respect to the vacuum level, explaining efficient carrier transfer to TiO2 and Au electrical contacts. © 2014 American Physical Society.","author":[{"dropping-particle":"","family":"Brivio","given":"Federico","non-dropping-particle":"","parse-names":false,"suffix":""},{"dropping-particle":"","family":"Butler","given":"Keith T.","non-dropping-particle":"","parse-names":false,"suffix":""},{"dropping-particle":"","family":"Walsh","given":"Aron","non-dropping-particle":"","parse-names":false,"suffix":""},{"dropping-particle":"","family":"Schilfgaarde","given":"Mark","non-dropping-particle":"Van","parse-names":false,"suffix":""}],"container-title":"Physical Review B - Condensed Matter and Materials Physics","id":"ITEM-1","issue":"15","issued":{"date-parts":[["2014"]]},"page":"1-6","title":"Relativistic quasiparticle self-consistent electronic structure of hybrid halide perovskite photovoltaic absorbers","type":"article-journal","volume":"89"},"uris":["http://www.mendeley.com/documents/?uuid=9cc1b9f2-6899-4036-b102-e0a2036589c1"]},{"id":"ITEM-2","itemData":{"DOI":"10.1039/c5ee03435c","ISSN":"17545706","abstract":"The family of organic-inorganic halide perovskite materials has generated tremendous interest in the field of photovoltaics due to their high power conversion efficiencies. There has been intensive development of cells based on the archetypal methylammonium (MA) and recently introduced formamidinium (FA) materials, however, there is still considerable controversy over their fundamental electronic properties. Two of the most important parameters are the binding energy of the exciton (R</w:instrText>
      </w:r>
      <w:r w:rsidR="00021102">
        <w:rPr>
          <w:rFonts w:ascii="Cambria Math" w:hAnsi="Cambria Math" w:cs="Cambria Math"/>
          <w:color w:val="000000"/>
          <w:lang w:val="en-GB"/>
        </w:rPr>
        <w:instrText>∗</w:instrText>
      </w:r>
      <w:r w:rsidR="00021102">
        <w:rPr>
          <w:color w:val="000000"/>
          <w:lang w:val="en-GB"/>
        </w:rPr>
        <w:instrText>) and its reduced effective mass μ. Here we present extensive magneto optical studies of Cl assisted grown MAPbI3 as well as MAPbBr3 and the FA based materials FAPbI3 and FAPbBr3. We fit the excitonic states as a hydrogenic atom in magnetic field and the Landau levels for free carriers to give R</w:instrText>
      </w:r>
      <w:r w:rsidR="00021102">
        <w:rPr>
          <w:rFonts w:ascii="Cambria Math" w:hAnsi="Cambria Math" w:cs="Cambria Math"/>
          <w:color w:val="000000"/>
          <w:lang w:val="en-GB"/>
        </w:rPr>
        <w:instrText>∗</w:instrText>
      </w:r>
      <w:r w:rsidR="00021102">
        <w:rPr>
          <w:color w:val="000000"/>
          <w:lang w:val="en-GB"/>
        </w:rPr>
        <w:instrText xml:space="preserve"> and μ. The values of the exciton binding energy are in the range 14-25 meV in the low temperature phase and fall considerably at higher temperatures for the tri-iodides, consistent with free carrier behaviour in all devices made from these materials. Both R</w:instrText>
      </w:r>
      <w:r w:rsidR="00021102">
        <w:rPr>
          <w:rFonts w:ascii="Cambria Math" w:hAnsi="Cambria Math" w:cs="Cambria Math"/>
          <w:color w:val="000000"/>
          <w:lang w:val="en-GB"/>
        </w:rPr>
        <w:instrText>∗</w:instrText>
      </w:r>
      <w:r w:rsidR="00021102">
        <w:rPr>
          <w:color w:val="000000"/>
          <w:lang w:val="en-GB"/>
        </w:rPr>
        <w:instrText xml:space="preserve"> and μ increase approximately proportionally to the band gap, and the mass values, 0.09-0.117m0, are consistent with a simple k.p perturbation approach to the band structure which can be generalized to predict values for the effective mass and binding energy for other members of this perovskite family of materials.","author":[{"dropping-particle":"","family":"Galkowski","given":"Krzysztof","non-dropping-particle":"","parse-names":false,"suffix":""},{"dropping-particle":"","family":"Mitioglu","given":"Anatolie","non-dropping-particle":"","parse-names":false,"suffix":""},{"dropping-particle":"","family":"Miyata","given":"Atsuhiko","non-dropping-particle":"","parse-names":false,"suffix":""},{"dropping-particle":"","family":"Plochocka","given":"Paulina","non-dropping-particle":"","parse-names":false,"suffix":""},{"dropping-particle":"","family":"Portugall","given":"Oliver","non-dropping-particle":"","parse-names":false,"suffix":""},{"dropping-particle":"","family":"Eperon","given":"Giles E.","non-dropping-particle":"","parse-names":false,"suffix":""},{"dropping-particle":"","family":"Wang","given":"Jacob Tse Wei","non-dropping-particle":"","parse-names":false,"suffix":""},{"dropping-particle":"","family":"Stergiopoulos","given":"Thomas","non-dropping-particle":"","parse-names":false,"suffix":""},{"dropping-particle":"","family":"Stranks","given":"Samuel D.","non-dropping-particle":"","parse-names":false,"suffix":""},{"dropping-particle":"","family":"Snaith","given":"Henry J.","non-dropping-particle":"","parse-names":false,"suffix":""},{"dropping-particle":"","family":"Nicholas","given":"Robin J.","non-dropping-particle":"","parse-names":false,"suffix":""}],"container-title":"Energy and Environmental Science","id":"ITEM-2","issue":"3","issued":{"date-parts":[["2016"]]},"page":"962-970","publisher":"Royal Society of Chemistry","title":"Determination of the exciton binding energy and effective masses for methylammonium and formamidinium lead tri-halide perovskite semiconductors","type":"article-journal","volume":"9"},"uris":["http://www.mendeley.com/documents/?uuid=9c8c4e5a-ac90-4891-858f-2685f35c701a"]},{"id":"ITEM-3","itemData":{"DOI":"10.1063/1.4984964","ISSN":"00219606","PMID":"29166078","abstract":"Organic-inorganic halide perovskites present a number of challenges for first-principles atomistic materials modeling. Such \"plastic crystals\" feature dynamic processes across multiple length and time scales. These include the following: (i) transport of slow ions and fast electrons; (ii) highly anharmonic lattice dynamics with short phonon lifetimes; (iii) local symmetry breaking of the average crystallographic space group; (iv) strong relativistic (spin-orbit coupling) effects on the electronic band structure; and (v) thermodynamic metastability and rapid chemical breakdown. These issues, which affect the operation of solar cells, are outlined in this perspective. We also discuss general guidelines for performing quantitative and predictive simulations of these materials, which are relevant to metal-organic frameworks and other hybrid semiconducting, dielectric and ferroelectric compounds.","author":[{"dropping-particle":"","family":"Whalley","given":"Lucy D.","non-dropping-particle":"","parse-names":false,"suffix":""},{"dropping-particle":"","family":"Frost","given":"Jarvist M.","non-dropping-particle":"","parse-names":false,"suffix":""},{"dropping-particle":"","family":"Jung","given":"Young Kwang","non-dropping-particle":"","parse-names":false,"suffix":""},{"dropping-particle":"","family":"Walsh","given":"Aron","non-dropping-particle":"","parse-names":false,"suffix":""}],"container-title":"Journal of Chemical Physics","id":"ITEM-3","issue":"22","issued":{"date-parts":[["2017"]]},"title":"Perspective: Theory and simulation of hybrid halide perovskites","type":"article-journal","volume":"146"},"uris":["http://www.mendeley.com/documents/?uuid=83cecb9f-994a-4840-9bd2-7ba9af0fee65"]}],"mendeley":{"formattedCitation":"&lt;sup&gt;[22–24]&lt;/sup&gt;","plainTextFormattedCitation":"[22–24]","previouslyFormattedCitation":"&lt;sup&gt;[22–24]&lt;/sup&gt;"},"properties":{"noteIndex":0},"schema":"https://github.com/citation-style-language/schema/raw/master/csl-citation.json"}</w:instrText>
      </w:r>
      <w:r w:rsidR="007872DF">
        <w:rPr>
          <w:color w:val="000000"/>
          <w:lang w:val="en-GB"/>
        </w:rPr>
        <w:fldChar w:fldCharType="separate"/>
      </w:r>
      <w:r w:rsidR="00021102" w:rsidRPr="00021102">
        <w:rPr>
          <w:noProof/>
          <w:color w:val="000000"/>
          <w:vertAlign w:val="superscript"/>
          <w:lang w:val="en-GB"/>
        </w:rPr>
        <w:t>[22–24]</w:t>
      </w:r>
      <w:r w:rsidR="007872DF">
        <w:rPr>
          <w:color w:val="000000"/>
          <w:lang w:val="en-GB"/>
        </w:rPr>
        <w:fldChar w:fldCharType="end"/>
      </w:r>
      <w:r w:rsidR="006E183E">
        <w:rPr>
          <w:color w:val="000000"/>
          <w:lang w:val="en-GB"/>
        </w:rPr>
        <w:t xml:space="preserve"> </w:t>
      </w:r>
      <w:r w:rsidR="008553A0">
        <w:rPr>
          <w:color w:val="000000"/>
          <w:lang w:val="en-GB"/>
        </w:rPr>
        <w:t xml:space="preserve">With respect to the scattering time, </w:t>
      </w:r>
      <w:r w:rsidR="008553A0" w:rsidRPr="00FE0A3D">
        <w:rPr>
          <w:rFonts w:ascii="Symbol" w:hAnsi="Symbol"/>
          <w:i/>
          <w:color w:val="000000"/>
          <w:lang w:val="en-GB"/>
        </w:rPr>
        <w:t></w:t>
      </w:r>
      <w:r w:rsidR="00545C6F">
        <w:rPr>
          <w:color w:val="000000"/>
          <w:lang w:val="en-GB"/>
        </w:rPr>
        <w:t xml:space="preserve"> it has been argued that the interactions between the</w:t>
      </w:r>
      <w:r w:rsidR="00545C6F" w:rsidRPr="001159BC">
        <w:rPr>
          <w:color w:val="000000"/>
          <w:lang w:val="en-GB"/>
        </w:rPr>
        <w:t xml:space="preserve"> </w:t>
      </w:r>
      <w:r w:rsidR="00545C6F">
        <w:rPr>
          <w:color w:val="000000"/>
          <w:lang w:val="en-GB"/>
        </w:rPr>
        <w:t>longitudinal</w:t>
      </w:r>
      <w:r w:rsidR="00545C6F" w:rsidRPr="001159BC">
        <w:rPr>
          <w:color w:val="000000"/>
          <w:lang w:val="en-GB"/>
        </w:rPr>
        <w:t xml:space="preserve"> phonon modes are higher for bromide perovskites than iodide perovskites</w:t>
      </w:r>
      <w:r w:rsidR="00FE2A07">
        <w:rPr>
          <w:color w:val="000000"/>
          <w:lang w:val="en-GB"/>
        </w:rPr>
        <w:t>. The resulting shorter scattering times for MAP</w:t>
      </w:r>
      <w:r w:rsidR="0057375F">
        <w:rPr>
          <w:color w:val="000000"/>
          <w:lang w:val="en-GB"/>
        </w:rPr>
        <w:t>b</w:t>
      </w:r>
      <w:r w:rsidR="00FE2A07">
        <w:rPr>
          <w:color w:val="000000"/>
          <w:lang w:val="en-GB"/>
        </w:rPr>
        <w:t>Br</w:t>
      </w:r>
      <w:r w:rsidR="00FE2A07">
        <w:rPr>
          <w:color w:val="000000"/>
          <w:vertAlign w:val="subscript"/>
          <w:lang w:val="en-GB"/>
        </w:rPr>
        <w:t>3</w:t>
      </w:r>
      <w:r w:rsidR="00545C6F" w:rsidRPr="001159BC">
        <w:rPr>
          <w:color w:val="000000"/>
          <w:lang w:val="en-GB"/>
        </w:rPr>
        <w:t xml:space="preserve"> </w:t>
      </w:r>
      <w:r w:rsidR="00545C6F">
        <w:rPr>
          <w:color w:val="000000"/>
          <w:lang w:val="en-GB"/>
        </w:rPr>
        <w:t xml:space="preserve">provides an explanation for the differences in </w:t>
      </w:r>
      <w:r w:rsidR="00FE2A07">
        <w:rPr>
          <w:color w:val="000000"/>
          <w:lang w:val="en-GB"/>
        </w:rPr>
        <w:t xml:space="preserve">the </w:t>
      </w:r>
      <w:r w:rsidR="00545C6F">
        <w:rPr>
          <w:color w:val="000000"/>
          <w:lang w:val="en-GB"/>
        </w:rPr>
        <w:t>observed mobilities.</w:t>
      </w:r>
      <w:r w:rsidR="0057375F">
        <w:rPr>
          <w:color w:val="000000"/>
          <w:lang w:val="en-GB"/>
        </w:rPr>
        <w:fldChar w:fldCharType="begin" w:fldLock="1"/>
      </w:r>
      <w:r w:rsidR="00021102">
        <w:rPr>
          <w:color w:val="000000"/>
          <w:lang w:val="en-GB"/>
        </w:rPr>
        <w:instrText xml:space="preserve">ADDIN CSL_CITATION {"citationItems":[{"id":"ITEM-1","itemData":{"DOI":"10.1038/ncomms11755","ISSN":"20411723","PMID":"27225329","abstract":"Phonon scattering limits charge-carrier mobilities and governs emission line broadening in hybrid metal halide perovskites. Establishing how charge carriers interact with phonons in these materials is therefore essential for the development of high-efficiency perovskite photovoltaics and low-cost lasers. Here we investigate the temperature dependence of emission line broadening in the four commonly studied formamidinium and methylammonium perovskites, HC(NH2)2 PbI3, HC(NH2)2 PbBr3, CH3NH3PbI3 and CH3 NH3 PbBr3, and discover that scattering from longitudinal optical phonons via the Fröhlich interaction is the dominant source of electron-phonon coupling near room temperature, with scattering off acoustic phonons negligible. We determine energies for the interacting longitudinal optical phonon modes to be 11.5 and 15.3 meV, and Fröhlich coupling constants of </w:instrText>
      </w:r>
      <w:r w:rsidR="00021102">
        <w:rPr>
          <w:rFonts w:ascii="Cambria Math" w:hAnsi="Cambria Math" w:cs="Cambria Math"/>
          <w:color w:val="000000"/>
          <w:lang w:val="en-GB"/>
        </w:rPr>
        <w:instrText>∼</w:instrText>
      </w:r>
      <w:r w:rsidR="00021102">
        <w:rPr>
          <w:color w:val="000000"/>
          <w:lang w:val="en-GB"/>
        </w:rPr>
        <w:instrText>40 and 60 meV for the lead iodide and bromide perovskites, respectively. Our findings correlate well with first-principles calculations based on many-body perturbation theory, which underlines the suitability of an electronic band-structure picture for describing charge carriers in hybrid perovskites.","author":[{"dropping-particle":"","family":"Wright","given":"Adam D.","non-dropping-particle":"","parse-names":false,"suffix":""},{"dropping-particle":"","family":"Verdi","given":"Carla","non-dropping-particle":"","parse-names":false,"suffix":""},{"dropping-particle":"","family":"Milot","given":"Rebecca L.","non-dropping-particle":"","parse-names":false,"suffix":""},{"dropping-particle":"","family":"Eperon","given":"Giles E.","non-dropping-particle":"","parse-names":false,"suffix":""},{"dropping-particle":"","family":"Pérez-Osorio","given":"Miguel A.","non-dropping-particle":"","parse-names":false,"suffix":""},{"dropping-particle":"","family":"Snaith","given":"Henry J.","non-dropping-particle":"","parse-names":false,"suffix":""},{"dropping-particle":"","family":"Giustino","given":"Feliciano","non-dropping-particle":"","parse-names":false,"suffix":""},{"dropping-particle":"","family":"Johnston","given":"Michael B.","non-dropping-particle":"","parse-names":false,"suffix":""},{"dropping-particle":"","family":"Herz","given":"Laura M.","non-dropping-particle":"","parse-names":false,"suffix":""}],"container-title":"Nature Communications","id":"ITEM-1","issue":"May","issued":{"date-parts":[["2016"]]},"title":"Electron-phonon coupling in hybrid lead halide perovskites","type":"article-journal","volume":"7"},"uris":["http://www.mendeley.com/documents/?uuid=a68fb0c6-69e5-4369-a06d-a2876a8d6bfb"]}],"mendeley":{"formattedCitation":"&lt;sup&gt;[25]&lt;/sup&gt;","plainTextFormattedCitation":"[25]","previouslyFormattedCitation":"&lt;sup&gt;[25]&lt;/sup&gt;"},"properties":{"noteIndex":0},"schema":"https://github.com/citation-style-language/schema/raw/master/csl-citation.json"}</w:instrText>
      </w:r>
      <w:r w:rsidR="0057375F">
        <w:rPr>
          <w:color w:val="000000"/>
          <w:lang w:val="en-GB"/>
        </w:rPr>
        <w:fldChar w:fldCharType="separate"/>
      </w:r>
      <w:r w:rsidR="00021102" w:rsidRPr="00021102">
        <w:rPr>
          <w:noProof/>
          <w:color w:val="000000"/>
          <w:vertAlign w:val="superscript"/>
          <w:lang w:val="en-GB"/>
        </w:rPr>
        <w:t>[25]</w:t>
      </w:r>
      <w:r w:rsidR="0057375F">
        <w:rPr>
          <w:color w:val="000000"/>
          <w:lang w:val="en-GB"/>
        </w:rPr>
        <w:fldChar w:fldCharType="end"/>
      </w:r>
      <w:r w:rsidR="00545C6F">
        <w:rPr>
          <w:color w:val="000000"/>
          <w:lang w:val="en-GB"/>
        </w:rPr>
        <w:t xml:space="preserve"> </w:t>
      </w:r>
      <w:r w:rsidR="00121174">
        <w:rPr>
          <w:color w:val="000000"/>
          <w:lang w:val="en-GB"/>
        </w:rPr>
        <w:t xml:space="preserve">The values </w:t>
      </w:r>
      <w:r w:rsidR="001159BC">
        <w:rPr>
          <w:color w:val="000000"/>
          <w:lang w:val="en-GB"/>
        </w:rPr>
        <w:t>for</w:t>
      </w:r>
      <w:r w:rsidR="00121174">
        <w:rPr>
          <w:color w:val="000000"/>
          <w:lang w:val="en-GB"/>
        </w:rPr>
        <w:t xml:space="preserve"> </w:t>
      </w:r>
      <w:r w:rsidR="001159BC" w:rsidRPr="001159BC">
        <w:rPr>
          <w:i/>
          <w:color w:val="000000"/>
          <w:lang w:val="en-GB"/>
        </w:rPr>
        <w:t>k</w:t>
      </w:r>
      <w:r w:rsidR="001159BC" w:rsidRPr="001159BC">
        <w:rPr>
          <w:i/>
          <w:color w:val="000000"/>
          <w:vertAlign w:val="subscript"/>
          <w:lang w:val="en-GB"/>
        </w:rPr>
        <w:t>2</w:t>
      </w:r>
      <w:r w:rsidR="001159BC">
        <w:rPr>
          <w:color w:val="000000"/>
          <w:lang w:val="en-GB"/>
        </w:rPr>
        <w:t xml:space="preserve"> for MAP</w:t>
      </w:r>
      <w:r w:rsidR="00420F5C">
        <w:rPr>
          <w:color w:val="000000"/>
          <w:lang w:val="en-GB"/>
        </w:rPr>
        <w:t>b</w:t>
      </w:r>
      <w:r w:rsidR="001159BC">
        <w:rPr>
          <w:color w:val="000000"/>
          <w:lang w:val="en-GB"/>
        </w:rPr>
        <w:t>I</w:t>
      </w:r>
      <w:r w:rsidR="001159BC">
        <w:rPr>
          <w:color w:val="000000"/>
          <w:vertAlign w:val="subscript"/>
          <w:lang w:val="en-GB"/>
        </w:rPr>
        <w:t>3</w:t>
      </w:r>
      <w:r w:rsidR="001159BC">
        <w:rPr>
          <w:color w:val="000000"/>
          <w:lang w:val="en-GB"/>
        </w:rPr>
        <w:t xml:space="preserve"> are very close to previously reported numbers.</w:t>
      </w:r>
      <w:r w:rsidR="00683231">
        <w:rPr>
          <w:color w:val="000000"/>
          <w:lang w:val="en-GB"/>
        </w:rPr>
        <w:fldChar w:fldCharType="begin" w:fldLock="1"/>
      </w:r>
      <w:r w:rsidR="00021102">
        <w:rPr>
          <w:color w:val="000000"/>
          <w:lang w:val="en-GB"/>
        </w:rPr>
        <w:instrText>ADDIN CSL_CITATION {"citationItems":[{"id":"ITEM-1","itemData":{"DOI":"10.1038/s41467-017-02670-2","ISSN":"20411723","PMID":"29348550","abstract":"Photovoltaic devices based on metal halide perovskites are rapidly improving in efficiency. Once the Shockley-Queisser limit is reached, charge-carrier extraction will be limited only by radiative bimolecular recombination of electrons with holes. Yet, this fundamental process, and its link with material stoichiometry, is still poorly understood. Here we show that bimolecular charge-carrier recombination in methylammonium lead triiodide perovskite can be fully explained as the inverse process of absorption. By correctly accounting for contributions to the absorption from excitons and electron-hole continuum states, we are able to utilise the van Roosbroeck-Shockley relation to determine bimolecular recombination rate constants from absorption spectra. We show that the sharpening of photon, electron and hole distribution functions significantly enhances bimolecular charge recombination as the temperature is lowered, mirroring trends in transient spectroscopy. Our findings provide vital understanding of band-to-band recombination processes in this hybrid perovskite, which comprise direct, fully radiative transitions between thermalized electrons and holes.","author":[{"dropping-particle":"","family":"Davies","given":"Christopher L.","non-dropping-particle":"","parse-names":false,"suffix":""},{"dropping-particle":"","family":"Filip","given":"Marina R.","non-dropping-particle":"","parse-names":false,"suffix":""},{"dropping-particle":"","family":"Patel","given":"Jay B.","non-dropping-particle":"","parse-names":false,"suffix":""},{"dropping-particle":"","family":"Crothers","given":"Timothy W.","non-dropping-particle":"","parse-names":false,"suffix":""},{"dropping-particle":"","family":"Verdi","given":"Carla","non-dropping-particle":"","parse-names":false,"suffix":""},{"dropping-particle":"","family":"Wright","given":"Adam D.","non-dropping-particle":"","parse-names":false,"suffix":""},{"dropping-particle":"","family":"Milot","given":"Rebecca L.","non-dropping-particle":"","parse-names":false,"suffix":""},{"dropping-particle":"","family":"Giustino","given":"Feliciano","non-dropping-particle":"","parse-names":false,"suffix":""},{"dropping-particle":"","family":"Johnston","given":"Michael B.","non-dropping-particle":"","parse-names":false,"suffix":""},{"dropping-particle":"","family":"Herz","given":"Laura M.","non-dropping-particle":"","parse-names":false,"suffix":""}],"container-title":"Nature Communications","id":"ITEM-1","issue":"1","issued":{"date-parts":[["2018"]]},"page":"1-9","publisher":"Springer US","title":"Bimolecular recombination in methylammonium lead triiodide perovskite is an inverse absorption process","type":"article-journal","volume":"9"},"uris":["http://www.mendeley.com/documents/?uuid=dbd06e08-8789-4cdb-b77d-2c1c8630a504"]}],"mendeley":{"formattedCitation":"&lt;sup&gt;[26]&lt;/sup&gt;","plainTextFormattedCitation":"[26]","previouslyFormattedCitation":"&lt;sup&gt;[26]&lt;/sup&gt;"},"properties":{"noteIndex":0},"schema":"https://github.com/citation-style-language/schema/raw/master/csl-citation.json"}</w:instrText>
      </w:r>
      <w:r w:rsidR="00683231">
        <w:rPr>
          <w:color w:val="000000"/>
          <w:lang w:val="en-GB"/>
        </w:rPr>
        <w:fldChar w:fldCharType="separate"/>
      </w:r>
      <w:r w:rsidR="00021102" w:rsidRPr="00021102">
        <w:rPr>
          <w:noProof/>
          <w:color w:val="000000"/>
          <w:vertAlign w:val="superscript"/>
          <w:lang w:val="en-GB"/>
        </w:rPr>
        <w:t>[26]</w:t>
      </w:r>
      <w:r w:rsidR="00683231">
        <w:rPr>
          <w:color w:val="000000"/>
          <w:lang w:val="en-GB"/>
        </w:rPr>
        <w:fldChar w:fldCharType="end"/>
      </w:r>
      <w:r w:rsidR="001159BC">
        <w:rPr>
          <w:color w:val="000000"/>
          <w:lang w:val="en-GB"/>
        </w:rPr>
        <w:t xml:space="preserve"> </w:t>
      </w:r>
      <w:r>
        <w:rPr>
          <w:color w:val="000000"/>
          <w:lang w:val="en-GB"/>
        </w:rPr>
        <w:t xml:space="preserve">The higher value for </w:t>
      </w:r>
      <w:r w:rsidRPr="001159BC">
        <w:rPr>
          <w:i/>
          <w:color w:val="000000"/>
          <w:lang w:val="en-GB"/>
        </w:rPr>
        <w:t>k</w:t>
      </w:r>
      <w:r w:rsidRPr="001159BC">
        <w:rPr>
          <w:i/>
          <w:color w:val="000000"/>
          <w:vertAlign w:val="subscript"/>
          <w:lang w:val="en-GB"/>
        </w:rPr>
        <w:t>2</w:t>
      </w:r>
      <w:r>
        <w:rPr>
          <w:color w:val="000000"/>
          <w:lang w:val="en-GB"/>
        </w:rPr>
        <w:t xml:space="preserve"> for MAPbBr</w:t>
      </w:r>
      <w:r>
        <w:rPr>
          <w:color w:val="000000"/>
          <w:vertAlign w:val="subscript"/>
          <w:lang w:val="en-GB"/>
        </w:rPr>
        <w:t>3</w:t>
      </w:r>
      <w:r>
        <w:rPr>
          <w:color w:val="000000"/>
          <w:lang w:val="en-GB"/>
        </w:rPr>
        <w:t xml:space="preserve"> might find its origin in surface enhanced second order recombination as recently deduced.</w:t>
      </w:r>
      <w:r w:rsidR="00136C94">
        <w:rPr>
          <w:color w:val="000000"/>
          <w:vertAlign w:val="superscript"/>
          <w:lang w:val="en-GB"/>
        </w:rPr>
        <w:t>[29]</w:t>
      </w:r>
      <w:r>
        <w:rPr>
          <w:color w:val="000000"/>
          <w:lang w:val="en-GB"/>
        </w:rPr>
        <w:t xml:space="preserve"> </w:t>
      </w:r>
    </w:p>
    <w:p w14:paraId="23C6FCC4" w14:textId="7D1B1F1D" w:rsidR="00B82764" w:rsidRDefault="001159BC" w:rsidP="00B82764">
      <w:pPr>
        <w:spacing w:line="480" w:lineRule="auto"/>
        <w:jc w:val="both"/>
        <w:rPr>
          <w:color w:val="000000"/>
          <w:lang w:val="en-GB"/>
        </w:rPr>
      </w:pPr>
      <w:r>
        <w:rPr>
          <w:color w:val="000000"/>
          <w:lang w:val="en-GB"/>
        </w:rPr>
        <w:t xml:space="preserve"> </w:t>
      </w:r>
    </w:p>
    <w:p w14:paraId="008AB6BB" w14:textId="2391DD07" w:rsidR="002E686D" w:rsidRPr="00B82764" w:rsidRDefault="002E686D" w:rsidP="00B82764">
      <w:pPr>
        <w:spacing w:line="480" w:lineRule="auto"/>
        <w:jc w:val="both"/>
        <w:rPr>
          <w:color w:val="000000"/>
          <w:lang w:val="en-GB"/>
        </w:rPr>
      </w:pPr>
      <w:r w:rsidRPr="00FF18A0">
        <w:rPr>
          <w:color w:val="000000"/>
          <w:lang w:val="en-GB"/>
        </w:rPr>
        <w:t>Table 1. Kinetic parameters</w:t>
      </w:r>
      <w:r>
        <w:rPr>
          <w:color w:val="000000"/>
          <w:lang w:val="en-GB"/>
        </w:rPr>
        <w:t xml:space="preserve"> used</w:t>
      </w:r>
      <w:r w:rsidRPr="00FF18A0">
        <w:rPr>
          <w:color w:val="000000"/>
          <w:lang w:val="en-GB"/>
        </w:rPr>
        <w:t xml:space="preserve"> </w:t>
      </w:r>
      <w:r>
        <w:rPr>
          <w:color w:val="000000"/>
          <w:lang w:val="en-GB"/>
        </w:rPr>
        <w:t>for fits</w:t>
      </w:r>
      <w:r w:rsidRPr="00FF18A0">
        <w:rPr>
          <w:color w:val="000000"/>
          <w:lang w:val="en-GB"/>
        </w:rPr>
        <w:t xml:space="preserve"> </w:t>
      </w:r>
      <w:r>
        <w:rPr>
          <w:color w:val="000000"/>
          <w:lang w:val="en-GB"/>
        </w:rPr>
        <w:t>to</w:t>
      </w:r>
      <w:r w:rsidRPr="00FF18A0">
        <w:rPr>
          <w:color w:val="000000"/>
          <w:lang w:val="en-GB"/>
        </w:rPr>
        <w:t xml:space="preserve"> </w:t>
      </w:r>
      <w:r>
        <w:rPr>
          <w:color w:val="000000"/>
          <w:lang w:val="en-GB"/>
        </w:rPr>
        <w:t xml:space="preserve">the </w:t>
      </w:r>
      <w:r w:rsidRPr="00FF18A0">
        <w:rPr>
          <w:color w:val="000000"/>
          <w:lang w:val="en-GB"/>
        </w:rPr>
        <w:t xml:space="preserve">TRMC traces for bare </w:t>
      </w:r>
      <w:r w:rsidRPr="00FF18A0">
        <w:t>MAP</w:t>
      </w:r>
      <w:r>
        <w:t>bI</w:t>
      </w:r>
      <w:r>
        <w:rPr>
          <w:vertAlign w:val="subscript"/>
        </w:rPr>
        <w:t xml:space="preserve">3 </w:t>
      </w:r>
      <w:r w:rsidRPr="00FF18A0">
        <w:rPr>
          <w:color w:val="000000"/>
          <w:lang w:val="en-GB"/>
        </w:rPr>
        <w:t xml:space="preserve">and </w:t>
      </w:r>
      <w:r w:rsidRPr="00FF18A0">
        <w:t>MAP</w:t>
      </w:r>
      <w:r>
        <w:t>b</w:t>
      </w:r>
      <w:r w:rsidRPr="00FF18A0">
        <w:t>B</w:t>
      </w:r>
      <w:r>
        <w:t>r</w:t>
      </w:r>
      <w:r>
        <w:rPr>
          <w:vertAlign w:val="subscript"/>
        </w:rPr>
        <w:t>3</w:t>
      </w:r>
      <w:r w:rsidRPr="00FF18A0">
        <w:rPr>
          <w:color w:val="000000"/>
          <w:lang w:val="en-GB"/>
        </w:rPr>
        <w:t xml:space="preserve"> layers.</w:t>
      </w:r>
    </w:p>
    <w:tbl>
      <w:tblPr>
        <w:tblStyle w:val="Tabelraster"/>
        <w:tblW w:w="0" w:type="auto"/>
        <w:tblLook w:val="04A0" w:firstRow="1" w:lastRow="0" w:firstColumn="1" w:lastColumn="0" w:noHBand="0" w:noVBand="1"/>
      </w:tblPr>
      <w:tblGrid>
        <w:gridCol w:w="2127"/>
        <w:gridCol w:w="1559"/>
        <w:gridCol w:w="1984"/>
      </w:tblGrid>
      <w:tr w:rsidR="002E686D" w14:paraId="4A539D2C" w14:textId="77777777" w:rsidTr="00850267">
        <w:tc>
          <w:tcPr>
            <w:tcW w:w="2127" w:type="dxa"/>
          </w:tcPr>
          <w:p w14:paraId="79206017" w14:textId="77777777" w:rsidR="002E686D" w:rsidRDefault="002E686D" w:rsidP="00850267">
            <w:pPr>
              <w:jc w:val="center"/>
            </w:pPr>
          </w:p>
        </w:tc>
        <w:tc>
          <w:tcPr>
            <w:tcW w:w="1559" w:type="dxa"/>
          </w:tcPr>
          <w:p w14:paraId="6A135CD2" w14:textId="77777777" w:rsidR="002E686D" w:rsidRPr="00FF18A0" w:rsidRDefault="002E686D" w:rsidP="00850267">
            <w:pPr>
              <w:jc w:val="center"/>
            </w:pPr>
            <w:r w:rsidRPr="00FF18A0">
              <w:rPr>
                <w:rFonts w:ascii="Times New Roman" w:hAnsi="Times New Roman"/>
              </w:rPr>
              <w:t>MAP</w:t>
            </w:r>
            <w:r>
              <w:rPr>
                <w:rFonts w:ascii="Times New Roman" w:hAnsi="Times New Roman"/>
              </w:rPr>
              <w:t>bI</w:t>
            </w:r>
            <w:r>
              <w:rPr>
                <w:rFonts w:ascii="Times New Roman" w:hAnsi="Times New Roman"/>
                <w:vertAlign w:val="subscript"/>
              </w:rPr>
              <w:t>3</w:t>
            </w:r>
          </w:p>
        </w:tc>
        <w:tc>
          <w:tcPr>
            <w:tcW w:w="1984" w:type="dxa"/>
          </w:tcPr>
          <w:p w14:paraId="03DCD7E8" w14:textId="77777777" w:rsidR="002E686D" w:rsidRPr="00FF18A0" w:rsidRDefault="002E686D" w:rsidP="00850267">
            <w:pPr>
              <w:jc w:val="center"/>
            </w:pPr>
            <w:r w:rsidRPr="00FF18A0">
              <w:rPr>
                <w:rFonts w:ascii="Times New Roman" w:hAnsi="Times New Roman"/>
              </w:rPr>
              <w:t>MAP</w:t>
            </w:r>
            <w:r>
              <w:rPr>
                <w:rFonts w:ascii="Times New Roman" w:hAnsi="Times New Roman"/>
              </w:rPr>
              <w:t>b</w:t>
            </w:r>
            <w:r w:rsidRPr="00FF18A0">
              <w:rPr>
                <w:rFonts w:ascii="Times New Roman" w:hAnsi="Times New Roman"/>
              </w:rPr>
              <w:t>B</w:t>
            </w:r>
            <w:r>
              <w:rPr>
                <w:rFonts w:ascii="Times New Roman" w:hAnsi="Times New Roman"/>
              </w:rPr>
              <w:t>r</w:t>
            </w:r>
            <w:r>
              <w:rPr>
                <w:rFonts w:ascii="Times New Roman" w:hAnsi="Times New Roman"/>
                <w:vertAlign w:val="subscript"/>
              </w:rPr>
              <w:t>3</w:t>
            </w:r>
          </w:p>
        </w:tc>
      </w:tr>
      <w:tr w:rsidR="002E686D" w14:paraId="71301D5E" w14:textId="77777777" w:rsidTr="00850267">
        <w:tc>
          <w:tcPr>
            <w:tcW w:w="2127" w:type="dxa"/>
          </w:tcPr>
          <w:p w14:paraId="04C17C2D" w14:textId="77777777" w:rsidR="002E686D" w:rsidRPr="00FF18A0" w:rsidRDefault="002E686D" w:rsidP="00850267">
            <w:pPr>
              <w:rPr>
                <w:rFonts w:ascii="Times New Roman" w:hAnsi="Times New Roman"/>
              </w:rPr>
            </w:pPr>
            <w:r w:rsidRPr="00FF18A0">
              <w:rPr>
                <w:rFonts w:ascii="Times New Roman" w:hAnsi="Times New Roman"/>
                <w:i/>
              </w:rPr>
              <w:t>k</w:t>
            </w:r>
            <w:r w:rsidRPr="00FF18A0">
              <w:rPr>
                <w:rFonts w:ascii="Times New Roman" w:hAnsi="Times New Roman"/>
                <w:vertAlign w:val="subscript"/>
              </w:rPr>
              <w:t>2</w:t>
            </w:r>
            <w:r w:rsidRPr="00FF18A0">
              <w:rPr>
                <w:rFonts w:ascii="Times New Roman" w:hAnsi="Times New Roman"/>
              </w:rPr>
              <w:t xml:space="preserve"> [</w:t>
            </w:r>
            <w:r w:rsidRPr="00F80FA8">
              <w:rPr>
                <w:rFonts w:asciiTheme="minorHAnsi" w:hAnsiTheme="minorHAnsi" w:cstheme="minorHAnsi"/>
              </w:rPr>
              <w:t>x</w:t>
            </w:r>
            <w:r w:rsidRPr="00FF18A0">
              <w:rPr>
                <w:rFonts w:ascii="Times New Roman" w:hAnsi="Times New Roman"/>
              </w:rPr>
              <w:t xml:space="preserve"> 10</w:t>
            </w:r>
            <w:r w:rsidRPr="00FF18A0">
              <w:rPr>
                <w:rFonts w:ascii="Times New Roman" w:hAnsi="Times New Roman"/>
                <w:vertAlign w:val="superscript"/>
              </w:rPr>
              <w:t>-9</w:t>
            </w:r>
            <w:r w:rsidRPr="00FF18A0">
              <w:rPr>
                <w:rFonts w:ascii="Times New Roman" w:hAnsi="Times New Roman"/>
              </w:rPr>
              <w:t xml:space="preserve"> cm</w:t>
            </w:r>
            <w:r w:rsidRPr="00FF18A0">
              <w:rPr>
                <w:rFonts w:ascii="Times New Roman" w:hAnsi="Times New Roman"/>
                <w:vertAlign w:val="superscript"/>
              </w:rPr>
              <w:t>3</w:t>
            </w:r>
            <w:r w:rsidRPr="00FF18A0">
              <w:rPr>
                <w:rFonts w:ascii="Times New Roman" w:hAnsi="Times New Roman"/>
              </w:rPr>
              <w:t xml:space="preserve"> s</w:t>
            </w:r>
            <w:r w:rsidRPr="00FF18A0">
              <w:rPr>
                <w:rFonts w:ascii="Times New Roman" w:hAnsi="Times New Roman"/>
                <w:vertAlign w:val="superscript"/>
              </w:rPr>
              <w:t>-1</w:t>
            </w:r>
            <w:r w:rsidRPr="00FF18A0">
              <w:rPr>
                <w:rFonts w:ascii="Times New Roman" w:hAnsi="Times New Roman"/>
              </w:rPr>
              <w:t>]</w:t>
            </w:r>
          </w:p>
        </w:tc>
        <w:tc>
          <w:tcPr>
            <w:tcW w:w="1559" w:type="dxa"/>
          </w:tcPr>
          <w:p w14:paraId="0DC58000" w14:textId="77777777" w:rsidR="002E686D" w:rsidRPr="00FF18A0" w:rsidRDefault="002E686D" w:rsidP="00850267">
            <w:pPr>
              <w:jc w:val="center"/>
            </w:pPr>
            <w:r>
              <w:rPr>
                <w:rFonts w:ascii="Times New Roman" w:hAnsi="Times New Roman"/>
              </w:rPr>
              <w:t>1.2</w:t>
            </w:r>
          </w:p>
        </w:tc>
        <w:tc>
          <w:tcPr>
            <w:tcW w:w="1984" w:type="dxa"/>
          </w:tcPr>
          <w:p w14:paraId="6CCC3592" w14:textId="77777777" w:rsidR="002E686D" w:rsidRPr="00FF18A0" w:rsidRDefault="002E686D" w:rsidP="00850267">
            <w:pPr>
              <w:jc w:val="center"/>
            </w:pPr>
            <w:r w:rsidRPr="00FF18A0">
              <w:rPr>
                <w:rFonts w:ascii="Times New Roman" w:hAnsi="Times New Roman"/>
              </w:rPr>
              <w:t>5.5</w:t>
            </w:r>
          </w:p>
        </w:tc>
      </w:tr>
      <w:tr w:rsidR="002E686D" w14:paraId="632F90A0" w14:textId="77777777" w:rsidTr="00850267">
        <w:tc>
          <w:tcPr>
            <w:tcW w:w="2127" w:type="dxa"/>
          </w:tcPr>
          <w:p w14:paraId="5DE39EC0" w14:textId="77777777" w:rsidR="002E686D" w:rsidRPr="00FF18A0" w:rsidRDefault="002E686D" w:rsidP="00850267">
            <w:pPr>
              <w:rPr>
                <w:rFonts w:ascii="Times New Roman" w:hAnsi="Times New Roman"/>
              </w:rPr>
            </w:pPr>
            <w:proofErr w:type="spellStart"/>
            <w:r w:rsidRPr="00FF18A0">
              <w:rPr>
                <w:rFonts w:ascii="Times New Roman" w:hAnsi="Times New Roman"/>
                <w:i/>
              </w:rPr>
              <w:t>k</w:t>
            </w:r>
            <w:r w:rsidRPr="00FF18A0">
              <w:rPr>
                <w:rFonts w:ascii="Times New Roman" w:hAnsi="Times New Roman"/>
                <w:vertAlign w:val="subscript"/>
              </w:rPr>
              <w:t>T</w:t>
            </w:r>
            <w:proofErr w:type="spellEnd"/>
            <w:r w:rsidRPr="00FF18A0">
              <w:rPr>
                <w:rFonts w:ascii="Times New Roman" w:hAnsi="Times New Roman"/>
              </w:rPr>
              <w:t xml:space="preserve"> [</w:t>
            </w:r>
            <w:r w:rsidRPr="00F80FA8">
              <w:rPr>
                <w:rFonts w:asciiTheme="minorHAnsi" w:hAnsiTheme="minorHAnsi" w:cstheme="minorHAnsi"/>
              </w:rPr>
              <w:t>x</w:t>
            </w:r>
            <w:r w:rsidRPr="00FF18A0">
              <w:rPr>
                <w:rFonts w:ascii="Times New Roman" w:hAnsi="Times New Roman"/>
              </w:rPr>
              <w:t xml:space="preserve"> 10</w:t>
            </w:r>
            <w:r w:rsidRPr="00FF18A0">
              <w:rPr>
                <w:rFonts w:ascii="Times New Roman" w:hAnsi="Times New Roman"/>
                <w:vertAlign w:val="superscript"/>
              </w:rPr>
              <w:t>-9</w:t>
            </w:r>
            <w:r w:rsidRPr="00FF18A0">
              <w:rPr>
                <w:rFonts w:ascii="Times New Roman" w:hAnsi="Times New Roman"/>
              </w:rPr>
              <w:t xml:space="preserve"> cm</w:t>
            </w:r>
            <w:r w:rsidRPr="00FF18A0">
              <w:rPr>
                <w:rFonts w:ascii="Times New Roman" w:hAnsi="Times New Roman"/>
                <w:vertAlign w:val="superscript"/>
              </w:rPr>
              <w:t>3</w:t>
            </w:r>
            <w:r w:rsidRPr="00FF18A0">
              <w:rPr>
                <w:rFonts w:ascii="Times New Roman" w:hAnsi="Times New Roman"/>
              </w:rPr>
              <w:t xml:space="preserve"> s</w:t>
            </w:r>
            <w:r w:rsidRPr="00FF18A0">
              <w:rPr>
                <w:rFonts w:ascii="Times New Roman" w:hAnsi="Times New Roman"/>
                <w:vertAlign w:val="superscript"/>
              </w:rPr>
              <w:t>-1</w:t>
            </w:r>
            <w:r w:rsidRPr="00FF18A0">
              <w:rPr>
                <w:rFonts w:ascii="Times New Roman" w:hAnsi="Times New Roman"/>
              </w:rPr>
              <w:t>]</w:t>
            </w:r>
          </w:p>
        </w:tc>
        <w:tc>
          <w:tcPr>
            <w:tcW w:w="1559" w:type="dxa"/>
          </w:tcPr>
          <w:p w14:paraId="004E127B" w14:textId="77777777" w:rsidR="002E686D" w:rsidRPr="00FF18A0" w:rsidRDefault="002E686D" w:rsidP="00850267">
            <w:pPr>
              <w:jc w:val="center"/>
            </w:pPr>
            <w:r>
              <w:rPr>
                <w:rFonts w:ascii="Times New Roman" w:hAnsi="Times New Roman"/>
              </w:rPr>
              <w:t>8</w:t>
            </w:r>
          </w:p>
        </w:tc>
        <w:tc>
          <w:tcPr>
            <w:tcW w:w="1984" w:type="dxa"/>
          </w:tcPr>
          <w:p w14:paraId="4E27AD48" w14:textId="77777777" w:rsidR="002E686D" w:rsidRPr="00FF18A0" w:rsidRDefault="002E686D" w:rsidP="00850267">
            <w:pPr>
              <w:jc w:val="center"/>
            </w:pPr>
            <w:r w:rsidRPr="00FF18A0">
              <w:rPr>
                <w:rFonts w:ascii="Times New Roman" w:hAnsi="Times New Roman"/>
              </w:rPr>
              <w:t>2</w:t>
            </w:r>
          </w:p>
        </w:tc>
      </w:tr>
      <w:tr w:rsidR="002E686D" w14:paraId="7E9C857C" w14:textId="77777777" w:rsidTr="00850267">
        <w:tc>
          <w:tcPr>
            <w:tcW w:w="2127" w:type="dxa"/>
          </w:tcPr>
          <w:p w14:paraId="32CC40D0" w14:textId="77777777" w:rsidR="002E686D" w:rsidRPr="00FF18A0" w:rsidRDefault="002E686D" w:rsidP="00850267">
            <w:pPr>
              <w:rPr>
                <w:rFonts w:ascii="Times New Roman" w:hAnsi="Times New Roman"/>
              </w:rPr>
            </w:pPr>
            <w:proofErr w:type="spellStart"/>
            <w:r w:rsidRPr="00FF18A0">
              <w:rPr>
                <w:rFonts w:ascii="Times New Roman" w:hAnsi="Times New Roman"/>
                <w:i/>
              </w:rPr>
              <w:t>k</w:t>
            </w:r>
            <w:r w:rsidRPr="00FF18A0">
              <w:rPr>
                <w:rFonts w:ascii="Times New Roman" w:hAnsi="Times New Roman"/>
                <w:vertAlign w:val="subscript"/>
              </w:rPr>
              <w:t>D</w:t>
            </w:r>
            <w:proofErr w:type="spellEnd"/>
            <w:r w:rsidRPr="00FF18A0">
              <w:rPr>
                <w:rFonts w:ascii="Times New Roman" w:hAnsi="Times New Roman"/>
              </w:rPr>
              <w:t xml:space="preserve"> [</w:t>
            </w:r>
            <w:r w:rsidRPr="00F80FA8">
              <w:rPr>
                <w:rFonts w:asciiTheme="minorHAnsi" w:hAnsiTheme="minorHAnsi" w:cstheme="minorHAnsi"/>
              </w:rPr>
              <w:t>x</w:t>
            </w:r>
            <w:r w:rsidRPr="00FF18A0">
              <w:rPr>
                <w:rFonts w:ascii="Times New Roman" w:hAnsi="Times New Roman"/>
              </w:rPr>
              <w:t xml:space="preserve"> 10</w:t>
            </w:r>
            <w:r w:rsidRPr="00FF18A0">
              <w:rPr>
                <w:rFonts w:ascii="Times New Roman" w:hAnsi="Times New Roman"/>
                <w:vertAlign w:val="superscript"/>
              </w:rPr>
              <w:t>-10</w:t>
            </w:r>
            <w:r w:rsidRPr="00FF18A0">
              <w:rPr>
                <w:rFonts w:ascii="Times New Roman" w:hAnsi="Times New Roman"/>
              </w:rPr>
              <w:t xml:space="preserve"> cm</w:t>
            </w:r>
            <w:r w:rsidRPr="00FF18A0">
              <w:rPr>
                <w:rFonts w:ascii="Times New Roman" w:hAnsi="Times New Roman"/>
                <w:vertAlign w:val="superscript"/>
              </w:rPr>
              <w:t>3</w:t>
            </w:r>
            <w:r w:rsidRPr="00FF18A0">
              <w:rPr>
                <w:rFonts w:ascii="Times New Roman" w:hAnsi="Times New Roman"/>
              </w:rPr>
              <w:t xml:space="preserve"> s</w:t>
            </w:r>
            <w:r w:rsidRPr="00FF18A0">
              <w:rPr>
                <w:rFonts w:ascii="Times New Roman" w:hAnsi="Times New Roman"/>
                <w:vertAlign w:val="superscript"/>
              </w:rPr>
              <w:t>-1</w:t>
            </w:r>
            <w:r w:rsidRPr="00FF18A0">
              <w:rPr>
                <w:rFonts w:ascii="Times New Roman" w:hAnsi="Times New Roman"/>
              </w:rPr>
              <w:t>]</w:t>
            </w:r>
          </w:p>
        </w:tc>
        <w:tc>
          <w:tcPr>
            <w:tcW w:w="1559" w:type="dxa"/>
          </w:tcPr>
          <w:p w14:paraId="60DF3A9C" w14:textId="77777777" w:rsidR="002E686D" w:rsidRPr="00FF18A0" w:rsidRDefault="002E686D" w:rsidP="00850267">
            <w:pPr>
              <w:jc w:val="center"/>
            </w:pPr>
            <w:r>
              <w:rPr>
                <w:rFonts w:ascii="Times New Roman" w:hAnsi="Times New Roman"/>
              </w:rPr>
              <w:t>0.5</w:t>
            </w:r>
          </w:p>
        </w:tc>
        <w:tc>
          <w:tcPr>
            <w:tcW w:w="1984" w:type="dxa"/>
          </w:tcPr>
          <w:p w14:paraId="6ED864B6" w14:textId="77777777" w:rsidR="002E686D" w:rsidRPr="00FF18A0" w:rsidRDefault="002E686D" w:rsidP="00850267">
            <w:pPr>
              <w:jc w:val="center"/>
            </w:pPr>
            <w:r w:rsidRPr="00FF18A0">
              <w:rPr>
                <w:rFonts w:ascii="Times New Roman" w:hAnsi="Times New Roman"/>
              </w:rPr>
              <w:t>0.45</w:t>
            </w:r>
          </w:p>
        </w:tc>
      </w:tr>
      <w:tr w:rsidR="002E686D" w14:paraId="626E2327" w14:textId="77777777" w:rsidTr="00850267">
        <w:tc>
          <w:tcPr>
            <w:tcW w:w="2127" w:type="dxa"/>
          </w:tcPr>
          <w:p w14:paraId="55B9F17D" w14:textId="77777777" w:rsidR="002E686D" w:rsidRPr="00FF18A0" w:rsidRDefault="002E686D" w:rsidP="00850267">
            <w:pPr>
              <w:rPr>
                <w:rFonts w:ascii="Times New Roman" w:hAnsi="Times New Roman"/>
              </w:rPr>
            </w:pPr>
            <w:r w:rsidRPr="00FF18A0">
              <w:rPr>
                <w:rFonts w:ascii="Times New Roman" w:hAnsi="Times New Roman"/>
                <w:i/>
              </w:rPr>
              <w:t>N</w:t>
            </w:r>
            <w:r w:rsidRPr="00FF18A0">
              <w:rPr>
                <w:rFonts w:ascii="Times New Roman" w:hAnsi="Times New Roman"/>
                <w:vertAlign w:val="subscript"/>
              </w:rPr>
              <w:t>T</w:t>
            </w:r>
            <w:r w:rsidRPr="00FF18A0">
              <w:rPr>
                <w:rFonts w:ascii="Times New Roman" w:hAnsi="Times New Roman"/>
              </w:rPr>
              <w:t xml:space="preserve"> [</w:t>
            </w:r>
            <w:r w:rsidRPr="00F80FA8">
              <w:rPr>
                <w:rFonts w:asciiTheme="minorHAnsi" w:hAnsiTheme="minorHAnsi" w:cstheme="minorHAnsi"/>
              </w:rPr>
              <w:t>x</w:t>
            </w:r>
            <w:r w:rsidRPr="00FF18A0">
              <w:rPr>
                <w:rFonts w:ascii="Times New Roman" w:hAnsi="Times New Roman"/>
              </w:rPr>
              <w:t xml:space="preserve"> 10</w:t>
            </w:r>
            <w:r w:rsidRPr="00FF18A0">
              <w:rPr>
                <w:rFonts w:ascii="Times New Roman" w:hAnsi="Times New Roman"/>
                <w:vertAlign w:val="superscript"/>
              </w:rPr>
              <w:t>15</w:t>
            </w:r>
            <w:r w:rsidRPr="00FF18A0">
              <w:rPr>
                <w:rFonts w:ascii="Times New Roman" w:hAnsi="Times New Roman"/>
              </w:rPr>
              <w:t xml:space="preserve"> cm</w:t>
            </w:r>
            <w:r w:rsidRPr="00FF18A0">
              <w:rPr>
                <w:rFonts w:ascii="Times New Roman" w:hAnsi="Times New Roman"/>
                <w:vertAlign w:val="superscript"/>
              </w:rPr>
              <w:t>-3</w:t>
            </w:r>
            <w:r w:rsidRPr="00FF18A0">
              <w:rPr>
                <w:rFonts w:ascii="Times New Roman" w:hAnsi="Times New Roman"/>
              </w:rPr>
              <w:t>]</w:t>
            </w:r>
          </w:p>
        </w:tc>
        <w:tc>
          <w:tcPr>
            <w:tcW w:w="1559" w:type="dxa"/>
          </w:tcPr>
          <w:p w14:paraId="59722399" w14:textId="77777777" w:rsidR="002E686D" w:rsidRPr="00FF18A0" w:rsidRDefault="002E686D" w:rsidP="00850267">
            <w:pPr>
              <w:jc w:val="center"/>
            </w:pPr>
            <w:r>
              <w:rPr>
                <w:rFonts w:ascii="Times New Roman" w:hAnsi="Times New Roman"/>
              </w:rPr>
              <w:t>0.2</w:t>
            </w:r>
          </w:p>
        </w:tc>
        <w:tc>
          <w:tcPr>
            <w:tcW w:w="1984" w:type="dxa"/>
          </w:tcPr>
          <w:p w14:paraId="0ACC8099" w14:textId="77777777" w:rsidR="002E686D" w:rsidRPr="00FF18A0" w:rsidRDefault="002E686D" w:rsidP="00850267">
            <w:pPr>
              <w:jc w:val="center"/>
            </w:pPr>
            <w:r w:rsidRPr="00FF18A0">
              <w:rPr>
                <w:rFonts w:ascii="Times New Roman" w:hAnsi="Times New Roman"/>
              </w:rPr>
              <w:t>35</w:t>
            </w:r>
          </w:p>
        </w:tc>
      </w:tr>
      <w:tr w:rsidR="002E686D" w14:paraId="1681E347" w14:textId="77777777" w:rsidTr="00850267">
        <w:trPr>
          <w:trHeight w:val="64"/>
        </w:trPr>
        <w:tc>
          <w:tcPr>
            <w:tcW w:w="2127" w:type="dxa"/>
          </w:tcPr>
          <w:p w14:paraId="36478A80" w14:textId="77777777" w:rsidR="002E686D" w:rsidRPr="00FF18A0" w:rsidRDefault="002E686D" w:rsidP="00850267">
            <w:pPr>
              <w:rPr>
                <w:rFonts w:ascii="Times New Roman" w:hAnsi="Times New Roman"/>
              </w:rPr>
            </w:pPr>
            <w:r w:rsidRPr="00F80FA8">
              <w:rPr>
                <w:rFonts w:ascii="Times New Roman" w:hAnsi="Times New Roman"/>
                <w:i/>
              </w:rPr>
              <w:t>p</w:t>
            </w:r>
            <w:r w:rsidRPr="00FF18A0">
              <w:rPr>
                <w:rFonts w:ascii="Times New Roman" w:hAnsi="Times New Roman"/>
                <w:vertAlign w:val="subscript"/>
              </w:rPr>
              <w:t>0</w:t>
            </w:r>
            <w:r>
              <w:rPr>
                <w:rFonts w:ascii="Times New Roman" w:hAnsi="Times New Roman"/>
                <w:vertAlign w:val="subscript"/>
              </w:rPr>
              <w:t xml:space="preserve"> / </w:t>
            </w:r>
            <w:r w:rsidRPr="00FF18A0">
              <w:rPr>
                <w:rFonts w:ascii="Times New Roman" w:hAnsi="Times New Roman"/>
                <w:i/>
              </w:rPr>
              <w:t>n</w:t>
            </w:r>
            <w:r w:rsidRPr="00FF18A0">
              <w:rPr>
                <w:rFonts w:ascii="Times New Roman" w:hAnsi="Times New Roman"/>
                <w:vertAlign w:val="subscript"/>
              </w:rPr>
              <w:t>0</w:t>
            </w:r>
            <w:r w:rsidRPr="00FF18A0">
              <w:rPr>
                <w:rFonts w:ascii="Times New Roman" w:hAnsi="Times New Roman"/>
              </w:rPr>
              <w:t xml:space="preserve"> [</w:t>
            </w:r>
            <w:r w:rsidRPr="00F80FA8">
              <w:rPr>
                <w:rFonts w:asciiTheme="minorHAnsi" w:hAnsiTheme="minorHAnsi" w:cstheme="minorHAnsi"/>
              </w:rPr>
              <w:t>x</w:t>
            </w:r>
            <w:r w:rsidRPr="00FF18A0">
              <w:rPr>
                <w:rFonts w:ascii="Times New Roman" w:hAnsi="Times New Roman"/>
              </w:rPr>
              <w:t xml:space="preserve"> 10</w:t>
            </w:r>
            <w:r w:rsidRPr="00FF18A0">
              <w:rPr>
                <w:rFonts w:ascii="Times New Roman" w:hAnsi="Times New Roman"/>
                <w:vertAlign w:val="superscript"/>
              </w:rPr>
              <w:t>15</w:t>
            </w:r>
            <w:r w:rsidRPr="00FF18A0">
              <w:rPr>
                <w:rFonts w:ascii="Times New Roman" w:hAnsi="Times New Roman"/>
              </w:rPr>
              <w:t xml:space="preserve"> cm</w:t>
            </w:r>
            <w:r w:rsidRPr="00FF18A0">
              <w:rPr>
                <w:rFonts w:ascii="Times New Roman" w:hAnsi="Times New Roman"/>
                <w:vertAlign w:val="superscript"/>
              </w:rPr>
              <w:t>-3</w:t>
            </w:r>
            <w:r w:rsidRPr="00FF18A0">
              <w:rPr>
                <w:rFonts w:ascii="Times New Roman" w:hAnsi="Times New Roman"/>
              </w:rPr>
              <w:t>]</w:t>
            </w:r>
          </w:p>
        </w:tc>
        <w:tc>
          <w:tcPr>
            <w:tcW w:w="1559" w:type="dxa"/>
          </w:tcPr>
          <w:p w14:paraId="71992996" w14:textId="77777777" w:rsidR="002E686D" w:rsidRPr="00FF18A0" w:rsidRDefault="002E686D" w:rsidP="00850267">
            <w:pPr>
              <w:jc w:val="center"/>
            </w:pPr>
            <w:r>
              <w:rPr>
                <w:rFonts w:ascii="Times New Roman" w:hAnsi="Times New Roman"/>
              </w:rPr>
              <w:t>0.02</w:t>
            </w:r>
          </w:p>
        </w:tc>
        <w:tc>
          <w:tcPr>
            <w:tcW w:w="1984" w:type="dxa"/>
          </w:tcPr>
          <w:p w14:paraId="1BDD5E93" w14:textId="77777777" w:rsidR="002E686D" w:rsidRPr="00FF18A0" w:rsidRDefault="002E686D" w:rsidP="00850267">
            <w:pPr>
              <w:jc w:val="center"/>
            </w:pPr>
            <w:r w:rsidRPr="00FF18A0">
              <w:rPr>
                <w:rFonts w:ascii="Times New Roman" w:hAnsi="Times New Roman"/>
              </w:rPr>
              <w:t>3.5</w:t>
            </w:r>
          </w:p>
        </w:tc>
      </w:tr>
      <w:tr w:rsidR="002E686D" w14:paraId="3A925933" w14:textId="77777777" w:rsidTr="00850267">
        <w:tc>
          <w:tcPr>
            <w:tcW w:w="2127" w:type="dxa"/>
          </w:tcPr>
          <w:p w14:paraId="0FF8E546" w14:textId="77777777" w:rsidR="002E686D" w:rsidRDefault="002E686D" w:rsidP="00850267">
            <w:proofErr w:type="spellStart"/>
            <w:r w:rsidRPr="00C078AD">
              <w:rPr>
                <w:i/>
              </w:rPr>
              <w:t>μ</w:t>
            </w:r>
            <w:r>
              <w:rPr>
                <w:i/>
                <w:vertAlign w:val="subscript"/>
              </w:rPr>
              <w:t>e</w:t>
            </w:r>
            <w:proofErr w:type="spellEnd"/>
            <w:r w:rsidRPr="00C078AD">
              <w:t xml:space="preserve"> </w:t>
            </w:r>
            <w:r w:rsidRPr="00FF18A0">
              <w:rPr>
                <w:rFonts w:ascii="Times New Roman" w:hAnsi="Times New Roman"/>
              </w:rPr>
              <w:t>[cm</w:t>
            </w:r>
            <w:r w:rsidRPr="00FF18A0">
              <w:rPr>
                <w:rFonts w:ascii="Times New Roman" w:hAnsi="Times New Roman"/>
                <w:vertAlign w:val="superscript"/>
              </w:rPr>
              <w:t>2</w:t>
            </w:r>
            <w:r w:rsidRPr="00FF18A0">
              <w:rPr>
                <w:rFonts w:ascii="Times New Roman" w:hAnsi="Times New Roman"/>
              </w:rPr>
              <w:t xml:space="preserve"> (Vs)</w:t>
            </w:r>
            <w:r w:rsidRPr="00FF18A0">
              <w:rPr>
                <w:rFonts w:ascii="Times New Roman" w:hAnsi="Times New Roman"/>
                <w:vertAlign w:val="superscript"/>
              </w:rPr>
              <w:t>-1</w:t>
            </w:r>
            <w:r w:rsidRPr="008749D6">
              <w:t>]</w:t>
            </w:r>
          </w:p>
        </w:tc>
        <w:tc>
          <w:tcPr>
            <w:tcW w:w="1559" w:type="dxa"/>
          </w:tcPr>
          <w:p w14:paraId="5A807709" w14:textId="77777777" w:rsidR="002E686D" w:rsidRDefault="002E686D" w:rsidP="00850267">
            <w:pPr>
              <w:jc w:val="center"/>
            </w:pPr>
            <w:r>
              <w:rPr>
                <w:rFonts w:ascii="Times New Roman" w:hAnsi="Times New Roman"/>
              </w:rPr>
              <w:t>75</w:t>
            </w:r>
          </w:p>
        </w:tc>
        <w:tc>
          <w:tcPr>
            <w:tcW w:w="1984" w:type="dxa"/>
          </w:tcPr>
          <w:p w14:paraId="0D636E7D" w14:textId="77777777" w:rsidR="002E686D" w:rsidRPr="00FF18A0" w:rsidRDefault="002E686D" w:rsidP="00850267">
            <w:pPr>
              <w:jc w:val="center"/>
            </w:pPr>
            <w:r>
              <w:rPr>
                <w:rFonts w:ascii="Times New Roman" w:hAnsi="Times New Roman"/>
              </w:rPr>
              <w:t>9.5</w:t>
            </w:r>
          </w:p>
        </w:tc>
      </w:tr>
      <w:tr w:rsidR="002E686D" w14:paraId="244CC376" w14:textId="77777777" w:rsidTr="00850267">
        <w:tc>
          <w:tcPr>
            <w:tcW w:w="2127" w:type="dxa"/>
          </w:tcPr>
          <w:p w14:paraId="1B74BE50" w14:textId="77777777" w:rsidR="002E686D" w:rsidRPr="00C078AD" w:rsidRDefault="002E686D" w:rsidP="00850267">
            <w:pPr>
              <w:rPr>
                <w:i/>
              </w:rPr>
            </w:pPr>
            <w:proofErr w:type="spellStart"/>
            <w:r w:rsidRPr="00C078AD">
              <w:rPr>
                <w:i/>
              </w:rPr>
              <w:t>μ</w:t>
            </w:r>
            <w:r>
              <w:rPr>
                <w:i/>
                <w:vertAlign w:val="subscript"/>
              </w:rPr>
              <w:t>e</w:t>
            </w:r>
            <w:proofErr w:type="spellEnd"/>
            <w:r w:rsidRPr="00C078AD">
              <w:t xml:space="preserve"> </w:t>
            </w:r>
            <w:r w:rsidRPr="00FF18A0">
              <w:rPr>
                <w:rFonts w:ascii="Times New Roman" w:hAnsi="Times New Roman"/>
              </w:rPr>
              <w:t>[cm</w:t>
            </w:r>
            <w:r w:rsidRPr="00FF18A0">
              <w:rPr>
                <w:rFonts w:ascii="Times New Roman" w:hAnsi="Times New Roman"/>
                <w:vertAlign w:val="superscript"/>
              </w:rPr>
              <w:t>2</w:t>
            </w:r>
            <w:r w:rsidRPr="00FF18A0">
              <w:rPr>
                <w:rFonts w:ascii="Times New Roman" w:hAnsi="Times New Roman"/>
              </w:rPr>
              <w:t xml:space="preserve"> (Vs)</w:t>
            </w:r>
            <w:r w:rsidRPr="00FF18A0">
              <w:rPr>
                <w:rFonts w:ascii="Times New Roman" w:hAnsi="Times New Roman"/>
                <w:vertAlign w:val="superscript"/>
              </w:rPr>
              <w:t>-1</w:t>
            </w:r>
            <w:r w:rsidRPr="008749D6">
              <w:t>]</w:t>
            </w:r>
          </w:p>
        </w:tc>
        <w:tc>
          <w:tcPr>
            <w:tcW w:w="1559" w:type="dxa"/>
          </w:tcPr>
          <w:p w14:paraId="68B5D329" w14:textId="77777777" w:rsidR="002E686D" w:rsidRPr="001A7AEC" w:rsidRDefault="002E686D" w:rsidP="00850267">
            <w:pPr>
              <w:jc w:val="center"/>
              <w:rPr>
                <w:rFonts w:ascii="Times New Roman" w:hAnsi="Times New Roman"/>
              </w:rPr>
            </w:pPr>
            <w:r w:rsidRPr="001A7AEC">
              <w:rPr>
                <w:rFonts w:ascii="Times New Roman" w:hAnsi="Times New Roman"/>
              </w:rPr>
              <w:t>50</w:t>
            </w:r>
          </w:p>
        </w:tc>
        <w:tc>
          <w:tcPr>
            <w:tcW w:w="1984" w:type="dxa"/>
          </w:tcPr>
          <w:p w14:paraId="2272AC68" w14:textId="77777777" w:rsidR="002E686D" w:rsidRPr="00FF18A0" w:rsidRDefault="002E686D" w:rsidP="00850267">
            <w:pPr>
              <w:jc w:val="center"/>
            </w:pPr>
            <w:r>
              <w:rPr>
                <w:rFonts w:ascii="Times New Roman" w:hAnsi="Times New Roman"/>
              </w:rPr>
              <w:t>9.5</w:t>
            </w:r>
          </w:p>
        </w:tc>
      </w:tr>
    </w:tbl>
    <w:p w14:paraId="662E3DE0" w14:textId="77777777" w:rsidR="00015F2B" w:rsidRDefault="00015F2B" w:rsidP="00B82764">
      <w:pPr>
        <w:spacing w:line="480" w:lineRule="auto"/>
        <w:jc w:val="both"/>
        <w:rPr>
          <w:color w:val="000000"/>
          <w:lang w:val="en-GB"/>
        </w:rPr>
      </w:pPr>
    </w:p>
    <w:p w14:paraId="2BB0807C" w14:textId="79152A7D" w:rsidR="00AA2BCC" w:rsidRDefault="00AA2BCC" w:rsidP="00B82764">
      <w:pPr>
        <w:spacing w:line="480" w:lineRule="auto"/>
        <w:jc w:val="both"/>
        <w:rPr>
          <w:color w:val="000000"/>
          <w:lang w:val="en-GB"/>
        </w:rPr>
      </w:pPr>
      <w:r>
        <w:rPr>
          <w:color w:val="000000"/>
          <w:lang w:val="en-GB"/>
        </w:rPr>
        <w:t>Next,</w:t>
      </w:r>
      <w:r w:rsidR="00FF2BD9">
        <w:rPr>
          <w:color w:val="000000"/>
          <w:lang w:val="en-GB"/>
        </w:rPr>
        <w:t xml:space="preserve"> we discuss the large difference </w:t>
      </w:r>
      <w:r>
        <w:rPr>
          <w:color w:val="000000"/>
          <w:lang w:val="en-GB"/>
        </w:rPr>
        <w:t>in</w:t>
      </w:r>
      <w:r w:rsidR="00FF2BD9">
        <w:rPr>
          <w:color w:val="000000"/>
          <w:lang w:val="en-GB"/>
        </w:rPr>
        <w:t xml:space="preserve"> trap densities found </w:t>
      </w:r>
      <w:r>
        <w:rPr>
          <w:color w:val="000000"/>
          <w:lang w:val="en-GB"/>
        </w:rPr>
        <w:t>in</w:t>
      </w:r>
      <w:r w:rsidR="00FF2BD9">
        <w:rPr>
          <w:color w:val="000000"/>
          <w:lang w:val="en-GB"/>
        </w:rPr>
        <w:t xml:space="preserve"> MAP</w:t>
      </w:r>
      <w:r w:rsidR="00404D4A">
        <w:rPr>
          <w:color w:val="000000"/>
          <w:lang w:val="en-GB"/>
        </w:rPr>
        <w:t>b</w:t>
      </w:r>
      <w:r w:rsidR="00FF2BD9">
        <w:rPr>
          <w:color w:val="000000"/>
          <w:lang w:val="en-GB"/>
        </w:rPr>
        <w:t>I</w:t>
      </w:r>
      <w:r w:rsidR="00FF2BD9">
        <w:rPr>
          <w:color w:val="000000"/>
          <w:vertAlign w:val="subscript"/>
          <w:lang w:val="en-GB"/>
        </w:rPr>
        <w:t xml:space="preserve">3 </w:t>
      </w:r>
      <w:r w:rsidR="00FF2BD9">
        <w:rPr>
          <w:color w:val="000000"/>
          <w:lang w:val="en-GB"/>
        </w:rPr>
        <w:t>and MAP</w:t>
      </w:r>
      <w:r w:rsidR="00404D4A">
        <w:rPr>
          <w:color w:val="000000"/>
          <w:lang w:val="en-GB"/>
        </w:rPr>
        <w:t>b</w:t>
      </w:r>
      <w:r w:rsidR="00FF2BD9">
        <w:rPr>
          <w:color w:val="000000"/>
          <w:lang w:val="en-GB"/>
        </w:rPr>
        <w:t>Br</w:t>
      </w:r>
      <w:r w:rsidR="00FF2BD9">
        <w:rPr>
          <w:color w:val="000000"/>
          <w:vertAlign w:val="subscript"/>
          <w:lang w:val="en-GB"/>
        </w:rPr>
        <w:t>3</w:t>
      </w:r>
      <w:r w:rsidR="00FF2BD9">
        <w:rPr>
          <w:color w:val="000000"/>
          <w:lang w:val="en-GB"/>
        </w:rPr>
        <w:t xml:space="preserve">. </w:t>
      </w:r>
      <w:r>
        <w:rPr>
          <w:color w:val="000000"/>
          <w:lang w:val="en-GB"/>
        </w:rPr>
        <w:t xml:space="preserve">The density of the latter is more than 2 orders of magnitude larger. Same is true for the </w:t>
      </w:r>
      <w:r w:rsidR="00BB77DB">
        <w:rPr>
          <w:color w:val="000000"/>
          <w:lang w:val="en-GB"/>
        </w:rPr>
        <w:t>number</w:t>
      </w:r>
      <w:r>
        <w:rPr>
          <w:color w:val="000000"/>
          <w:lang w:val="en-GB"/>
        </w:rPr>
        <w:t xml:space="preserve"> of dark carriers. The number of traps has of course major effects on the charge dynamics</w:t>
      </w:r>
      <w:r w:rsidR="00136C94">
        <w:rPr>
          <w:color w:val="000000"/>
          <w:lang w:val="en-GB"/>
        </w:rPr>
        <w:t>, which is evident from the TRMC decay kinetics shown in Figures 4a and 4b</w:t>
      </w:r>
      <w:r>
        <w:rPr>
          <w:color w:val="000000"/>
          <w:lang w:val="en-GB"/>
        </w:rPr>
        <w:t xml:space="preserve">. From the parameters we can calculate the lifetime of a carrier in the conduction or valence band. Knowing the half lifetime, </w:t>
      </w:r>
      <w:r w:rsidRPr="00AA2BCC">
        <w:rPr>
          <w:i/>
          <w:color w:val="000000"/>
          <w:lang w:val="en-GB"/>
        </w:rPr>
        <w:t>τ</w:t>
      </w:r>
      <w:r w:rsidRPr="00AA2BCC">
        <w:rPr>
          <w:color w:val="000000"/>
          <w:vertAlign w:val="subscript"/>
          <w:lang w:val="en-GB"/>
        </w:rPr>
        <w:t>1⁄2</w:t>
      </w:r>
      <w:r>
        <w:rPr>
          <w:color w:val="000000"/>
          <w:lang w:val="en-GB"/>
        </w:rPr>
        <w:t xml:space="preserve"> </w:t>
      </w:r>
      <w:r w:rsidR="00505F13">
        <w:rPr>
          <w:color w:val="000000"/>
          <w:lang w:val="en-GB"/>
        </w:rPr>
        <w:t xml:space="preserve">and the mobilities </w:t>
      </w:r>
      <w:r>
        <w:rPr>
          <w:color w:val="000000"/>
          <w:lang w:val="en-GB"/>
        </w:rPr>
        <w:t>enables us to get an idea about the charge carrier diffusion length</w:t>
      </w:r>
      <w:r w:rsidR="00FE2A07">
        <w:rPr>
          <w:color w:val="000000"/>
          <w:lang w:val="en-GB"/>
        </w:rPr>
        <w:t xml:space="preserve">, </w:t>
      </w:r>
      <w:r w:rsidR="00FE2A07" w:rsidRPr="00FE2A07">
        <w:rPr>
          <w:i/>
          <w:color w:val="000000"/>
          <w:lang w:val="en-GB"/>
        </w:rPr>
        <w:t>R</w:t>
      </w:r>
      <w:r>
        <w:rPr>
          <w:color w:val="000000"/>
          <w:lang w:val="en-GB"/>
        </w:rPr>
        <w:t xml:space="preserve"> using:</w:t>
      </w:r>
    </w:p>
    <w:p w14:paraId="4320C59F" w14:textId="2DD91C0D" w:rsidR="00AA2BCC" w:rsidRDefault="00AA2BCC" w:rsidP="00B82764">
      <w:pPr>
        <w:spacing w:line="480" w:lineRule="auto"/>
        <w:jc w:val="both"/>
        <w:rPr>
          <w:color w:val="000000"/>
          <w:lang w:val="en-GB"/>
        </w:rPr>
      </w:pPr>
      <m:oMath>
        <m:r>
          <w:rPr>
            <w:rFonts w:ascii="Cambria Math" w:hAnsi="Cambria Math"/>
            <w:color w:val="000000"/>
            <w:lang w:val="en-GB"/>
          </w:rPr>
          <w:lastRenderedPageBreak/>
          <m:t>R=</m:t>
        </m:r>
        <m:rad>
          <m:radPr>
            <m:degHide m:val="1"/>
            <m:ctrlPr>
              <w:rPr>
                <w:rFonts w:ascii="Cambria Math" w:hAnsi="Cambria Math"/>
                <w:i/>
                <w:color w:val="000000"/>
                <w:lang w:val="en-GB"/>
              </w:rPr>
            </m:ctrlPr>
          </m:radPr>
          <m:deg/>
          <m:e>
            <m:r>
              <w:rPr>
                <w:rFonts w:ascii="Cambria Math" w:hAnsi="Cambria Math"/>
                <w:color w:val="000000"/>
                <w:lang w:val="en-GB"/>
              </w:rPr>
              <m:t>D</m:t>
            </m:r>
            <m:sSub>
              <m:sSubPr>
                <m:ctrlPr>
                  <w:rPr>
                    <w:rFonts w:ascii="Cambria Math" w:hAnsi="Cambria Math"/>
                    <w:i/>
                    <w:color w:val="000000"/>
                    <w:lang w:val="en-GB"/>
                  </w:rPr>
                </m:ctrlPr>
              </m:sSubPr>
              <m:e>
                <m:r>
                  <w:rPr>
                    <w:rFonts w:ascii="Cambria Math" w:hAnsi="Cambria Math"/>
                    <w:color w:val="000000"/>
                    <w:lang w:val="en-GB"/>
                  </w:rPr>
                  <m:t>τ</m:t>
                </m:r>
              </m:e>
              <m:sub>
                <m:f>
                  <m:fPr>
                    <m:ctrlPr>
                      <w:rPr>
                        <w:rFonts w:ascii="Cambria Math" w:hAnsi="Cambria Math"/>
                        <w:i/>
                        <w:color w:val="000000"/>
                        <w:lang w:val="en-GB"/>
                      </w:rPr>
                    </m:ctrlPr>
                  </m:fPr>
                  <m:num>
                    <m:r>
                      <w:rPr>
                        <w:rFonts w:ascii="Cambria Math" w:hAnsi="Cambria Math"/>
                        <w:color w:val="000000"/>
                        <w:lang w:val="en-GB"/>
                      </w:rPr>
                      <m:t>1</m:t>
                    </m:r>
                  </m:num>
                  <m:den>
                    <m:r>
                      <w:rPr>
                        <w:rFonts w:ascii="Cambria Math" w:hAnsi="Cambria Math"/>
                        <w:color w:val="000000"/>
                        <w:lang w:val="en-GB"/>
                      </w:rPr>
                      <m:t>2</m:t>
                    </m:r>
                  </m:den>
                </m:f>
              </m:sub>
            </m:sSub>
          </m:e>
        </m:rad>
      </m:oMath>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t>(</w:t>
      </w:r>
      <w:r w:rsidR="00226BAA">
        <w:rPr>
          <w:color w:val="000000"/>
          <w:lang w:val="en-GB"/>
        </w:rPr>
        <w:t>12</w:t>
      </w:r>
      <w:r>
        <w:rPr>
          <w:color w:val="000000"/>
          <w:lang w:val="en-GB"/>
        </w:rPr>
        <w:t>)</w:t>
      </w:r>
    </w:p>
    <w:p w14:paraId="17B5C59B" w14:textId="5253093F" w:rsidR="00B82764" w:rsidRPr="00B82764" w:rsidRDefault="00B82764" w:rsidP="00B82764">
      <w:pPr>
        <w:spacing w:line="480" w:lineRule="auto"/>
        <w:jc w:val="both"/>
        <w:rPr>
          <w:color w:val="000000"/>
          <w:lang w:val="en-GB"/>
        </w:rPr>
      </w:pPr>
      <w:r w:rsidRPr="00B82764">
        <w:rPr>
          <w:color w:val="000000"/>
          <w:lang w:val="en-GB"/>
        </w:rPr>
        <w:t>The diffusion coefficient</w:t>
      </w:r>
      <w:r w:rsidR="00505F13">
        <w:rPr>
          <w:color w:val="000000"/>
          <w:lang w:val="en-GB"/>
        </w:rPr>
        <w:t>,</w:t>
      </w:r>
      <w:r w:rsidRPr="00B82764">
        <w:rPr>
          <w:color w:val="000000"/>
          <w:lang w:val="en-GB"/>
        </w:rPr>
        <w:t xml:space="preserve"> </w:t>
      </w:r>
      <w:r w:rsidRPr="00BB77DB">
        <w:rPr>
          <w:i/>
          <w:color w:val="000000"/>
          <w:lang w:val="en-GB"/>
        </w:rPr>
        <w:t>D</w:t>
      </w:r>
      <w:r w:rsidRPr="00B82764">
        <w:rPr>
          <w:color w:val="000000"/>
          <w:lang w:val="en-GB"/>
        </w:rPr>
        <w:t xml:space="preserve"> can be derived from the </w:t>
      </w:r>
      <w:r w:rsidR="00BB77DB">
        <w:rPr>
          <w:color w:val="000000"/>
          <w:lang w:val="en-GB"/>
        </w:rPr>
        <w:t>charge</w:t>
      </w:r>
      <w:r w:rsidRPr="00B82764">
        <w:rPr>
          <w:color w:val="000000"/>
          <w:lang w:val="en-GB"/>
        </w:rPr>
        <w:t xml:space="preserve"> mobilit</w:t>
      </w:r>
      <w:r w:rsidR="00505F13">
        <w:rPr>
          <w:color w:val="000000"/>
          <w:lang w:val="en-GB"/>
        </w:rPr>
        <w:t>y</w:t>
      </w:r>
      <w:r w:rsidRPr="00B82764">
        <w:rPr>
          <w:color w:val="000000"/>
          <w:lang w:val="en-GB"/>
        </w:rPr>
        <w:t xml:space="preserve"> obtained by fitting of the TRMC traces and using the Einstein-</w:t>
      </w:r>
      <w:proofErr w:type="spellStart"/>
      <w:r w:rsidRPr="00B82764">
        <w:rPr>
          <w:color w:val="000000"/>
          <w:lang w:val="en-GB"/>
        </w:rPr>
        <w:t>Smoluchowski</w:t>
      </w:r>
      <w:proofErr w:type="spellEnd"/>
      <w:r w:rsidRPr="00B82764">
        <w:rPr>
          <w:color w:val="000000"/>
          <w:lang w:val="en-GB"/>
        </w:rPr>
        <w:t xml:space="preserve"> equation</w:t>
      </w:r>
      <w:r w:rsidR="00BB77DB">
        <w:rPr>
          <w:color w:val="000000"/>
          <w:lang w:val="en-GB"/>
        </w:rPr>
        <w:t>,</w:t>
      </w:r>
      <w:r w:rsidRPr="00B82764">
        <w:rPr>
          <w:color w:val="000000"/>
          <w:lang w:val="en-GB"/>
        </w:rPr>
        <w:t xml:space="preserve"> </w:t>
      </w:r>
      <w:r w:rsidRPr="00BB77DB">
        <w:rPr>
          <w:i/>
          <w:color w:val="000000"/>
          <w:lang w:val="en-GB"/>
        </w:rPr>
        <w:t>D</w:t>
      </w:r>
      <w:r w:rsidR="00BB77DB">
        <w:rPr>
          <w:color w:val="000000"/>
          <w:lang w:val="en-GB"/>
        </w:rPr>
        <w:t xml:space="preserve"> </w:t>
      </w:r>
      <w:r w:rsidRPr="00B82764">
        <w:rPr>
          <w:color w:val="000000"/>
          <w:lang w:val="en-GB"/>
        </w:rPr>
        <w:t>=</w:t>
      </w:r>
      <w:r w:rsidR="00BB77DB">
        <w:rPr>
          <w:color w:val="000000"/>
          <w:lang w:val="en-GB"/>
        </w:rPr>
        <w:t xml:space="preserve"> </w:t>
      </w:r>
      <w:proofErr w:type="spellStart"/>
      <w:r w:rsidRPr="0048317B">
        <w:rPr>
          <w:i/>
          <w:color w:val="000000"/>
          <w:lang w:val="en-GB"/>
        </w:rPr>
        <w:t>k</w:t>
      </w:r>
      <w:r w:rsidRPr="00BB77DB">
        <w:rPr>
          <w:i/>
          <w:color w:val="000000"/>
          <w:lang w:val="en-GB"/>
        </w:rPr>
        <w:t>Tμ</w:t>
      </w:r>
      <w:proofErr w:type="spellEnd"/>
      <w:r w:rsidR="0048317B">
        <w:rPr>
          <w:i/>
          <w:color w:val="000000"/>
          <w:lang w:val="en-GB"/>
        </w:rPr>
        <w:t xml:space="preserve"> </w:t>
      </w:r>
      <w:r w:rsidRPr="00B82764">
        <w:rPr>
          <w:color w:val="000000"/>
          <w:lang w:val="en-GB"/>
        </w:rPr>
        <w:t>⁄</w:t>
      </w:r>
      <w:r w:rsidR="0048317B">
        <w:rPr>
          <w:color w:val="000000"/>
          <w:lang w:val="en-GB"/>
        </w:rPr>
        <w:t xml:space="preserve"> </w:t>
      </w:r>
      <w:r w:rsidRPr="00B82764">
        <w:rPr>
          <w:color w:val="000000"/>
          <w:lang w:val="en-GB"/>
        </w:rPr>
        <w:t xml:space="preserve">e. As shown in </w:t>
      </w:r>
      <w:r w:rsidR="00BB77DB">
        <w:rPr>
          <w:color w:val="000000"/>
          <w:lang w:val="en-GB"/>
        </w:rPr>
        <w:t>Figure 4c</w:t>
      </w:r>
      <w:r w:rsidR="00505F13">
        <w:rPr>
          <w:color w:val="000000"/>
          <w:lang w:val="en-GB"/>
        </w:rPr>
        <w:t>,</w:t>
      </w:r>
      <w:r w:rsidR="00BB77DB">
        <w:rPr>
          <w:color w:val="000000"/>
          <w:lang w:val="en-GB"/>
        </w:rPr>
        <w:t xml:space="preserve"> </w:t>
      </w:r>
      <w:r w:rsidRPr="00B16097">
        <w:rPr>
          <w:i/>
          <w:color w:val="000000"/>
          <w:lang w:val="en-GB"/>
        </w:rPr>
        <w:t>R</w:t>
      </w:r>
      <w:r w:rsidRPr="00B82764">
        <w:rPr>
          <w:color w:val="000000"/>
          <w:lang w:val="en-GB"/>
        </w:rPr>
        <w:t xml:space="preserve"> for the minority carriers</w:t>
      </w:r>
      <w:r w:rsidR="00850267">
        <w:rPr>
          <w:color w:val="000000"/>
          <w:lang w:val="en-GB"/>
        </w:rPr>
        <w:t xml:space="preserve"> in MAPbI</w:t>
      </w:r>
      <w:r w:rsidR="006F203E" w:rsidRPr="006F203E">
        <w:rPr>
          <w:color w:val="000000"/>
          <w:vertAlign w:val="subscript"/>
          <w:lang w:val="en-GB"/>
        </w:rPr>
        <w:t>3</w:t>
      </w:r>
      <w:r w:rsidRPr="00B82764">
        <w:rPr>
          <w:color w:val="000000"/>
          <w:lang w:val="en-GB"/>
        </w:rPr>
        <w:t xml:space="preserve"> is </w:t>
      </w:r>
      <w:r w:rsidR="00850267">
        <w:rPr>
          <w:color w:val="000000"/>
          <w:lang w:val="en-GB"/>
        </w:rPr>
        <w:t xml:space="preserve">very </w:t>
      </w:r>
      <w:r w:rsidRPr="00B82764">
        <w:rPr>
          <w:color w:val="000000"/>
          <w:lang w:val="en-GB"/>
        </w:rPr>
        <w:t xml:space="preserve">small in </w:t>
      </w:r>
      <w:r w:rsidR="00B16097">
        <w:rPr>
          <w:color w:val="000000"/>
          <w:lang w:val="en-GB"/>
        </w:rPr>
        <w:t>compar</w:t>
      </w:r>
      <w:r w:rsidR="00404D4A">
        <w:rPr>
          <w:color w:val="000000"/>
          <w:lang w:val="en-GB"/>
        </w:rPr>
        <w:t>i</w:t>
      </w:r>
      <w:r w:rsidR="00B16097">
        <w:rPr>
          <w:color w:val="000000"/>
          <w:lang w:val="en-GB"/>
        </w:rPr>
        <w:t>son</w:t>
      </w:r>
      <w:r w:rsidRPr="00B82764">
        <w:rPr>
          <w:color w:val="000000"/>
          <w:lang w:val="en-GB"/>
        </w:rPr>
        <w:t xml:space="preserve"> to that of the majority carriers. At excitation intensities yielding </w:t>
      </w:r>
      <w:r w:rsidR="00136C94">
        <w:rPr>
          <w:color w:val="000000"/>
          <w:lang w:val="en-GB"/>
        </w:rPr>
        <w:t xml:space="preserve">a </w:t>
      </w:r>
      <w:r w:rsidRPr="00B82764">
        <w:rPr>
          <w:color w:val="000000"/>
          <w:lang w:val="en-GB"/>
        </w:rPr>
        <w:t xml:space="preserve">charge carrier concentration </w:t>
      </w:r>
      <w:r w:rsidR="00B16097">
        <w:rPr>
          <w:color w:val="000000"/>
          <w:lang w:val="en-GB"/>
        </w:rPr>
        <w:t xml:space="preserve">just </w:t>
      </w:r>
      <w:r w:rsidR="007759FA">
        <w:rPr>
          <w:color w:val="000000"/>
          <w:lang w:val="en-GB"/>
        </w:rPr>
        <w:t>below</w:t>
      </w:r>
      <w:r w:rsidR="007759FA" w:rsidRPr="00B82764">
        <w:rPr>
          <w:color w:val="000000"/>
          <w:lang w:val="en-GB"/>
        </w:rPr>
        <w:t xml:space="preserve"> </w:t>
      </w:r>
      <w:r w:rsidRPr="006F203E">
        <w:rPr>
          <w:i/>
          <w:color w:val="000000"/>
          <w:lang w:val="en-GB"/>
        </w:rPr>
        <w:t>N</w:t>
      </w:r>
      <w:r w:rsidRPr="006F203E">
        <w:rPr>
          <w:i/>
          <w:color w:val="000000"/>
          <w:vertAlign w:val="subscript"/>
          <w:lang w:val="en-GB"/>
        </w:rPr>
        <w:t>T</w:t>
      </w:r>
      <w:r w:rsidRPr="00B82764">
        <w:rPr>
          <w:color w:val="000000"/>
          <w:lang w:val="en-GB"/>
        </w:rPr>
        <w:t xml:space="preserve"> we observe </w:t>
      </w:r>
      <w:r w:rsidR="00B16097">
        <w:rPr>
          <w:color w:val="000000"/>
          <w:lang w:val="en-GB"/>
        </w:rPr>
        <w:t>that the</w:t>
      </w:r>
      <w:r w:rsidRPr="00B82764">
        <w:rPr>
          <w:color w:val="000000"/>
          <w:lang w:val="en-GB"/>
        </w:rPr>
        <w:t xml:space="preserve"> values of </w:t>
      </w:r>
      <w:r w:rsidRPr="006F203E">
        <w:rPr>
          <w:i/>
          <w:color w:val="000000"/>
          <w:lang w:val="en-GB"/>
        </w:rPr>
        <w:t>R</w:t>
      </w:r>
      <w:r w:rsidRPr="00B82764">
        <w:rPr>
          <w:color w:val="000000"/>
          <w:lang w:val="en-GB"/>
        </w:rPr>
        <w:t xml:space="preserve"> for </w:t>
      </w:r>
      <w:r w:rsidR="00136C94">
        <w:rPr>
          <w:color w:val="000000"/>
          <w:lang w:val="en-GB"/>
        </w:rPr>
        <w:t xml:space="preserve">both </w:t>
      </w:r>
      <w:r w:rsidRPr="00B82764">
        <w:rPr>
          <w:color w:val="000000"/>
          <w:lang w:val="en-GB"/>
        </w:rPr>
        <w:t>electrons</w:t>
      </w:r>
      <w:r w:rsidR="00B16097">
        <w:rPr>
          <w:color w:val="000000"/>
          <w:lang w:val="en-GB"/>
        </w:rPr>
        <w:t xml:space="preserve"> and holes are similar and maximal</w:t>
      </w:r>
      <w:r w:rsidRPr="00B82764">
        <w:rPr>
          <w:color w:val="000000"/>
          <w:lang w:val="en-GB"/>
        </w:rPr>
        <w:t xml:space="preserve">. </w:t>
      </w:r>
      <w:r w:rsidRPr="00136C94">
        <w:rPr>
          <w:color w:val="000000" w:themeColor="text1"/>
          <w:lang w:val="en-GB"/>
        </w:rPr>
        <w:t xml:space="preserve">At higher densities </w:t>
      </w:r>
      <w:r w:rsidRPr="00136C94">
        <w:rPr>
          <w:i/>
          <w:color w:val="000000" w:themeColor="text1"/>
          <w:lang w:val="en-GB"/>
        </w:rPr>
        <w:t>R</w:t>
      </w:r>
      <w:r w:rsidRPr="00136C94">
        <w:rPr>
          <w:color w:val="000000" w:themeColor="text1"/>
          <w:lang w:val="en-GB"/>
        </w:rPr>
        <w:t xml:space="preserve"> becomes smaller for both types of carriers due to enhanced band-to-band recombination. Thus, the electron and hole diffusion lengths are most balanced at charge densities </w:t>
      </w:r>
      <w:r w:rsidR="00B16097" w:rsidRPr="00136C94">
        <w:rPr>
          <w:color w:val="000000" w:themeColor="text1"/>
          <w:lang w:val="en-GB"/>
        </w:rPr>
        <w:t xml:space="preserve">just </w:t>
      </w:r>
      <w:r w:rsidRPr="00136C94">
        <w:rPr>
          <w:color w:val="000000" w:themeColor="text1"/>
          <w:lang w:val="en-GB"/>
        </w:rPr>
        <w:t xml:space="preserve">above the trap density, which is desirable for optimum collection of both electrons and holes in an operating solar cell. </w:t>
      </w:r>
    </w:p>
    <w:p w14:paraId="13154714" w14:textId="50861C2B" w:rsidR="00E913D2" w:rsidRDefault="00A861C4" w:rsidP="00B82764">
      <w:pPr>
        <w:spacing w:line="480" w:lineRule="auto"/>
        <w:jc w:val="both"/>
        <w:rPr>
          <w:color w:val="000000"/>
          <w:lang w:val="en-GB"/>
        </w:rPr>
      </w:pPr>
      <w:r>
        <w:rPr>
          <w:color w:val="000000"/>
          <w:lang w:val="en-GB"/>
        </w:rPr>
        <w:t xml:space="preserve">In Figure 4d the </w:t>
      </w:r>
      <w:r w:rsidR="00505F13" w:rsidRPr="00505F13">
        <w:rPr>
          <w:i/>
          <w:color w:val="000000"/>
          <w:lang w:val="en-GB"/>
        </w:rPr>
        <w:t>R</w:t>
      </w:r>
      <w:r w:rsidR="00505F13">
        <w:rPr>
          <w:color w:val="000000"/>
          <w:lang w:val="en-GB"/>
        </w:rPr>
        <w:t xml:space="preserve"> values</w:t>
      </w:r>
      <w:r>
        <w:rPr>
          <w:color w:val="000000"/>
          <w:lang w:val="en-GB"/>
        </w:rPr>
        <w:t xml:space="preserve"> are provided for </w:t>
      </w:r>
      <w:r w:rsidRPr="00B82764">
        <w:rPr>
          <w:color w:val="000000"/>
          <w:lang w:val="en-GB"/>
        </w:rPr>
        <w:t>MAPb</w:t>
      </w:r>
      <w:r>
        <w:rPr>
          <w:color w:val="000000"/>
          <w:lang w:val="en-GB"/>
        </w:rPr>
        <w:t>Br</w:t>
      </w:r>
      <w:r w:rsidRPr="00A861C4">
        <w:rPr>
          <w:color w:val="000000"/>
          <w:vertAlign w:val="subscript"/>
          <w:lang w:val="en-GB"/>
        </w:rPr>
        <w:t>3</w:t>
      </w:r>
      <w:r>
        <w:rPr>
          <w:color w:val="000000"/>
          <w:lang w:val="en-GB"/>
        </w:rPr>
        <w:t>. In particular for the minority carriers we see very short values</w:t>
      </w:r>
      <w:r w:rsidR="00505F13">
        <w:rPr>
          <w:color w:val="000000"/>
          <w:lang w:val="en-GB"/>
        </w:rPr>
        <w:t xml:space="preserve">, </w:t>
      </w:r>
      <w:r>
        <w:rPr>
          <w:color w:val="000000"/>
          <w:lang w:val="en-GB"/>
        </w:rPr>
        <w:t xml:space="preserve">which can be explained by the fact that minority carriers get trapped on very short time scales. Only at very high </w:t>
      </w:r>
      <w:r w:rsidR="00505F13">
        <w:rPr>
          <w:color w:val="000000"/>
          <w:lang w:val="en-GB"/>
        </w:rPr>
        <w:t>laser intensities</w:t>
      </w:r>
      <w:r>
        <w:rPr>
          <w:color w:val="000000"/>
          <w:lang w:val="en-GB"/>
        </w:rPr>
        <w:t xml:space="preserve"> both diffusion lengths become similar. </w:t>
      </w:r>
      <w:r w:rsidR="00E662B2">
        <w:rPr>
          <w:color w:val="000000"/>
          <w:lang w:val="en-GB"/>
        </w:rPr>
        <w:t>However,</w:t>
      </w:r>
      <w:r>
        <w:rPr>
          <w:color w:val="000000"/>
          <w:lang w:val="en-GB"/>
        </w:rPr>
        <w:t xml:space="preserve"> at these </w:t>
      </w:r>
      <w:r w:rsidR="00505F13">
        <w:rPr>
          <w:color w:val="000000"/>
          <w:lang w:val="en-GB"/>
        </w:rPr>
        <w:t xml:space="preserve">laser </w:t>
      </w:r>
      <w:r>
        <w:rPr>
          <w:color w:val="000000"/>
          <w:lang w:val="en-GB"/>
        </w:rPr>
        <w:t xml:space="preserve">intensities also </w:t>
      </w:r>
      <w:r w:rsidR="0071201A">
        <w:rPr>
          <w:color w:val="000000"/>
          <w:lang w:val="en-GB"/>
        </w:rPr>
        <w:t xml:space="preserve">rapid </w:t>
      </w:r>
      <w:r>
        <w:rPr>
          <w:color w:val="000000"/>
          <w:lang w:val="en-GB"/>
        </w:rPr>
        <w:t xml:space="preserve">band-to-band recombination is </w:t>
      </w:r>
      <w:r w:rsidR="00DA4356">
        <w:rPr>
          <w:color w:val="000000"/>
          <w:lang w:val="en-GB"/>
        </w:rPr>
        <w:t>operative</w:t>
      </w:r>
      <w:r>
        <w:rPr>
          <w:color w:val="000000"/>
          <w:lang w:val="en-GB"/>
        </w:rPr>
        <w:t xml:space="preserve"> due </w:t>
      </w:r>
      <w:r w:rsidR="007759FA">
        <w:rPr>
          <w:color w:val="000000"/>
          <w:lang w:val="en-GB"/>
        </w:rPr>
        <w:t xml:space="preserve">to </w:t>
      </w:r>
      <w:r>
        <w:rPr>
          <w:color w:val="000000"/>
          <w:lang w:val="en-GB"/>
        </w:rPr>
        <w:t xml:space="preserve">the corresponding high concentrations. </w:t>
      </w:r>
      <w:r w:rsidR="00DA4356">
        <w:rPr>
          <w:color w:val="000000"/>
          <w:lang w:val="en-GB"/>
        </w:rPr>
        <w:t>Hence</w:t>
      </w:r>
      <w:r w:rsidR="00136C94">
        <w:rPr>
          <w:color w:val="000000"/>
          <w:lang w:val="en-GB"/>
        </w:rPr>
        <w:t>,</w:t>
      </w:r>
      <w:r w:rsidR="00DA4356">
        <w:rPr>
          <w:color w:val="000000"/>
          <w:lang w:val="en-GB"/>
        </w:rPr>
        <w:t xml:space="preserve"> </w:t>
      </w:r>
      <w:r w:rsidR="00136C94">
        <w:rPr>
          <w:color w:val="000000"/>
          <w:lang w:val="en-GB"/>
        </w:rPr>
        <w:t>generally</w:t>
      </w:r>
      <w:r w:rsidR="00505F13">
        <w:rPr>
          <w:color w:val="000000"/>
          <w:lang w:val="en-GB"/>
        </w:rPr>
        <w:t xml:space="preserve"> </w:t>
      </w:r>
      <w:r w:rsidR="00DA4356">
        <w:rPr>
          <w:color w:val="000000"/>
          <w:lang w:val="en-GB"/>
        </w:rPr>
        <w:t xml:space="preserve">substantially shorter values </w:t>
      </w:r>
      <w:r w:rsidR="00E662B2">
        <w:rPr>
          <w:color w:val="000000"/>
          <w:lang w:val="en-GB"/>
        </w:rPr>
        <w:t xml:space="preserve">of </w:t>
      </w:r>
      <w:r w:rsidR="00DA4356" w:rsidRPr="00E662B2">
        <w:rPr>
          <w:i/>
          <w:color w:val="000000"/>
          <w:lang w:val="en-GB"/>
        </w:rPr>
        <w:t>R</w:t>
      </w:r>
      <w:r w:rsidR="00DA4356">
        <w:rPr>
          <w:color w:val="000000"/>
          <w:lang w:val="en-GB"/>
        </w:rPr>
        <w:t xml:space="preserve"> are found</w:t>
      </w:r>
      <w:r w:rsidR="0071201A">
        <w:rPr>
          <w:color w:val="000000"/>
          <w:lang w:val="en-GB"/>
        </w:rPr>
        <w:t xml:space="preserve"> for </w:t>
      </w:r>
      <w:r w:rsidR="0071201A" w:rsidRPr="00B82764">
        <w:rPr>
          <w:color w:val="000000"/>
          <w:lang w:val="en-GB"/>
        </w:rPr>
        <w:t>MAPb</w:t>
      </w:r>
      <w:r w:rsidR="0071201A">
        <w:rPr>
          <w:color w:val="000000"/>
          <w:lang w:val="en-GB"/>
        </w:rPr>
        <w:t>Br</w:t>
      </w:r>
      <w:r w:rsidR="0071201A" w:rsidRPr="00A861C4">
        <w:rPr>
          <w:color w:val="000000"/>
          <w:vertAlign w:val="subscript"/>
          <w:lang w:val="en-GB"/>
        </w:rPr>
        <w:t>3</w:t>
      </w:r>
      <w:r w:rsidR="00DA4356">
        <w:rPr>
          <w:color w:val="000000"/>
          <w:lang w:val="en-GB"/>
        </w:rPr>
        <w:t>. In summary we conclude that due to smaller mobility values as well as the substantially larger concentration of deep trap states</w:t>
      </w:r>
      <w:r w:rsidR="00E662B2">
        <w:rPr>
          <w:color w:val="000000"/>
          <w:lang w:val="en-GB"/>
        </w:rPr>
        <w:t>,</w:t>
      </w:r>
      <w:r w:rsidR="00DA4356">
        <w:rPr>
          <w:color w:val="000000"/>
          <w:lang w:val="en-GB"/>
        </w:rPr>
        <w:t xml:space="preserve"> the charge carrier diffusion lengths </w:t>
      </w:r>
      <w:r w:rsidR="00E662B2">
        <w:rPr>
          <w:color w:val="000000"/>
          <w:lang w:val="en-GB"/>
        </w:rPr>
        <w:t xml:space="preserve">in particular </w:t>
      </w:r>
      <w:r w:rsidR="00136C94">
        <w:rPr>
          <w:color w:val="000000"/>
          <w:lang w:val="en-GB"/>
        </w:rPr>
        <w:t>for</w:t>
      </w:r>
      <w:r w:rsidR="00E662B2">
        <w:rPr>
          <w:color w:val="000000"/>
          <w:lang w:val="en-GB"/>
        </w:rPr>
        <w:t xml:space="preserve"> the minority carriers </w:t>
      </w:r>
      <w:r w:rsidR="00DA4356">
        <w:rPr>
          <w:color w:val="000000"/>
          <w:lang w:val="en-GB"/>
        </w:rPr>
        <w:t xml:space="preserve">in </w:t>
      </w:r>
      <w:r w:rsidR="00DA4356" w:rsidRPr="00B82764">
        <w:rPr>
          <w:color w:val="000000"/>
          <w:lang w:val="en-GB"/>
        </w:rPr>
        <w:t>MAPb</w:t>
      </w:r>
      <w:r w:rsidR="00DA4356">
        <w:rPr>
          <w:color w:val="000000"/>
          <w:lang w:val="en-GB"/>
        </w:rPr>
        <w:t>Br</w:t>
      </w:r>
      <w:r w:rsidR="00DA4356" w:rsidRPr="00A861C4">
        <w:rPr>
          <w:color w:val="000000"/>
          <w:vertAlign w:val="subscript"/>
          <w:lang w:val="en-GB"/>
        </w:rPr>
        <w:t>3</w:t>
      </w:r>
      <w:r w:rsidR="00136C94">
        <w:rPr>
          <w:color w:val="000000"/>
          <w:lang w:val="en-GB"/>
        </w:rPr>
        <w:t xml:space="preserve">, </w:t>
      </w:r>
      <w:r w:rsidR="00DA4356">
        <w:rPr>
          <w:color w:val="000000"/>
          <w:lang w:val="en-GB"/>
        </w:rPr>
        <w:t xml:space="preserve">are </w:t>
      </w:r>
      <w:r w:rsidR="0071201A">
        <w:rPr>
          <w:color w:val="000000"/>
          <w:lang w:val="en-GB"/>
        </w:rPr>
        <w:t xml:space="preserve">much </w:t>
      </w:r>
      <w:r w:rsidR="00DA4356">
        <w:rPr>
          <w:color w:val="000000"/>
          <w:lang w:val="en-GB"/>
        </w:rPr>
        <w:t>smaller than thos</w:t>
      </w:r>
      <w:r w:rsidR="00E662B2">
        <w:rPr>
          <w:color w:val="000000"/>
          <w:lang w:val="en-GB"/>
        </w:rPr>
        <w:t>e</w:t>
      </w:r>
      <w:r w:rsidR="00DA4356">
        <w:rPr>
          <w:color w:val="000000"/>
          <w:lang w:val="en-GB"/>
        </w:rPr>
        <w:t xml:space="preserve"> in MAP</w:t>
      </w:r>
      <w:r w:rsidR="00683231">
        <w:rPr>
          <w:color w:val="000000"/>
          <w:lang w:val="en-GB"/>
        </w:rPr>
        <w:t>b</w:t>
      </w:r>
      <w:r w:rsidR="00DA4356">
        <w:rPr>
          <w:color w:val="000000"/>
          <w:lang w:val="en-GB"/>
        </w:rPr>
        <w:t>I</w:t>
      </w:r>
      <w:r w:rsidR="00DA4356">
        <w:rPr>
          <w:color w:val="000000"/>
          <w:vertAlign w:val="subscript"/>
          <w:lang w:val="en-GB"/>
        </w:rPr>
        <w:t>3</w:t>
      </w:r>
      <w:r w:rsidR="00DA4356">
        <w:rPr>
          <w:color w:val="000000"/>
          <w:lang w:val="en-GB"/>
        </w:rPr>
        <w:t xml:space="preserve">. </w:t>
      </w:r>
    </w:p>
    <w:p w14:paraId="6F5A28D4" w14:textId="77777777" w:rsidR="00E913D2" w:rsidRPr="00801756" w:rsidRDefault="00E913D2" w:rsidP="00B91F37">
      <w:pPr>
        <w:spacing w:line="480" w:lineRule="auto"/>
        <w:jc w:val="both"/>
        <w:rPr>
          <w:color w:val="000000"/>
          <w:lang w:val="en-GB"/>
        </w:rPr>
      </w:pPr>
    </w:p>
    <w:p w14:paraId="0EBFAB78" w14:textId="1574EC20" w:rsidR="00B91F37" w:rsidRPr="007935BE" w:rsidRDefault="00496CC2" w:rsidP="007935BE">
      <w:pPr>
        <w:spacing w:line="480" w:lineRule="auto"/>
        <w:jc w:val="both"/>
        <w:rPr>
          <w:b/>
          <w:color w:val="000000"/>
          <w:lang w:val="en-GB"/>
        </w:rPr>
      </w:pPr>
      <w:r>
        <w:rPr>
          <w:b/>
        </w:rPr>
        <w:t>4</w:t>
      </w:r>
      <w:r w:rsidR="00B91F37" w:rsidRPr="007935BE">
        <w:rPr>
          <w:b/>
        </w:rPr>
        <w:t xml:space="preserve">. </w:t>
      </w:r>
      <w:r w:rsidR="00C26D58" w:rsidRPr="00C26D58">
        <w:rPr>
          <w:b/>
          <w:color w:val="000000" w:themeColor="text1"/>
          <w:lang w:val="en-GB"/>
        </w:rPr>
        <w:t xml:space="preserve">TRMC measurements on </w:t>
      </w:r>
      <w:r w:rsidR="00C26D58" w:rsidRPr="00C26D58">
        <w:rPr>
          <w:b/>
          <w:color w:val="000000"/>
          <w:lang w:val="en-GB"/>
        </w:rPr>
        <w:t>MAPbI</w:t>
      </w:r>
      <w:r w:rsidR="00C26D58" w:rsidRPr="00C26D58">
        <w:rPr>
          <w:b/>
          <w:color w:val="000000"/>
          <w:vertAlign w:val="subscript"/>
          <w:lang w:val="en-GB"/>
        </w:rPr>
        <w:t xml:space="preserve">3 </w:t>
      </w:r>
      <w:r w:rsidR="00C26D58" w:rsidRPr="00C26D58">
        <w:rPr>
          <w:b/>
          <w:color w:val="000000"/>
          <w:lang w:val="en-GB"/>
        </w:rPr>
        <w:t>and MAPbBr</w:t>
      </w:r>
      <w:r w:rsidR="00C26D58" w:rsidRPr="00C26D58">
        <w:rPr>
          <w:b/>
          <w:color w:val="000000"/>
          <w:vertAlign w:val="subscript"/>
          <w:lang w:val="en-GB"/>
        </w:rPr>
        <w:t>3</w:t>
      </w:r>
      <w:r w:rsidR="00C26D58" w:rsidRPr="00C26D58">
        <w:rPr>
          <w:b/>
          <w:color w:val="000000"/>
          <w:lang w:val="en-GB"/>
        </w:rPr>
        <w:t xml:space="preserve"> </w:t>
      </w:r>
      <w:r w:rsidR="00C26D58" w:rsidRPr="00C26D58">
        <w:rPr>
          <w:b/>
          <w:color w:val="000000" w:themeColor="text1"/>
          <w:lang w:val="en-GB"/>
        </w:rPr>
        <w:t>with charge selective contacts</w:t>
      </w:r>
      <w:r w:rsidR="00C26D58" w:rsidRPr="00603D9A">
        <w:rPr>
          <w:color w:val="000000" w:themeColor="text1"/>
          <w:lang w:val="en-GB"/>
        </w:rPr>
        <w:t xml:space="preserve"> </w:t>
      </w:r>
    </w:p>
    <w:p w14:paraId="102D9F13" w14:textId="3ABF4407" w:rsidR="007935BE" w:rsidRDefault="007935BE" w:rsidP="00B91F37">
      <w:pPr>
        <w:spacing w:line="480" w:lineRule="auto"/>
        <w:jc w:val="both"/>
        <w:rPr>
          <w:color w:val="000000"/>
          <w:lang w:val="en-GB"/>
        </w:rPr>
      </w:pPr>
    </w:p>
    <w:p w14:paraId="3DAA1923" w14:textId="181CDDE2" w:rsidR="00980C6F" w:rsidRDefault="00E900A2" w:rsidP="00B91F37">
      <w:pPr>
        <w:spacing w:line="480" w:lineRule="auto"/>
        <w:jc w:val="both"/>
        <w:rPr>
          <w:color w:val="000000"/>
          <w:lang w:val="en-GB"/>
        </w:rPr>
      </w:pPr>
      <w:r w:rsidRPr="00E900A2">
        <w:rPr>
          <w:noProof/>
        </w:rPr>
        <w:t xml:space="preserve"> </w:t>
      </w:r>
    </w:p>
    <w:p w14:paraId="7315F668" w14:textId="3B927599" w:rsidR="002A7312" w:rsidRDefault="002A7312" w:rsidP="007935BE">
      <w:pPr>
        <w:spacing w:line="480" w:lineRule="auto"/>
        <w:jc w:val="both"/>
        <w:rPr>
          <w:b/>
          <w:color w:val="000000"/>
          <w:lang w:val="en-GB"/>
        </w:rPr>
      </w:pPr>
    </w:p>
    <w:p w14:paraId="7FA2A5FA" w14:textId="04B11CD3" w:rsidR="00F241A0" w:rsidRDefault="00C46C04" w:rsidP="007935BE">
      <w:pPr>
        <w:spacing w:line="480" w:lineRule="auto"/>
        <w:jc w:val="both"/>
        <w:rPr>
          <w:noProof/>
        </w:rPr>
      </w:pPr>
      <w:r w:rsidRPr="00C46C04">
        <w:rPr>
          <w:b/>
          <w:color w:val="000000"/>
          <w:lang w:val="en-GB"/>
        </w:rPr>
        <w:lastRenderedPageBreak/>
        <w:t xml:space="preserve"> </w:t>
      </w:r>
      <w:r w:rsidR="00891A59" w:rsidRPr="00891A59">
        <w:rPr>
          <w:b/>
          <w:color w:val="000000"/>
          <w:lang w:val="en-GB"/>
        </w:rPr>
        <w:t xml:space="preserve"> </w:t>
      </w:r>
      <w:r w:rsidR="00927BDF">
        <w:rPr>
          <w:b/>
          <w:color w:val="000000"/>
          <w:lang w:val="en-GB"/>
        </w:rPr>
        <w:tab/>
      </w:r>
      <w:r w:rsidR="00927BDF">
        <w:rPr>
          <w:b/>
          <w:color w:val="000000"/>
          <w:lang w:val="en-GB"/>
        </w:rPr>
        <w:tab/>
      </w:r>
      <w:r w:rsidR="00927BDF" w:rsidRPr="00927BDF">
        <w:rPr>
          <w:b/>
          <w:noProof/>
          <w:color w:val="000000"/>
        </w:rPr>
        <w:drawing>
          <wp:inline distT="0" distB="0" distL="0" distR="0" wp14:anchorId="3CB383C2" wp14:editId="45F92D43">
            <wp:extent cx="4488128" cy="2305409"/>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4337" cy="2313735"/>
                    </a:xfrm>
                    <a:prstGeom prst="rect">
                      <a:avLst/>
                    </a:prstGeom>
                  </pic:spPr>
                </pic:pic>
              </a:graphicData>
            </a:graphic>
          </wp:inline>
        </w:drawing>
      </w:r>
      <w:r w:rsidR="00025895" w:rsidRPr="00025895">
        <w:rPr>
          <w:noProof/>
        </w:rPr>
        <w:t xml:space="preserve"> </w:t>
      </w:r>
    </w:p>
    <w:p w14:paraId="098D970A" w14:textId="783BA061" w:rsidR="002C1544" w:rsidRDefault="00F6491C" w:rsidP="007935BE">
      <w:pPr>
        <w:spacing w:line="480" w:lineRule="auto"/>
        <w:jc w:val="both"/>
        <w:rPr>
          <w:b/>
          <w:color w:val="000000"/>
          <w:lang w:val="en-GB"/>
        </w:rPr>
      </w:pPr>
      <w:r w:rsidRPr="00C46C04">
        <w:rPr>
          <w:b/>
          <w:noProof/>
          <w:color w:val="000000"/>
          <w:lang w:val="en-GB"/>
        </w:rPr>
        <w:drawing>
          <wp:anchor distT="0" distB="0" distL="114300" distR="114300" simplePos="0" relativeHeight="251674624" behindDoc="0" locked="0" layoutInCell="1" allowOverlap="1" wp14:anchorId="1EC4E837" wp14:editId="2F947F8C">
            <wp:simplePos x="0" y="0"/>
            <wp:positionH relativeFrom="column">
              <wp:posOffset>4626398</wp:posOffset>
            </wp:positionH>
            <wp:positionV relativeFrom="paragraph">
              <wp:posOffset>302895</wp:posOffset>
            </wp:positionV>
            <wp:extent cx="1300678" cy="922232"/>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0678" cy="922232"/>
                    </a:xfrm>
                    <a:prstGeom prst="rect">
                      <a:avLst/>
                    </a:prstGeom>
                  </pic:spPr>
                </pic:pic>
              </a:graphicData>
            </a:graphic>
            <wp14:sizeRelH relativeFrom="page">
              <wp14:pctWidth>0</wp14:pctWidth>
            </wp14:sizeRelH>
            <wp14:sizeRelV relativeFrom="page">
              <wp14:pctHeight>0</wp14:pctHeight>
            </wp14:sizeRelV>
          </wp:anchor>
        </w:drawing>
      </w:r>
      <w:r w:rsidRPr="00504B8D">
        <w:rPr>
          <w:b/>
          <w:noProof/>
          <w:color w:val="000000"/>
          <w:lang w:val="en-GB"/>
        </w:rPr>
        <w:drawing>
          <wp:anchor distT="0" distB="0" distL="114300" distR="114300" simplePos="0" relativeHeight="251677696" behindDoc="0" locked="0" layoutInCell="1" allowOverlap="1" wp14:anchorId="6D595F70" wp14:editId="780A1B3A">
            <wp:simplePos x="0" y="0"/>
            <wp:positionH relativeFrom="column">
              <wp:posOffset>2998259</wp:posOffset>
            </wp:positionH>
            <wp:positionV relativeFrom="paragraph">
              <wp:posOffset>508847</wp:posOffset>
            </wp:positionV>
            <wp:extent cx="3074035" cy="21774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4035" cy="2177415"/>
                    </a:xfrm>
                    <a:prstGeom prst="rect">
                      <a:avLst/>
                    </a:prstGeom>
                  </pic:spPr>
                </pic:pic>
              </a:graphicData>
            </a:graphic>
            <wp14:sizeRelH relativeFrom="page">
              <wp14:pctWidth>0</wp14:pctWidth>
            </wp14:sizeRelH>
            <wp14:sizeRelV relativeFrom="page">
              <wp14:pctHeight>0</wp14:pctHeight>
            </wp14:sizeRelV>
          </wp:anchor>
        </w:drawing>
      </w:r>
      <w:r w:rsidR="005121FB" w:rsidRPr="005121FB">
        <w:rPr>
          <w:noProof/>
        </w:rPr>
        <w:drawing>
          <wp:anchor distT="0" distB="0" distL="114300" distR="114300" simplePos="0" relativeHeight="251683840" behindDoc="0" locked="0" layoutInCell="1" allowOverlap="1" wp14:anchorId="6151AA8A" wp14:editId="5D72BF91">
            <wp:simplePos x="0" y="0"/>
            <wp:positionH relativeFrom="column">
              <wp:posOffset>1671320</wp:posOffset>
            </wp:positionH>
            <wp:positionV relativeFrom="paragraph">
              <wp:posOffset>230293</wp:posOffset>
            </wp:positionV>
            <wp:extent cx="1323975" cy="9404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23975" cy="940435"/>
                    </a:xfrm>
                    <a:prstGeom prst="rect">
                      <a:avLst/>
                    </a:prstGeom>
                  </pic:spPr>
                </pic:pic>
              </a:graphicData>
            </a:graphic>
            <wp14:sizeRelH relativeFrom="page">
              <wp14:pctWidth>0</wp14:pctWidth>
            </wp14:sizeRelH>
            <wp14:sizeRelV relativeFrom="page">
              <wp14:pctHeight>0</wp14:pctHeight>
            </wp14:sizeRelV>
          </wp:anchor>
        </w:drawing>
      </w:r>
      <w:r w:rsidR="004357F9" w:rsidRPr="004357F9">
        <w:rPr>
          <w:b/>
          <w:noProof/>
          <w:color w:val="000000"/>
          <w:lang w:val="en-GB"/>
        </w:rPr>
        <w:drawing>
          <wp:anchor distT="0" distB="0" distL="114300" distR="114300" simplePos="0" relativeHeight="251682816" behindDoc="0" locked="0" layoutInCell="1" allowOverlap="1" wp14:anchorId="415D4F30" wp14:editId="6A70CB79">
            <wp:simplePos x="0" y="0"/>
            <wp:positionH relativeFrom="column">
              <wp:posOffset>74295</wp:posOffset>
            </wp:positionH>
            <wp:positionV relativeFrom="paragraph">
              <wp:posOffset>2607098</wp:posOffset>
            </wp:positionV>
            <wp:extent cx="3074035" cy="21774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74035" cy="2177415"/>
                    </a:xfrm>
                    <a:prstGeom prst="rect">
                      <a:avLst/>
                    </a:prstGeom>
                  </pic:spPr>
                </pic:pic>
              </a:graphicData>
            </a:graphic>
            <wp14:sizeRelH relativeFrom="page">
              <wp14:pctWidth>0</wp14:pctWidth>
            </wp14:sizeRelH>
            <wp14:sizeRelV relativeFrom="page">
              <wp14:pctHeight>0</wp14:pctHeight>
            </wp14:sizeRelV>
          </wp:anchor>
        </w:drawing>
      </w:r>
      <w:r w:rsidR="004357F9" w:rsidRPr="004357F9">
        <w:rPr>
          <w:b/>
          <w:noProof/>
          <w:color w:val="000000"/>
          <w:lang w:val="en-GB"/>
        </w:rPr>
        <w:drawing>
          <wp:anchor distT="0" distB="0" distL="114300" distR="114300" simplePos="0" relativeHeight="251681792" behindDoc="0" locked="0" layoutInCell="1" allowOverlap="1" wp14:anchorId="48D57E91" wp14:editId="6B0BD046">
            <wp:simplePos x="0" y="0"/>
            <wp:positionH relativeFrom="column">
              <wp:posOffset>3032375</wp:posOffset>
            </wp:positionH>
            <wp:positionV relativeFrom="paragraph">
              <wp:posOffset>2611543</wp:posOffset>
            </wp:positionV>
            <wp:extent cx="3074400" cy="2178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74400" cy="2178000"/>
                    </a:xfrm>
                    <a:prstGeom prst="rect">
                      <a:avLst/>
                    </a:prstGeom>
                  </pic:spPr>
                </pic:pic>
              </a:graphicData>
            </a:graphic>
            <wp14:sizeRelH relativeFrom="page">
              <wp14:pctWidth>0</wp14:pctWidth>
            </wp14:sizeRelH>
            <wp14:sizeRelV relativeFrom="page">
              <wp14:pctHeight>0</wp14:pctHeight>
            </wp14:sizeRelV>
          </wp:anchor>
        </w:drawing>
      </w:r>
      <w:r w:rsidR="0000567C" w:rsidRPr="0000567C">
        <w:rPr>
          <w:b/>
          <w:noProof/>
          <w:color w:val="000000"/>
          <w:lang w:val="en-GB"/>
        </w:rPr>
        <w:drawing>
          <wp:anchor distT="0" distB="0" distL="114300" distR="114300" simplePos="0" relativeHeight="251678720" behindDoc="0" locked="0" layoutInCell="1" allowOverlap="1" wp14:anchorId="7D00A958" wp14:editId="27F1768D">
            <wp:simplePos x="0" y="0"/>
            <wp:positionH relativeFrom="column">
              <wp:posOffset>55245</wp:posOffset>
            </wp:positionH>
            <wp:positionV relativeFrom="paragraph">
              <wp:posOffset>432435</wp:posOffset>
            </wp:positionV>
            <wp:extent cx="3074035" cy="21774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74035" cy="2177415"/>
                    </a:xfrm>
                    <a:prstGeom prst="rect">
                      <a:avLst/>
                    </a:prstGeom>
                  </pic:spPr>
                </pic:pic>
              </a:graphicData>
            </a:graphic>
            <wp14:sizeRelH relativeFrom="page">
              <wp14:pctWidth>0</wp14:pctWidth>
            </wp14:sizeRelH>
            <wp14:sizeRelV relativeFrom="page">
              <wp14:pctHeight>0</wp14:pctHeight>
            </wp14:sizeRelV>
          </wp:anchor>
        </w:drawing>
      </w:r>
    </w:p>
    <w:p w14:paraId="6E0F99D3" w14:textId="28A385CD" w:rsidR="00F241A0" w:rsidRDefault="00F241A0" w:rsidP="007935BE">
      <w:pPr>
        <w:spacing w:line="480" w:lineRule="auto"/>
        <w:jc w:val="both"/>
        <w:rPr>
          <w:b/>
          <w:color w:val="000000"/>
          <w:lang w:val="en-GB"/>
        </w:rPr>
      </w:pPr>
    </w:p>
    <w:p w14:paraId="7906A21F" w14:textId="5A68CE84" w:rsidR="007935BE" w:rsidRDefault="007935BE" w:rsidP="007935BE">
      <w:pPr>
        <w:spacing w:line="480" w:lineRule="auto"/>
        <w:jc w:val="both"/>
        <w:rPr>
          <w:color w:val="000000" w:themeColor="text1"/>
          <w:lang w:val="en-GB"/>
        </w:rPr>
      </w:pPr>
      <w:r w:rsidRPr="00801756">
        <w:rPr>
          <w:b/>
          <w:color w:val="000000"/>
          <w:lang w:val="en-GB"/>
        </w:rPr>
        <w:t xml:space="preserve">Figure </w:t>
      </w:r>
      <w:r w:rsidR="000677B6">
        <w:rPr>
          <w:b/>
          <w:color w:val="000000"/>
          <w:lang w:val="en-GB"/>
        </w:rPr>
        <w:t>5</w:t>
      </w:r>
      <w:r w:rsidRPr="00801756">
        <w:rPr>
          <w:b/>
          <w:color w:val="000000"/>
          <w:lang w:val="en-GB"/>
        </w:rPr>
        <w:t>.</w:t>
      </w:r>
      <w:r w:rsidRPr="00801756">
        <w:rPr>
          <w:color w:val="000000"/>
          <w:lang w:val="en-GB"/>
        </w:rPr>
        <w:t xml:space="preserve"> </w:t>
      </w:r>
      <w:r w:rsidR="008F4604">
        <w:rPr>
          <w:color w:val="000000"/>
          <w:lang w:val="en-GB"/>
        </w:rPr>
        <w:t>Top panels illustrate the charge extraction process: For left panels the CSTL is C60 while for the right panels the CSTL is Spiro-</w:t>
      </w:r>
      <w:proofErr w:type="spellStart"/>
      <w:r w:rsidR="008F4604">
        <w:rPr>
          <w:color w:val="000000"/>
          <w:lang w:val="en-GB"/>
        </w:rPr>
        <w:t>OMeTAD</w:t>
      </w:r>
      <w:proofErr w:type="spellEnd"/>
      <w:r w:rsidR="008F4604">
        <w:rPr>
          <w:color w:val="000000"/>
          <w:lang w:val="en-GB"/>
        </w:rPr>
        <w:t xml:space="preserve">. A and B show the </w:t>
      </w:r>
      <w:r w:rsidR="00505F13">
        <w:rPr>
          <w:color w:val="000000"/>
          <w:lang w:val="en-GB"/>
        </w:rPr>
        <w:t>TRMC</w:t>
      </w:r>
      <w:r w:rsidRPr="00801756">
        <w:rPr>
          <w:color w:val="000000"/>
          <w:lang w:val="en-GB"/>
        </w:rPr>
        <w:t xml:space="preserve"> traces recorded at initial charge carrier densities </w:t>
      </w:r>
      <w:r w:rsidR="00E658A3">
        <w:rPr>
          <w:color w:val="000000"/>
          <w:lang w:val="en-GB"/>
        </w:rPr>
        <w:t>of</w:t>
      </w:r>
      <w:r w:rsidRPr="00801756">
        <w:rPr>
          <w:color w:val="000000"/>
          <w:lang w:val="en-GB"/>
        </w:rPr>
        <w:t xml:space="preserve"> </w:t>
      </w:r>
      <w:r w:rsidR="006E60EF">
        <w:rPr>
          <w:color w:val="000000"/>
          <w:lang w:val="en-GB"/>
        </w:rPr>
        <w:t>5</w:t>
      </w:r>
      <w:r w:rsidRPr="00801756">
        <w:rPr>
          <w:color w:val="000000"/>
          <w:lang w:val="en-GB"/>
        </w:rPr>
        <w:t xml:space="preserve"> </w:t>
      </w:r>
      <w:r w:rsidR="00E658A3">
        <w:rPr>
          <w:color w:val="000000"/>
          <w:lang w:val="en-GB"/>
        </w:rPr>
        <w:t xml:space="preserve">- 10 </w:t>
      </w:r>
      <w:r w:rsidRPr="00801756">
        <w:rPr>
          <w:color w:val="000000"/>
          <w:lang w:val="en-GB"/>
        </w:rPr>
        <w:t>x 10</w:t>
      </w:r>
      <w:r w:rsidRPr="00801756">
        <w:rPr>
          <w:color w:val="000000"/>
          <w:vertAlign w:val="superscript"/>
          <w:lang w:val="en-GB"/>
        </w:rPr>
        <w:t>1</w:t>
      </w:r>
      <w:r w:rsidR="006E60EF">
        <w:rPr>
          <w:color w:val="000000"/>
          <w:vertAlign w:val="superscript"/>
          <w:lang w:val="en-GB"/>
        </w:rPr>
        <w:t>4</w:t>
      </w:r>
      <w:r w:rsidRPr="00801756">
        <w:rPr>
          <w:color w:val="000000"/>
          <w:lang w:val="en-GB"/>
        </w:rPr>
        <w:t xml:space="preserve"> cm</w:t>
      </w:r>
      <w:r w:rsidRPr="00801756">
        <w:rPr>
          <w:color w:val="000000"/>
          <w:vertAlign w:val="superscript"/>
          <w:lang w:val="en-GB"/>
        </w:rPr>
        <w:t>-3</w:t>
      </w:r>
      <w:r w:rsidR="00E658A3">
        <w:rPr>
          <w:color w:val="000000"/>
          <w:lang w:val="en-GB"/>
        </w:rPr>
        <w:t>/pulse</w:t>
      </w:r>
      <w:r w:rsidRPr="00801756">
        <w:rPr>
          <w:color w:val="000000"/>
          <w:lang w:val="en-GB"/>
        </w:rPr>
        <w:t xml:space="preserve"> for </w:t>
      </w:r>
      <w:r w:rsidR="00E658A3">
        <w:rPr>
          <w:color w:val="000000"/>
          <w:lang w:val="en-GB"/>
        </w:rPr>
        <w:t xml:space="preserve">single and double layers comprising </w:t>
      </w:r>
      <w:r w:rsidRPr="00801756">
        <w:rPr>
          <w:color w:val="000000"/>
          <w:lang w:val="en-GB"/>
        </w:rPr>
        <w:t>MAPbI</w:t>
      </w:r>
      <w:r w:rsidRPr="00801756">
        <w:rPr>
          <w:color w:val="000000"/>
          <w:vertAlign w:val="subscript"/>
          <w:lang w:val="en-GB"/>
        </w:rPr>
        <w:t>3</w:t>
      </w:r>
      <w:r w:rsidR="00E658A3">
        <w:rPr>
          <w:color w:val="000000"/>
          <w:lang w:val="en-GB"/>
        </w:rPr>
        <w:t xml:space="preserve"> </w:t>
      </w:r>
      <w:r w:rsidR="007E297A">
        <w:rPr>
          <w:color w:val="000000"/>
          <w:lang w:val="en-GB"/>
        </w:rPr>
        <w:t>with</w:t>
      </w:r>
      <w:r w:rsidR="00E658A3">
        <w:rPr>
          <w:color w:val="000000"/>
          <w:lang w:val="en-GB"/>
        </w:rPr>
        <w:t xml:space="preserve"> excitation at </w:t>
      </w:r>
      <w:r w:rsidR="00E658A3" w:rsidRPr="00801756">
        <w:rPr>
          <w:rFonts w:ascii="Symbol" w:hAnsi="Symbol"/>
          <w:i/>
          <w:color w:val="000000"/>
          <w:lang w:val="en-GB"/>
        </w:rPr>
        <w:t></w:t>
      </w:r>
      <w:r w:rsidR="00E658A3" w:rsidRPr="00801756">
        <w:rPr>
          <w:color w:val="000000"/>
          <w:lang w:val="en-GB"/>
        </w:rPr>
        <w:t xml:space="preserve"> = 6</w:t>
      </w:r>
      <w:r w:rsidR="00384F8A">
        <w:rPr>
          <w:color w:val="000000"/>
          <w:lang w:val="en-GB"/>
        </w:rPr>
        <w:t>5</w:t>
      </w:r>
      <w:r w:rsidR="00E658A3" w:rsidRPr="00801756">
        <w:rPr>
          <w:color w:val="000000"/>
          <w:lang w:val="en-GB"/>
        </w:rPr>
        <w:t>0</w:t>
      </w:r>
      <w:r w:rsidR="008F4604">
        <w:rPr>
          <w:color w:val="000000"/>
          <w:lang w:val="en-GB"/>
        </w:rPr>
        <w:t>. C</w:t>
      </w:r>
      <w:r w:rsidR="00E658A3">
        <w:rPr>
          <w:color w:val="000000"/>
          <w:lang w:val="en-GB"/>
        </w:rPr>
        <w:t xml:space="preserve"> and </w:t>
      </w:r>
      <w:r w:rsidR="008F4604">
        <w:rPr>
          <w:color w:val="000000"/>
          <w:lang w:val="en-GB"/>
        </w:rPr>
        <w:t>D</w:t>
      </w:r>
      <w:r w:rsidR="00E658A3">
        <w:rPr>
          <w:color w:val="000000"/>
          <w:lang w:val="en-GB"/>
        </w:rPr>
        <w:t xml:space="preserve"> </w:t>
      </w:r>
      <w:r w:rsidR="008F4604">
        <w:rPr>
          <w:color w:val="000000"/>
          <w:lang w:val="en-GB"/>
        </w:rPr>
        <w:t xml:space="preserve">are the traces for </w:t>
      </w:r>
      <w:r w:rsidR="008F4604" w:rsidRPr="00801756">
        <w:rPr>
          <w:color w:val="000000"/>
          <w:lang w:val="en-GB"/>
        </w:rPr>
        <w:t>MAPb</w:t>
      </w:r>
      <w:r w:rsidR="008F4604">
        <w:rPr>
          <w:color w:val="000000"/>
          <w:lang w:val="en-GB"/>
        </w:rPr>
        <w:t>Br</w:t>
      </w:r>
      <w:r w:rsidR="008F4604" w:rsidRPr="00801756">
        <w:rPr>
          <w:color w:val="000000"/>
          <w:vertAlign w:val="subscript"/>
          <w:lang w:val="en-GB"/>
        </w:rPr>
        <w:t>3</w:t>
      </w:r>
      <w:r w:rsidR="008F4604">
        <w:rPr>
          <w:color w:val="000000"/>
          <w:lang w:val="en-GB"/>
        </w:rPr>
        <w:t xml:space="preserve"> </w:t>
      </w:r>
      <w:r w:rsidR="00E658A3">
        <w:rPr>
          <w:color w:val="000000"/>
          <w:lang w:val="en-GB"/>
        </w:rPr>
        <w:t xml:space="preserve">with </w:t>
      </w:r>
      <w:r w:rsidR="00E658A3">
        <w:rPr>
          <w:color w:val="000000"/>
          <w:lang w:val="en-GB"/>
        </w:rPr>
        <w:lastRenderedPageBreak/>
        <w:t xml:space="preserve">excitation at </w:t>
      </w:r>
      <w:r w:rsidR="00E658A3" w:rsidRPr="00801756">
        <w:rPr>
          <w:rFonts w:ascii="Symbol" w:hAnsi="Symbol"/>
          <w:i/>
          <w:color w:val="000000"/>
          <w:lang w:val="en-GB"/>
        </w:rPr>
        <w:t></w:t>
      </w:r>
      <w:r w:rsidR="00E658A3" w:rsidRPr="00801756">
        <w:rPr>
          <w:color w:val="000000"/>
          <w:lang w:val="en-GB"/>
        </w:rPr>
        <w:t xml:space="preserve"> = </w:t>
      </w:r>
      <w:r w:rsidR="00E658A3">
        <w:rPr>
          <w:color w:val="000000"/>
          <w:lang w:val="en-GB"/>
        </w:rPr>
        <w:t xml:space="preserve">500 nm. </w:t>
      </w:r>
      <w:r w:rsidR="00136C94">
        <w:rPr>
          <w:color w:val="000000" w:themeColor="text1"/>
          <w:lang w:val="en-GB"/>
        </w:rPr>
        <w:t>The signal of the bare MHP layer is normalised to 1, while the bilayer is normalised with the same factor.</w:t>
      </w:r>
      <w:r w:rsidR="008F4604">
        <w:rPr>
          <w:color w:val="000000" w:themeColor="text1"/>
          <w:lang w:val="en-GB"/>
        </w:rPr>
        <w:t xml:space="preserve"> Insets show TRMC traces on 10 microsecond timescale.</w:t>
      </w:r>
      <w:r w:rsidR="00DA1F65">
        <w:rPr>
          <w:color w:val="000000" w:themeColor="text1"/>
          <w:lang w:val="en-GB"/>
        </w:rPr>
        <w:t xml:space="preserve"> </w:t>
      </w:r>
      <w:r w:rsidR="00DA1F65">
        <w:rPr>
          <w:color w:val="000000"/>
          <w:lang w:val="en-GB"/>
        </w:rPr>
        <w:t>Adapted from Zhao et al.</w:t>
      </w:r>
      <w:r w:rsidR="00DA1F65" w:rsidRPr="00DA1F65">
        <w:rPr>
          <w:color w:val="000000"/>
          <w:vertAlign w:val="superscript"/>
          <w:lang w:val="en-GB"/>
        </w:rPr>
        <w:t>[29]</w:t>
      </w:r>
    </w:p>
    <w:p w14:paraId="6F008141" w14:textId="77777777" w:rsidR="00136C94" w:rsidRPr="00F241A0" w:rsidRDefault="00136C94" w:rsidP="007935BE">
      <w:pPr>
        <w:spacing w:line="480" w:lineRule="auto"/>
        <w:jc w:val="both"/>
        <w:rPr>
          <w:b/>
          <w:color w:val="000000"/>
          <w:lang w:val="en-GB"/>
        </w:rPr>
      </w:pPr>
    </w:p>
    <w:p w14:paraId="550C1AF6" w14:textId="14E73691" w:rsidR="000968EA" w:rsidRDefault="00035A55" w:rsidP="00B91F37">
      <w:pPr>
        <w:spacing w:line="480" w:lineRule="auto"/>
        <w:jc w:val="both"/>
        <w:rPr>
          <w:color w:val="000000" w:themeColor="text1"/>
          <w:lang w:val="en-GB"/>
        </w:rPr>
      </w:pPr>
      <w:r>
        <w:rPr>
          <w:color w:val="000000" w:themeColor="text1"/>
          <w:lang w:val="en-GB"/>
        </w:rPr>
        <w:t>While in the previous part we focused on mobilities and trap states, i</w:t>
      </w:r>
      <w:r w:rsidR="00C26D58">
        <w:rPr>
          <w:color w:val="000000" w:themeColor="text1"/>
          <w:lang w:val="en-GB"/>
        </w:rPr>
        <w:t>n t</w:t>
      </w:r>
      <w:r w:rsidR="00C26D58" w:rsidRPr="00603D9A">
        <w:rPr>
          <w:color w:val="000000" w:themeColor="text1"/>
          <w:lang w:val="en-GB"/>
        </w:rPr>
        <w:t>h</w:t>
      </w:r>
      <w:r>
        <w:rPr>
          <w:color w:val="000000" w:themeColor="text1"/>
          <w:lang w:val="en-GB"/>
        </w:rPr>
        <w:t>is part we want to elucidate the type of carrier</w:t>
      </w:r>
      <w:r w:rsidR="000968EA">
        <w:rPr>
          <w:color w:val="000000" w:themeColor="text1"/>
          <w:lang w:val="en-GB"/>
        </w:rPr>
        <w:t>s and traps responsible for the observed charge carrier dynamics</w:t>
      </w:r>
      <w:r>
        <w:rPr>
          <w:color w:val="000000" w:themeColor="text1"/>
          <w:lang w:val="en-GB"/>
        </w:rPr>
        <w:t>. Since TRMC doe</w:t>
      </w:r>
      <w:r w:rsidR="00E662B2">
        <w:rPr>
          <w:color w:val="000000" w:themeColor="text1"/>
          <w:lang w:val="en-GB"/>
        </w:rPr>
        <w:t>s</w:t>
      </w:r>
      <w:r>
        <w:rPr>
          <w:color w:val="000000" w:themeColor="text1"/>
          <w:lang w:val="en-GB"/>
        </w:rPr>
        <w:t xml:space="preserve"> not differentiate between holes and electrons and both </w:t>
      </w:r>
      <w:r w:rsidR="0071201A">
        <w:rPr>
          <w:color w:val="000000" w:themeColor="text1"/>
          <w:lang w:val="en-GB"/>
        </w:rPr>
        <w:t xml:space="preserve">carriers </w:t>
      </w:r>
      <w:r>
        <w:rPr>
          <w:color w:val="000000" w:themeColor="text1"/>
          <w:lang w:val="en-GB"/>
        </w:rPr>
        <w:t xml:space="preserve">contribute to the photo conductance </w:t>
      </w:r>
      <w:r w:rsidR="00513852">
        <w:rPr>
          <w:color w:val="000000" w:themeColor="text1"/>
          <w:lang w:val="en-GB"/>
        </w:rPr>
        <w:t>according to equation 1</w:t>
      </w:r>
      <w:r w:rsidR="0071201A">
        <w:rPr>
          <w:color w:val="000000" w:themeColor="text1"/>
          <w:lang w:val="en-GB"/>
        </w:rPr>
        <w:t>,</w:t>
      </w:r>
      <w:r w:rsidR="00513852">
        <w:rPr>
          <w:color w:val="000000" w:themeColor="text1"/>
          <w:lang w:val="en-GB"/>
        </w:rPr>
        <w:t xml:space="preserve"> </w:t>
      </w:r>
      <w:r>
        <w:rPr>
          <w:color w:val="000000" w:themeColor="text1"/>
          <w:lang w:val="en-GB"/>
        </w:rPr>
        <w:t xml:space="preserve">other specific methods need to </w:t>
      </w:r>
      <w:r w:rsidR="00513852">
        <w:rPr>
          <w:color w:val="000000" w:themeColor="text1"/>
          <w:lang w:val="en-GB"/>
        </w:rPr>
        <w:t xml:space="preserve">be </w:t>
      </w:r>
      <w:r>
        <w:rPr>
          <w:color w:val="000000" w:themeColor="text1"/>
          <w:lang w:val="en-GB"/>
        </w:rPr>
        <w:t>invo</w:t>
      </w:r>
      <w:r w:rsidR="00E662B2">
        <w:rPr>
          <w:color w:val="000000" w:themeColor="text1"/>
          <w:lang w:val="en-GB"/>
        </w:rPr>
        <w:t>k</w:t>
      </w:r>
      <w:r>
        <w:rPr>
          <w:color w:val="000000" w:themeColor="text1"/>
          <w:lang w:val="en-GB"/>
        </w:rPr>
        <w:t>ed</w:t>
      </w:r>
      <w:r w:rsidR="00513852">
        <w:rPr>
          <w:color w:val="000000" w:themeColor="text1"/>
          <w:lang w:val="en-GB"/>
        </w:rPr>
        <w:t>.</w:t>
      </w:r>
      <w:r>
        <w:rPr>
          <w:color w:val="000000" w:themeColor="text1"/>
          <w:lang w:val="en-GB"/>
        </w:rPr>
        <w:t xml:space="preserve"> To reveal </w:t>
      </w:r>
      <w:r w:rsidR="00823811">
        <w:rPr>
          <w:color w:val="000000" w:themeColor="text1"/>
          <w:lang w:val="en-GB"/>
        </w:rPr>
        <w:t>which type of carrier is the minority carrier for both layers</w:t>
      </w:r>
      <w:r w:rsidR="00136C94">
        <w:rPr>
          <w:color w:val="000000" w:themeColor="text1"/>
          <w:lang w:val="en-GB"/>
        </w:rPr>
        <w:t>,</w:t>
      </w:r>
      <w:r w:rsidR="00606062">
        <w:rPr>
          <w:color w:val="000000" w:themeColor="text1"/>
          <w:lang w:val="en-GB"/>
        </w:rPr>
        <w:t xml:space="preserve"> </w:t>
      </w:r>
      <w:r w:rsidR="00823811">
        <w:rPr>
          <w:color w:val="000000" w:themeColor="text1"/>
          <w:lang w:val="en-GB"/>
        </w:rPr>
        <w:t xml:space="preserve">we deposited on top of the </w:t>
      </w:r>
      <w:r w:rsidR="00E662B2">
        <w:rPr>
          <w:color w:val="000000" w:themeColor="text1"/>
          <w:lang w:val="en-GB"/>
        </w:rPr>
        <w:t>MHP</w:t>
      </w:r>
      <w:r w:rsidR="00823811">
        <w:rPr>
          <w:color w:val="000000" w:themeColor="text1"/>
          <w:lang w:val="en-GB"/>
        </w:rPr>
        <w:t xml:space="preserve"> a </w:t>
      </w:r>
      <w:r w:rsidR="00212249">
        <w:rPr>
          <w:color w:val="000000" w:themeColor="text1"/>
          <w:lang w:val="en-GB"/>
        </w:rPr>
        <w:t>CSTL</w:t>
      </w:r>
      <w:r w:rsidR="00823811">
        <w:rPr>
          <w:color w:val="000000" w:themeColor="text1"/>
          <w:lang w:val="en-GB"/>
        </w:rPr>
        <w:t>. As electron accepting layer we used C60 while for hole transport layer Spiro-</w:t>
      </w:r>
      <w:proofErr w:type="spellStart"/>
      <w:r w:rsidR="00823811">
        <w:rPr>
          <w:color w:val="000000" w:themeColor="text1"/>
          <w:lang w:val="en-GB"/>
        </w:rPr>
        <w:t>OMeTAD</w:t>
      </w:r>
      <w:proofErr w:type="spellEnd"/>
      <w:r w:rsidR="00823811">
        <w:rPr>
          <w:color w:val="000000" w:themeColor="text1"/>
          <w:lang w:val="en-GB"/>
        </w:rPr>
        <w:t xml:space="preserve"> was used</w:t>
      </w:r>
      <w:r w:rsidR="00505F13">
        <w:rPr>
          <w:color w:val="000000" w:themeColor="text1"/>
          <w:lang w:val="en-GB"/>
        </w:rPr>
        <w:t xml:space="preserve"> (See diagrams at top of Figure 5)</w:t>
      </w:r>
      <w:r w:rsidR="00823811">
        <w:rPr>
          <w:color w:val="000000" w:themeColor="text1"/>
          <w:lang w:val="en-GB"/>
        </w:rPr>
        <w:t xml:space="preserve">. </w:t>
      </w:r>
      <w:r w:rsidR="00212249">
        <w:rPr>
          <w:color w:val="000000" w:themeColor="text1"/>
          <w:lang w:val="en-GB"/>
        </w:rPr>
        <w:t>Figure 5 shows the effect of introducing the CSTL</w:t>
      </w:r>
      <w:r w:rsidR="00E21595">
        <w:rPr>
          <w:color w:val="000000" w:themeColor="text1"/>
          <w:lang w:val="en-GB"/>
        </w:rPr>
        <w:t xml:space="preserve"> on MAPbI</w:t>
      </w:r>
      <w:r w:rsidR="00E21595" w:rsidRPr="00513852">
        <w:rPr>
          <w:color w:val="000000" w:themeColor="text1"/>
          <w:vertAlign w:val="subscript"/>
          <w:lang w:val="en-GB"/>
        </w:rPr>
        <w:t>3</w:t>
      </w:r>
      <w:r w:rsidR="00E21595">
        <w:rPr>
          <w:color w:val="000000" w:themeColor="text1"/>
          <w:lang w:val="en-GB"/>
        </w:rPr>
        <w:t xml:space="preserve"> and MAPbBr</w:t>
      </w:r>
      <w:r w:rsidR="00E21595" w:rsidRPr="00513852">
        <w:rPr>
          <w:color w:val="000000" w:themeColor="text1"/>
          <w:vertAlign w:val="subscript"/>
          <w:lang w:val="en-GB"/>
        </w:rPr>
        <w:t>3</w:t>
      </w:r>
      <w:r w:rsidR="00505F13">
        <w:rPr>
          <w:color w:val="000000" w:themeColor="text1"/>
          <w:lang w:val="en-GB"/>
        </w:rPr>
        <w:t>,</w:t>
      </w:r>
      <w:r w:rsidR="00212249">
        <w:rPr>
          <w:color w:val="000000" w:themeColor="text1"/>
          <w:lang w:val="en-GB"/>
        </w:rPr>
        <w:t xml:space="preserve"> together with the bare </w:t>
      </w:r>
      <w:r w:rsidR="00E662B2">
        <w:rPr>
          <w:color w:val="000000" w:themeColor="text1"/>
          <w:lang w:val="en-GB"/>
        </w:rPr>
        <w:t>MHP</w:t>
      </w:r>
      <w:r w:rsidR="00212249">
        <w:rPr>
          <w:color w:val="000000" w:themeColor="text1"/>
          <w:lang w:val="en-GB"/>
        </w:rPr>
        <w:t xml:space="preserve"> using identical laser </w:t>
      </w:r>
      <w:r w:rsidR="00513852">
        <w:rPr>
          <w:color w:val="000000" w:themeColor="text1"/>
          <w:lang w:val="en-GB"/>
        </w:rPr>
        <w:t xml:space="preserve">wavelengths and </w:t>
      </w:r>
      <w:r w:rsidR="00212249">
        <w:rPr>
          <w:color w:val="000000" w:themeColor="text1"/>
          <w:lang w:val="en-GB"/>
        </w:rPr>
        <w:t xml:space="preserve">intensities. </w:t>
      </w:r>
      <w:r w:rsidR="00574F3D">
        <w:rPr>
          <w:color w:val="000000" w:themeColor="text1"/>
          <w:lang w:val="en-GB"/>
        </w:rPr>
        <w:t>T</w:t>
      </w:r>
      <w:r w:rsidR="00212249">
        <w:rPr>
          <w:color w:val="000000" w:themeColor="text1"/>
          <w:lang w:val="en-GB"/>
        </w:rPr>
        <w:t xml:space="preserve">he signal </w:t>
      </w:r>
      <w:r w:rsidR="00513852">
        <w:rPr>
          <w:color w:val="000000" w:themeColor="text1"/>
          <w:lang w:val="en-GB"/>
        </w:rPr>
        <w:t xml:space="preserve">of the bare </w:t>
      </w:r>
      <w:r w:rsidR="00E662B2">
        <w:rPr>
          <w:color w:val="000000" w:themeColor="text1"/>
          <w:lang w:val="en-GB"/>
        </w:rPr>
        <w:t>MHP</w:t>
      </w:r>
      <w:r w:rsidR="00513852">
        <w:rPr>
          <w:color w:val="000000" w:themeColor="text1"/>
          <w:lang w:val="en-GB"/>
        </w:rPr>
        <w:t xml:space="preserve"> layer </w:t>
      </w:r>
      <w:r w:rsidR="00212249">
        <w:rPr>
          <w:color w:val="000000" w:themeColor="text1"/>
          <w:lang w:val="en-GB"/>
        </w:rPr>
        <w:t>is normalised to 1</w:t>
      </w:r>
      <w:r w:rsidR="00513852">
        <w:rPr>
          <w:color w:val="000000" w:themeColor="text1"/>
          <w:lang w:val="en-GB"/>
        </w:rPr>
        <w:t>,</w:t>
      </w:r>
      <w:r w:rsidR="00212249">
        <w:rPr>
          <w:color w:val="000000" w:themeColor="text1"/>
          <w:lang w:val="en-GB"/>
        </w:rPr>
        <w:t xml:space="preserve"> </w:t>
      </w:r>
      <w:r w:rsidR="00574F3D">
        <w:rPr>
          <w:color w:val="000000" w:themeColor="text1"/>
          <w:lang w:val="en-GB"/>
        </w:rPr>
        <w:t xml:space="preserve">and </w:t>
      </w:r>
      <w:r w:rsidR="00212249">
        <w:rPr>
          <w:color w:val="000000" w:themeColor="text1"/>
          <w:lang w:val="en-GB"/>
        </w:rPr>
        <w:t>the bilayer is normalised with the same factor. As discussed previously</w:t>
      </w:r>
      <w:r w:rsidR="00136C94">
        <w:rPr>
          <w:color w:val="000000" w:themeColor="text1"/>
          <w:lang w:val="en-GB"/>
        </w:rPr>
        <w:t>,</w:t>
      </w:r>
      <w:r w:rsidR="00212249">
        <w:rPr>
          <w:color w:val="000000" w:themeColor="text1"/>
          <w:lang w:val="en-GB"/>
        </w:rPr>
        <w:t xml:space="preserve"> </w:t>
      </w:r>
      <w:r w:rsidR="00E21595">
        <w:rPr>
          <w:color w:val="000000" w:themeColor="text1"/>
          <w:lang w:val="en-GB"/>
        </w:rPr>
        <w:t>two</w:t>
      </w:r>
      <w:r w:rsidR="00212249">
        <w:rPr>
          <w:color w:val="000000" w:themeColor="text1"/>
          <w:lang w:val="en-GB"/>
        </w:rPr>
        <w:t xml:space="preserve"> important aspects can be noticed</w:t>
      </w:r>
      <w:r w:rsidR="00136C94">
        <w:rPr>
          <w:color w:val="000000" w:themeColor="text1"/>
          <w:lang w:val="en-GB"/>
        </w:rPr>
        <w:t>;</w:t>
      </w:r>
      <w:r w:rsidR="00683231">
        <w:rPr>
          <w:color w:val="000000" w:themeColor="text1"/>
          <w:lang w:val="en-GB"/>
        </w:rPr>
        <w:fldChar w:fldCharType="begin" w:fldLock="1"/>
      </w:r>
      <w:r w:rsidR="00021102">
        <w:rPr>
          <w:color w:val="000000" w:themeColor="text1"/>
          <w:lang w:val="en-GB"/>
        </w:rPr>
        <w:instrText>ADDIN CSL_CITATION {"citationItems":[{"id":"ITEM-1","itemData":{"DOI":"10.1002/aenm.201602349","ISSN":"16146840","abstract":"Perovskite-based photovoltaics have been rapidly developed, with record power conversion efficiencies now exceeding 22%. In order to rationally design efficient and stable perovskite solar cells, it is important to understand not only charge trapping and recombination events, but also processes occurring at the perovskite/transport material (TM) interface, such as charge transfer and interfacial recombination. In this work, time-resolved microwave conductivity measurements are performed to investigate these interfacial processes for methylammonium lead iodide and various state-of-the-art organic TMs. A global kinetic model is developed, which accurately describes both the dynamics of excess charges in the perovskite layer and transfer to charge-specific TMs. The authors conclude that for state-of-the-art materials, such as Spiro-OMeTAD and PCBM, the charge extraction efficiency is not significantly affected by intra-band gap traps for trap densities under 1015 cm–3. Finally, the transfer rates to C60, PCBM, EDOT-OMeTPA, and Spiro-OMeTAD are sufficient to outcompete second order recombination under excitation densities representative for illumination by AM1.5.","author":[{"dropping-particle":"","family":"Hutter","given":"Eline M.","non-dropping-particle":"","parse-names":false,"suffix":""},{"dropping-particle":"","family":"Hofman","given":"Jan Jaap","non-dropping-particle":"","parse-names":false,"suffix":""},{"dropping-particle":"","family":"Petrus","given":"Michiel L.","non-dropping-particle":"","parse-names":false,"suffix":""},{"dropping-particle":"","family":"Moes","given":"Michiel","non-dropping-particle":"","parse-names":false,"suffix":""},{"dropping-particle":"","family":"Abellón","given":"Ruben D.","non-dropping-particle":"","parse-names":false,"suffix":""},{"dropping-particle":"","family":"Docampo","given":"Pablo","non-dropping-particle":"","parse-names":false,"suffix":""},{"dropping-particle":"","family":"Savenije","given":"Tom J.","non-dropping-particle":"","parse-names":false,"suffix":""}],"container-title":"Advanced Energy Materials","id":"ITEM-1","issue":"13","issued":{"date-parts":[["2017","7","5"]]},"publisher":"Wiley-VCH Verlag","title":"Charge Transfer from Methylammonium Lead Iodide Perovskite to Organic Transport Materials: Efficiencies, Transfer Rates, and Interfacial Recombination","type":"article-journal","volume":"7"},"uris":["http://www.mendeley.com/documents/?uuid=22aa8af2-e4ad-33b5-b1f8-56b60e2ac0e3"]},{"id":"ITEM-2","itemData":{"DOI":"10.1021/acsenergylett.0c02067","ISSN":"23808195","abstract":"To further understand the optoelectronic properties of metal halide perovskites, we investigate sub-bandgap absorption in methylammonium lead iodide (MAPbI3) films. Charge carrier dynamics are studied using time-resolved microwave conductivity measurements using sub-bandgap excitation. From changes in the decay dynamics as a function of excitation energy and intensity, we have identified three regimes: (i) Band-like charge transport at photon energies above 1.48 eV; (ii) a transitional regime between 1.48 and 1.40 eV; and (iii) below 1.40 eV localized optically active defects (8 × 1013 cm-3) dominate the absorption at low intensities, while two-photon absorption is observed at high intensities. We determined an Urbach energy of approximately 11.3 meV, indicative of a low structural and/or thermal disorder. Surprisingly, even excitation 120 meV below the bandgap leads to efficient charge transfer into electron (C60) or hole (spiro-OMeTAD) transport layers. Therefore, we conclude that for MAPbI3, the band tail states do not lead to nonradiative losses.","author":[{"dropping-particle":"","family":"Caselli","given":"Valentina M.","non-dropping-particle":"","parse-names":false,"suffix":""},{"dropping-particle":"","family":"Wei","given":"Zimu","non-dropping-particle":"","parse-names":false,"suffix":""},{"dropping-particle":"","family":"Ackermans","given":"Marnix M.","non-dropping-particle":"","parse-names":false,"suffix":""},{"dropping-particle":"","family":"Hutter","given":"Eline M.","non-dropping-particle":"","parse-names":false,"suffix":""},{"dropping-particle":"","family":"Ehrler","given":"Bruno","non-dropping-particle":"","parse-names":false,"suffix":""},{"dropping-particle":"","family":"Savenije","given":"Tom J.","non-dropping-particle":"","parse-names":false,"suffix":""}],"container-title":"ACS Energy Letters","id":"ITEM-2","issue":"12","issued":{"date-parts":[["2020"]]},"page":"3821-3827","title":"Charge Carrier Dynamics upon Sub-bandgap Excitation in Methylammonium Lead Iodide Thin Films: Effects of Urbach Tail, Deep Defects, and Two-Photon Absorption","type":"article-journal","volume":"5"},"uris":["http://www.mendeley.com/documents/?uuid=171f1041-7b7c-4201-88e7-bdacb445a374"]},{"id":"ITEM-3","itemData":{"DOI":"10.1021/acsami.1c00714","ISSN":"19448252","PMID":"33787206","abstract":"Wide-band-gap perovskites such as methylammonium lead bromide (MAPB) are promising materials for tandem solar cells because of their potentially high open-circuit voltage, which is yet still far below the maximum limit. The relatively short charge-carrier lifetimes deduced from time-resolved photoluminescence (TRPL) measurements seem in strong contrast with the long lifetimes observed with time-resolved photoconductance measurements. This is explained by a large amount of hole defect states, NT &gt; 1016 cm-3, in spin-coated layers of MAPB residing at or near the grain boundaries. The introduction of hypophosphorous acid (HPA) increases the average grain size by a factor of 3 and reduces the total concentration of the trap states by a factor of 10. The introduction of HPA also increases the fraction of initially generated holes that undergo charge transfer to the selective contact, Spiro-OMeTAD (SO), by an order of magnitude. In contrast to methylammonium lead iodide (MAPI)/SO bilayers, a reduction of the carrier lifetime is observed in MAPB/SO bilayers, which is attributed to the fact that injected holes undergo interfacial recombination via these trap states. Our findings provide valuable insight into the optoelectronic properties of bromide-containing lead halide perovskites essential for designing efficient tandem solar cells.","author":[{"dropping-particle":"","family":"Zhao","given":"Jiashang","non-dropping-particle":"","parse-names":false,"suffix":""},{"dropping-particle":"","family":"Caselli","given":"Valentina M.","non-dropping-particle":"","parse-names":false,"suffix":""},{"dropping-particle":"","family":"Bus","given":"Marcel","non-dropping-particle":"","parse-names":false,"suffix":""},{"dropping-particle":"","family":"Boshuizen","given":"Bart","non-dropping-particle":"","parse-names":false,"suffix":""},{"dropping-particle":"","family":"Savenije","given":"Tom J.","non-dropping-particle":"","parse-names":false,"suffix":""}],"container-title":"ACS Applied Materials and Interfaces","id":"ITEM-3","issue":"14","issued":{"date-parts":[["2021","4","14"]]},"page":"16309-16316","publisher":"American Chemical Society","title":"How Deep Hole Traps Affect the Charge Dynamics and Collection in Bare and Bilayers of Methylammonium Lead Bromide","type":"article-journal","volume":"13"},"uris":["http://www.mendeley.com/documents/?uuid=e486d027-0bc0-339c-9728-6646b0f37626"]}],"mendeley":{"formattedCitation":"&lt;sup&gt;[27–29]&lt;/sup&gt;","plainTextFormattedCitation":"[27–29]","previouslyFormattedCitation":"&lt;sup&gt;[27–29]&lt;/sup&gt;"},"properties":{"noteIndex":0},"schema":"https://github.com/citation-style-language/schema/raw/master/csl-citation.json"}</w:instrText>
      </w:r>
      <w:r w:rsidR="00683231">
        <w:rPr>
          <w:color w:val="000000" w:themeColor="text1"/>
          <w:lang w:val="en-GB"/>
        </w:rPr>
        <w:fldChar w:fldCharType="separate"/>
      </w:r>
      <w:r w:rsidR="00021102" w:rsidRPr="00021102">
        <w:rPr>
          <w:noProof/>
          <w:color w:val="000000" w:themeColor="text1"/>
          <w:vertAlign w:val="superscript"/>
          <w:lang w:val="en-GB"/>
        </w:rPr>
        <w:t>[27–29]</w:t>
      </w:r>
      <w:r w:rsidR="00683231">
        <w:rPr>
          <w:color w:val="000000" w:themeColor="text1"/>
          <w:lang w:val="en-GB"/>
        </w:rPr>
        <w:fldChar w:fldCharType="end"/>
      </w:r>
      <w:r w:rsidR="00212249">
        <w:rPr>
          <w:color w:val="000000" w:themeColor="text1"/>
          <w:lang w:val="en-GB"/>
        </w:rPr>
        <w:t xml:space="preserve"> First the signal for all bilayers drops quickly below the signal of the bare perovskite layer. Obviously the </w:t>
      </w:r>
      <w:r w:rsidR="00513852">
        <w:rPr>
          <w:color w:val="000000" w:themeColor="text1"/>
          <w:lang w:val="en-GB"/>
        </w:rPr>
        <w:t>CSTLs</w:t>
      </w:r>
      <w:r w:rsidR="00212249">
        <w:rPr>
          <w:color w:val="000000" w:themeColor="text1"/>
          <w:lang w:val="en-GB"/>
        </w:rPr>
        <w:t xml:space="preserve"> </w:t>
      </w:r>
      <w:r w:rsidR="00513852">
        <w:rPr>
          <w:color w:val="000000" w:themeColor="text1"/>
          <w:lang w:val="en-GB"/>
        </w:rPr>
        <w:t xml:space="preserve">efficiently </w:t>
      </w:r>
      <w:r w:rsidR="00212249">
        <w:rPr>
          <w:color w:val="000000" w:themeColor="text1"/>
          <w:lang w:val="en-GB"/>
        </w:rPr>
        <w:t>extract part of the carriers. Since the mobilit</w:t>
      </w:r>
      <w:r w:rsidR="00513852">
        <w:rPr>
          <w:color w:val="000000" w:themeColor="text1"/>
          <w:lang w:val="en-GB"/>
        </w:rPr>
        <w:t>ies</w:t>
      </w:r>
      <w:r w:rsidR="00212249">
        <w:rPr>
          <w:color w:val="000000" w:themeColor="text1"/>
          <w:lang w:val="en-GB"/>
        </w:rPr>
        <w:t xml:space="preserve"> for electrons in C60 and for holes in spiro</w:t>
      </w:r>
      <w:r w:rsidR="00E42006">
        <w:rPr>
          <w:color w:val="000000" w:themeColor="text1"/>
          <w:lang w:val="en-GB"/>
        </w:rPr>
        <w:t>-</w:t>
      </w:r>
      <w:proofErr w:type="spellStart"/>
      <w:r w:rsidR="00212249">
        <w:rPr>
          <w:color w:val="000000" w:themeColor="text1"/>
          <w:lang w:val="en-GB"/>
        </w:rPr>
        <w:t>OMeTAD</w:t>
      </w:r>
      <w:proofErr w:type="spellEnd"/>
      <w:r w:rsidR="00212249">
        <w:rPr>
          <w:color w:val="000000" w:themeColor="text1"/>
          <w:lang w:val="en-GB"/>
        </w:rPr>
        <w:t xml:space="preserve"> </w:t>
      </w:r>
      <w:r w:rsidR="00513852">
        <w:rPr>
          <w:color w:val="000000" w:themeColor="text1"/>
          <w:lang w:val="en-GB"/>
        </w:rPr>
        <w:t>are</w:t>
      </w:r>
      <w:r w:rsidR="00212249">
        <w:rPr>
          <w:color w:val="000000" w:themeColor="text1"/>
          <w:lang w:val="en-GB"/>
        </w:rPr>
        <w:t xml:space="preserve"> </w:t>
      </w:r>
      <w:r w:rsidR="00513852">
        <w:rPr>
          <w:color w:val="000000" w:themeColor="text1"/>
          <w:lang w:val="en-GB"/>
        </w:rPr>
        <w:t xml:space="preserve">both </w:t>
      </w:r>
      <w:r w:rsidR="00212249">
        <w:rPr>
          <w:color w:val="000000" w:themeColor="text1"/>
          <w:lang w:val="en-GB"/>
        </w:rPr>
        <w:t>smaller</w:t>
      </w:r>
      <w:r w:rsidR="00513852">
        <w:rPr>
          <w:color w:val="000000" w:themeColor="text1"/>
          <w:lang w:val="en-GB"/>
        </w:rPr>
        <w:t xml:space="preserve"> than in the perovskite</w:t>
      </w:r>
      <w:r w:rsidR="00212249">
        <w:rPr>
          <w:color w:val="000000" w:themeColor="text1"/>
          <w:lang w:val="en-GB"/>
        </w:rPr>
        <w:t xml:space="preserve">, the overall </w:t>
      </w:r>
      <w:r w:rsidR="00513852">
        <w:rPr>
          <w:color w:val="000000" w:themeColor="text1"/>
          <w:lang w:val="en-GB"/>
        </w:rPr>
        <w:t xml:space="preserve">TRMC </w:t>
      </w:r>
      <w:r w:rsidR="00212249">
        <w:rPr>
          <w:color w:val="000000" w:themeColor="text1"/>
          <w:lang w:val="en-GB"/>
        </w:rPr>
        <w:t xml:space="preserve">signal lowers. </w:t>
      </w:r>
      <w:r w:rsidR="00513852">
        <w:rPr>
          <w:color w:val="000000" w:themeColor="text1"/>
          <w:lang w:val="en-GB"/>
        </w:rPr>
        <w:t>Thus,</w:t>
      </w:r>
      <w:r w:rsidR="00212249">
        <w:rPr>
          <w:color w:val="000000" w:themeColor="text1"/>
          <w:lang w:val="en-GB"/>
        </w:rPr>
        <w:t xml:space="preserve"> </w:t>
      </w:r>
      <w:r w:rsidR="00CE5F36">
        <w:rPr>
          <w:color w:val="000000" w:themeColor="text1"/>
          <w:lang w:val="en-GB"/>
        </w:rPr>
        <w:t>it is important to realise</w:t>
      </w:r>
      <w:r w:rsidR="00212249">
        <w:rPr>
          <w:color w:val="000000" w:themeColor="text1"/>
          <w:lang w:val="en-GB"/>
        </w:rPr>
        <w:t xml:space="preserve"> that the </w:t>
      </w:r>
      <w:r w:rsidR="00CE5F36">
        <w:rPr>
          <w:color w:val="000000" w:themeColor="text1"/>
          <w:lang w:val="en-GB"/>
        </w:rPr>
        <w:t>predominant</w:t>
      </w:r>
      <w:r w:rsidR="00212249">
        <w:rPr>
          <w:color w:val="000000" w:themeColor="text1"/>
          <w:lang w:val="en-GB"/>
        </w:rPr>
        <w:t xml:space="preserve"> part of the TRMC signal is </w:t>
      </w:r>
      <w:r w:rsidR="00CE5F36">
        <w:rPr>
          <w:color w:val="000000" w:themeColor="text1"/>
          <w:lang w:val="en-GB"/>
        </w:rPr>
        <w:t>due to counter charges remaining in the perovskite. Interestingly</w:t>
      </w:r>
      <w:r w:rsidR="00212249">
        <w:rPr>
          <w:color w:val="000000" w:themeColor="text1"/>
          <w:lang w:val="en-GB"/>
        </w:rPr>
        <w:t xml:space="preserve"> for MAP</w:t>
      </w:r>
      <w:r w:rsidR="008751C9">
        <w:rPr>
          <w:color w:val="000000" w:themeColor="text1"/>
          <w:lang w:val="en-GB"/>
        </w:rPr>
        <w:t>b</w:t>
      </w:r>
      <w:r w:rsidR="00212249">
        <w:rPr>
          <w:color w:val="000000" w:themeColor="text1"/>
          <w:lang w:val="en-GB"/>
        </w:rPr>
        <w:t>I</w:t>
      </w:r>
      <w:r w:rsidR="00212249" w:rsidRPr="00CE5F36">
        <w:rPr>
          <w:color w:val="000000" w:themeColor="text1"/>
          <w:vertAlign w:val="subscript"/>
          <w:lang w:val="en-GB"/>
        </w:rPr>
        <w:t>3</w:t>
      </w:r>
      <w:r w:rsidR="00212249">
        <w:rPr>
          <w:color w:val="000000" w:themeColor="text1"/>
          <w:lang w:val="en-GB"/>
        </w:rPr>
        <w:t xml:space="preserve"> </w:t>
      </w:r>
      <w:r w:rsidR="00136C94">
        <w:rPr>
          <w:color w:val="000000" w:themeColor="text1"/>
          <w:lang w:val="en-GB"/>
        </w:rPr>
        <w:t xml:space="preserve">based bilayers </w:t>
      </w:r>
      <w:r w:rsidR="00CE5F36">
        <w:rPr>
          <w:color w:val="000000" w:themeColor="text1"/>
          <w:lang w:val="en-GB"/>
        </w:rPr>
        <w:t>both insets show that the charge carrier lifetime</w:t>
      </w:r>
      <w:r w:rsidR="00136C94">
        <w:rPr>
          <w:color w:val="000000" w:themeColor="text1"/>
          <w:lang w:val="en-GB"/>
        </w:rPr>
        <w:t>s</w:t>
      </w:r>
      <w:r w:rsidR="00CE5F36">
        <w:rPr>
          <w:color w:val="000000" w:themeColor="text1"/>
          <w:lang w:val="en-GB"/>
        </w:rPr>
        <w:t xml:space="preserve"> extend over many microseconds</w:t>
      </w:r>
      <w:r w:rsidR="00E21595">
        <w:rPr>
          <w:color w:val="000000" w:themeColor="text1"/>
          <w:lang w:val="en-GB"/>
        </w:rPr>
        <w:t>,</w:t>
      </w:r>
      <w:r w:rsidR="00CE5F36">
        <w:rPr>
          <w:color w:val="000000" w:themeColor="text1"/>
          <w:lang w:val="en-GB"/>
        </w:rPr>
        <w:t xml:space="preserve"> implying </w:t>
      </w:r>
      <w:r w:rsidR="00E21595">
        <w:rPr>
          <w:color w:val="000000" w:themeColor="text1"/>
          <w:lang w:val="en-GB"/>
        </w:rPr>
        <w:t xml:space="preserve">that </w:t>
      </w:r>
      <w:r w:rsidR="00CE5F36">
        <w:rPr>
          <w:color w:val="000000" w:themeColor="text1"/>
          <w:lang w:val="en-GB"/>
        </w:rPr>
        <w:t xml:space="preserve">recombination </w:t>
      </w:r>
      <w:r w:rsidR="00513852">
        <w:rPr>
          <w:color w:val="000000" w:themeColor="text1"/>
          <w:lang w:val="en-GB"/>
        </w:rPr>
        <w:t>of</w:t>
      </w:r>
      <w:r w:rsidR="00CE5F36">
        <w:rPr>
          <w:color w:val="000000" w:themeColor="text1"/>
          <w:lang w:val="en-GB"/>
        </w:rPr>
        <w:t xml:space="preserve"> the extracted carrier by the CSTL with the remaining counter</w:t>
      </w:r>
      <w:r w:rsidR="008751C9">
        <w:rPr>
          <w:color w:val="000000" w:themeColor="text1"/>
          <w:lang w:val="en-GB"/>
        </w:rPr>
        <w:t xml:space="preserve"> </w:t>
      </w:r>
      <w:r w:rsidR="00CE5F36">
        <w:rPr>
          <w:color w:val="000000" w:themeColor="text1"/>
          <w:lang w:val="en-GB"/>
        </w:rPr>
        <w:t xml:space="preserve">charge is </w:t>
      </w:r>
      <w:r w:rsidR="00136C94">
        <w:rPr>
          <w:color w:val="000000" w:themeColor="text1"/>
          <w:lang w:val="en-GB"/>
        </w:rPr>
        <w:t xml:space="preserve">rather </w:t>
      </w:r>
      <w:r w:rsidR="00CE5F36">
        <w:rPr>
          <w:color w:val="000000" w:themeColor="text1"/>
          <w:lang w:val="en-GB"/>
        </w:rPr>
        <w:t>slow.</w:t>
      </w:r>
      <w:r w:rsidR="000968EA">
        <w:rPr>
          <w:color w:val="000000" w:themeColor="text1"/>
          <w:lang w:val="en-GB"/>
        </w:rPr>
        <w:t xml:space="preserve"> </w:t>
      </w:r>
      <w:r w:rsidR="00CE5F36">
        <w:rPr>
          <w:color w:val="000000" w:themeColor="text1"/>
          <w:lang w:val="en-GB"/>
        </w:rPr>
        <w:t xml:space="preserve">If full extraction </w:t>
      </w:r>
      <w:r w:rsidR="000968EA">
        <w:rPr>
          <w:color w:val="000000" w:themeColor="text1"/>
          <w:lang w:val="en-GB"/>
        </w:rPr>
        <w:t xml:space="preserve">of either electrons or holes </w:t>
      </w:r>
      <w:r w:rsidR="00CE5F36">
        <w:rPr>
          <w:color w:val="000000" w:themeColor="text1"/>
          <w:lang w:val="en-GB"/>
        </w:rPr>
        <w:t xml:space="preserve">to </w:t>
      </w:r>
      <w:r w:rsidR="000968EA">
        <w:rPr>
          <w:color w:val="000000" w:themeColor="text1"/>
          <w:lang w:val="en-GB"/>
        </w:rPr>
        <w:t xml:space="preserve">a CSTL would occur, </w:t>
      </w:r>
      <w:r w:rsidR="00136C94">
        <w:rPr>
          <w:color w:val="000000" w:themeColor="text1"/>
          <w:lang w:val="en-GB"/>
        </w:rPr>
        <w:t xml:space="preserve">it is feasible to asses </w:t>
      </w:r>
      <w:r w:rsidR="000968EA">
        <w:rPr>
          <w:color w:val="000000" w:themeColor="text1"/>
          <w:lang w:val="en-GB"/>
        </w:rPr>
        <w:t>the mobility of the counter</w:t>
      </w:r>
      <w:r w:rsidR="008751C9">
        <w:rPr>
          <w:color w:val="000000" w:themeColor="text1"/>
          <w:lang w:val="en-GB"/>
        </w:rPr>
        <w:t xml:space="preserve"> </w:t>
      </w:r>
      <w:r w:rsidR="000968EA">
        <w:rPr>
          <w:color w:val="000000" w:themeColor="text1"/>
          <w:lang w:val="en-GB"/>
        </w:rPr>
        <w:t xml:space="preserve">charge. </w:t>
      </w:r>
      <w:r w:rsidR="00136C94">
        <w:rPr>
          <w:color w:val="000000" w:themeColor="text1"/>
          <w:lang w:val="en-GB"/>
        </w:rPr>
        <w:t>However, s</w:t>
      </w:r>
      <w:r w:rsidR="00513852">
        <w:rPr>
          <w:color w:val="000000" w:themeColor="text1"/>
          <w:lang w:val="en-GB"/>
        </w:rPr>
        <w:t>ince apart from charge extraction also charge trapping and band-to-band recombination occurs simultaneously</w:t>
      </w:r>
      <w:r w:rsidR="00CD0A8F">
        <w:rPr>
          <w:color w:val="000000" w:themeColor="text1"/>
          <w:lang w:val="en-GB"/>
        </w:rPr>
        <w:t>,</w:t>
      </w:r>
      <w:r w:rsidR="00513852">
        <w:rPr>
          <w:color w:val="000000" w:themeColor="text1"/>
          <w:lang w:val="en-GB"/>
        </w:rPr>
        <w:t xml:space="preserve"> </w:t>
      </w:r>
      <w:r w:rsidR="00E658A3">
        <w:rPr>
          <w:color w:val="000000" w:themeColor="text1"/>
          <w:lang w:val="en-GB"/>
        </w:rPr>
        <w:t>extraction is most likely not complete. However we do see that similar long-</w:t>
      </w:r>
      <w:r w:rsidR="00E658A3">
        <w:rPr>
          <w:color w:val="000000" w:themeColor="text1"/>
          <w:lang w:val="en-GB"/>
        </w:rPr>
        <w:lastRenderedPageBreak/>
        <w:t>lived signals appear for both CSTLs indicating that extraction for both transport layers takes place and that the charge carrier mobilities are close to balanced.</w:t>
      </w:r>
      <w:r w:rsidR="000A360D">
        <w:rPr>
          <w:color w:val="000000" w:themeColor="text1"/>
          <w:lang w:val="en-GB"/>
        </w:rPr>
        <w:fldChar w:fldCharType="begin" w:fldLock="1"/>
      </w:r>
      <w:r w:rsidR="00021102">
        <w:rPr>
          <w:color w:val="000000" w:themeColor="text1"/>
          <w:lang w:val="en-GB"/>
        </w:rPr>
        <w:instrText>ADDIN CSL_CITATION {"citationItems":[{"id":"ITEM-1","itemData":{"DOI":"10.1021/ja412583t","ISSN":"15205126","PMID":"24654882","abstract":"Organometal halide perovskite-based solar cells have recently been reported to be highly efficient, giving an overall power conversion efficiency of up to 15%. However, much of the fundamental photophysical properties underlying this performance has remained unknown. Here, we apply photoluminescence, transient absorption, time-resolved terahertz and microwave conductivity measurements to determine the time scales of generation and recombination of charge carriers as well as their transport properties in solution-processed CH&lt;inf&gt;3&lt;/inf&gt;NH &lt;inf&gt;3&lt;/inf&gt;PbI&lt;inf&gt;3&lt;/inf&gt; perovskite materials. We found that electron-hole pairs are generated almost instantaneously after photoexcitation and dissociate in 2 ps forming highly mobile charges (25 cm&lt;sup&gt;2&lt;/sup&gt; V&lt;sup&gt;-1&lt;/sup&gt; s &lt;sup&gt;-1&lt;/sup&gt;) in the neat perovskite and in perovskite/alumina blends; almost balanced electron and hole mobilities remain very high up to the microsecond time scale. When the perovskite is introduced into a TiO&lt;inf&gt;2&lt;/inf&gt; mesoporous structure, electron injection from perovskite to the metal oxide is efficient in less than a picosecond, but the lower intrinsic electron mobility of TiO &lt;inf&gt;2&lt;/inf&gt; leads to unbalanced charge transport. Microwave conductivity measurements showed that the decay of mobile charges is very slow in CH &lt;inf&gt;3&lt;/inf&gt;NH&lt;inf&gt;3&lt;/inf&gt;PbI&lt;inf&gt;3&lt;/inf&gt;, lasting up to tens of microseconds. These results unravel the remarkable intrinsic properties of CH &lt;inf&gt;3&lt;/inf&gt;NH&lt;inf&gt;3&lt;/inf&gt;PbI&lt;inf&gt;3&lt;/inf&gt; perovskite material if used as light absorber and charge transport layer. Moreover, finding a metal oxide with higher electron mobility may further increase the performance of this class of solar cells. © 2014 American Chemical Society.","author":[{"dropping-particle":"","family":"Ponseca","given":"Carlito S.","non-dropping-particle":"","parse-names":false,"suffix":""},{"dropping-particle":"","family":"Savenije","given":"Tom J.","non-dropping-particle":"","parse-names":false,"suffix":""},{"dropping-particle":"","family":"Abdellah","given":"Mohamed","non-dropping-particle":"","parse-names":false,"suffix":""},{"dropping-particle":"","family":"Zheng","given":"Kaibo","non-dropping-particle":"","parse-names":false,"suffix":""},{"dropping-particle":"","family":"Yartsev","given":"Arkady","non-dropping-particle":"","parse-names":false,"suffix":""},{"dropping-particle":"","family":"Pascher","given":"Tobjörn","non-dropping-particle":"","parse-names":false,"suffix":""},{"dropping-particle":"","family":"Harlang","given":"Tobias","non-dropping-particle":"","parse-names":false,"suffix":""},{"dropping-particle":"","family":"Chabera","given":"Pavel","non-dropping-particle":"","parse-names":false,"suffix":""},{"dropping-particle":"","family":"Pullerits","given":"Tonu","non-dropping-particle":"","parse-names":false,"suffix":""},{"dropping-particle":"","family":"Stepanov","given":"Andrey","non-dropping-particle":"","parse-names":false,"suffix":""},{"dropping-particle":"","family":"Wolf","given":"Jean Pierre","non-dropping-particle":"","parse-names":false,"suffix":""},{"dropping-particle":"","family":"Sundström","given":"Villy","non-dropping-particle":"","parse-names":false,"suffix":""}],"container-title":"Journal of the American Chemical Society","id":"ITEM-1","issue":"14","issued":{"date-parts":[["2014"]]},"page":"5189-5192","title":"Organometal halide perovskite solar cell materials rationalized: Ultrafast charge generation, high and microsecond-long balanced mobilities, and slow recombination","type":"article-journal","volume":"136"},"uris":["http://www.mendeley.com/documents/?uuid=62b3c520-ade7-4d58-8825-74a311e745c3"]}],"mendeley":{"formattedCitation":"&lt;sup&gt;[30]&lt;/sup&gt;","plainTextFormattedCitation":"[30]","previouslyFormattedCitation":"&lt;sup&gt;[30]&lt;/sup&gt;"},"properties":{"noteIndex":0},"schema":"https://github.com/citation-style-language/schema/raw/master/csl-citation.json"}</w:instrText>
      </w:r>
      <w:r w:rsidR="000A360D">
        <w:rPr>
          <w:color w:val="000000" w:themeColor="text1"/>
          <w:lang w:val="en-GB"/>
        </w:rPr>
        <w:fldChar w:fldCharType="separate"/>
      </w:r>
      <w:r w:rsidR="00021102" w:rsidRPr="00021102">
        <w:rPr>
          <w:noProof/>
          <w:color w:val="000000" w:themeColor="text1"/>
          <w:vertAlign w:val="superscript"/>
          <w:lang w:val="en-GB"/>
        </w:rPr>
        <w:t>[30]</w:t>
      </w:r>
      <w:r w:rsidR="000A360D">
        <w:rPr>
          <w:color w:val="000000" w:themeColor="text1"/>
          <w:lang w:val="en-GB"/>
        </w:rPr>
        <w:fldChar w:fldCharType="end"/>
      </w:r>
      <w:r w:rsidR="00E658A3">
        <w:rPr>
          <w:color w:val="000000" w:themeColor="text1"/>
          <w:lang w:val="en-GB"/>
        </w:rPr>
        <w:t xml:space="preserve"> </w:t>
      </w:r>
      <w:r w:rsidR="000968EA">
        <w:rPr>
          <w:color w:val="000000" w:themeColor="text1"/>
          <w:lang w:val="en-GB"/>
        </w:rPr>
        <w:t xml:space="preserve">In </w:t>
      </w:r>
      <w:r w:rsidR="00E658A3">
        <w:rPr>
          <w:color w:val="000000" w:themeColor="text1"/>
          <w:lang w:val="en-GB"/>
        </w:rPr>
        <w:t>conclusion</w:t>
      </w:r>
      <w:r w:rsidR="000968EA">
        <w:rPr>
          <w:color w:val="000000" w:themeColor="text1"/>
          <w:lang w:val="en-GB"/>
        </w:rPr>
        <w:t xml:space="preserve"> we can state that </w:t>
      </w:r>
      <w:r w:rsidR="00E658A3">
        <w:rPr>
          <w:color w:val="000000" w:themeColor="text1"/>
          <w:lang w:val="en-GB"/>
        </w:rPr>
        <w:t>for MAP</w:t>
      </w:r>
      <w:r w:rsidR="00074D57">
        <w:rPr>
          <w:color w:val="000000" w:themeColor="text1"/>
          <w:lang w:val="en-GB"/>
        </w:rPr>
        <w:t>b</w:t>
      </w:r>
      <w:r w:rsidR="00E658A3">
        <w:rPr>
          <w:color w:val="000000" w:themeColor="text1"/>
          <w:lang w:val="en-GB"/>
        </w:rPr>
        <w:t>I</w:t>
      </w:r>
      <w:r w:rsidR="00E658A3" w:rsidRPr="00CE5F36">
        <w:rPr>
          <w:color w:val="000000" w:themeColor="text1"/>
          <w:vertAlign w:val="subscript"/>
          <w:lang w:val="en-GB"/>
        </w:rPr>
        <w:t>3</w:t>
      </w:r>
      <w:r w:rsidR="00E658A3">
        <w:rPr>
          <w:color w:val="000000" w:themeColor="text1"/>
          <w:lang w:val="en-GB"/>
        </w:rPr>
        <w:t xml:space="preserve"> </w:t>
      </w:r>
      <w:r w:rsidR="00E21595">
        <w:rPr>
          <w:color w:val="000000" w:themeColor="text1"/>
          <w:lang w:val="en-GB"/>
        </w:rPr>
        <w:t xml:space="preserve">both </w:t>
      </w:r>
      <w:r w:rsidR="000968EA">
        <w:rPr>
          <w:color w:val="000000" w:themeColor="text1"/>
          <w:lang w:val="en-GB"/>
        </w:rPr>
        <w:t>charge carriers are both extracted efficiently</w:t>
      </w:r>
      <w:r w:rsidR="00E658A3">
        <w:rPr>
          <w:color w:val="000000" w:themeColor="text1"/>
          <w:lang w:val="en-GB"/>
        </w:rPr>
        <w:t xml:space="preserve"> and that charge carrier mobilities are comparable. Th</w:t>
      </w:r>
      <w:r w:rsidR="00CD0A8F">
        <w:rPr>
          <w:color w:val="000000" w:themeColor="text1"/>
          <w:lang w:val="en-GB"/>
        </w:rPr>
        <w:t>e latter</w:t>
      </w:r>
      <w:r w:rsidR="00E658A3">
        <w:rPr>
          <w:color w:val="000000" w:themeColor="text1"/>
          <w:lang w:val="en-GB"/>
        </w:rPr>
        <w:t xml:space="preserve"> is in line with the results from the fits to the bare layers.</w:t>
      </w:r>
    </w:p>
    <w:p w14:paraId="1F003AB0" w14:textId="4AAE3128" w:rsidR="00E658A3" w:rsidRPr="00D41C25" w:rsidRDefault="00D41C25" w:rsidP="00B91F37">
      <w:pPr>
        <w:spacing w:line="480" w:lineRule="auto"/>
        <w:jc w:val="both"/>
        <w:rPr>
          <w:color w:val="000000" w:themeColor="text1"/>
          <w:lang w:val="en-GB"/>
        </w:rPr>
      </w:pPr>
      <w:r>
        <w:rPr>
          <w:color w:val="000000" w:themeColor="text1"/>
          <w:lang w:val="en-GB"/>
        </w:rPr>
        <w:t>Finally,</w:t>
      </w:r>
      <w:r w:rsidR="00E658A3">
        <w:rPr>
          <w:color w:val="000000" w:themeColor="text1"/>
          <w:lang w:val="en-GB"/>
        </w:rPr>
        <w:t xml:space="preserve"> we observe a very different behaviour for the </w:t>
      </w:r>
      <w:r>
        <w:rPr>
          <w:color w:val="000000" w:themeColor="text1"/>
          <w:lang w:val="en-GB"/>
        </w:rPr>
        <w:t>bilayers with MAPbBr</w:t>
      </w:r>
      <w:r w:rsidRPr="00513852">
        <w:rPr>
          <w:color w:val="000000" w:themeColor="text1"/>
          <w:vertAlign w:val="subscript"/>
          <w:lang w:val="en-GB"/>
        </w:rPr>
        <w:t>3</w:t>
      </w:r>
      <w:r>
        <w:rPr>
          <w:color w:val="000000" w:themeColor="text1"/>
          <w:lang w:val="en-GB"/>
        </w:rPr>
        <w:t>. For MAPbBr</w:t>
      </w:r>
      <w:r w:rsidRPr="00513852">
        <w:rPr>
          <w:color w:val="000000" w:themeColor="text1"/>
          <w:vertAlign w:val="subscript"/>
          <w:lang w:val="en-GB"/>
        </w:rPr>
        <w:t>3</w:t>
      </w:r>
      <w:r>
        <w:rPr>
          <w:color w:val="000000" w:themeColor="text1"/>
          <w:lang w:val="en-GB"/>
        </w:rPr>
        <w:t>/C60 the signal drops down quickly to almost zero, while for the MAPbBr</w:t>
      </w:r>
      <w:r w:rsidRPr="00513852">
        <w:rPr>
          <w:color w:val="000000" w:themeColor="text1"/>
          <w:vertAlign w:val="subscript"/>
          <w:lang w:val="en-GB"/>
        </w:rPr>
        <w:t>3</w:t>
      </w:r>
      <w:r>
        <w:rPr>
          <w:color w:val="000000" w:themeColor="text1"/>
          <w:lang w:val="en-GB"/>
        </w:rPr>
        <w:t>/spiro-</w:t>
      </w:r>
      <w:proofErr w:type="spellStart"/>
      <w:r>
        <w:rPr>
          <w:color w:val="000000" w:themeColor="text1"/>
          <w:lang w:val="en-GB"/>
        </w:rPr>
        <w:t>OMeTAD</w:t>
      </w:r>
      <w:proofErr w:type="spellEnd"/>
      <w:r>
        <w:rPr>
          <w:color w:val="000000" w:themeColor="text1"/>
          <w:lang w:val="en-GB"/>
        </w:rPr>
        <w:t xml:space="preserve"> the differences with the bare layer are limited. Combining this information with the results from the fits from Section </w:t>
      </w:r>
      <w:r w:rsidR="00CD0A8F">
        <w:rPr>
          <w:color w:val="000000" w:themeColor="text1"/>
          <w:lang w:val="en-GB"/>
        </w:rPr>
        <w:t>3</w:t>
      </w:r>
      <w:r w:rsidR="00E42006">
        <w:rPr>
          <w:color w:val="000000" w:themeColor="text1"/>
          <w:lang w:val="en-GB"/>
        </w:rPr>
        <w:t>,</w:t>
      </w:r>
      <w:r>
        <w:rPr>
          <w:color w:val="000000" w:themeColor="text1"/>
          <w:lang w:val="en-GB"/>
        </w:rPr>
        <w:t xml:space="preserve"> which revealed large amounts of deep trap states</w:t>
      </w:r>
      <w:r w:rsidR="00CD0A8F">
        <w:rPr>
          <w:color w:val="000000" w:themeColor="text1"/>
          <w:lang w:val="en-GB"/>
        </w:rPr>
        <w:t>,</w:t>
      </w:r>
      <w:r>
        <w:rPr>
          <w:color w:val="000000" w:themeColor="text1"/>
          <w:lang w:val="en-GB"/>
        </w:rPr>
        <w:t xml:space="preserve"> we can conclude that the</w:t>
      </w:r>
      <w:r w:rsidR="00E42006">
        <w:rPr>
          <w:color w:val="000000" w:themeColor="text1"/>
          <w:lang w:val="en-GB"/>
        </w:rPr>
        <w:t>se</w:t>
      </w:r>
      <w:r>
        <w:rPr>
          <w:color w:val="000000" w:themeColor="text1"/>
          <w:lang w:val="en-GB"/>
        </w:rPr>
        <w:t xml:space="preserve"> states </w:t>
      </w:r>
      <w:r w:rsidR="00E42006">
        <w:rPr>
          <w:color w:val="000000" w:themeColor="text1"/>
          <w:lang w:val="en-GB"/>
        </w:rPr>
        <w:t>form</w:t>
      </w:r>
      <w:r>
        <w:rPr>
          <w:color w:val="000000" w:themeColor="text1"/>
          <w:lang w:val="en-GB"/>
        </w:rPr>
        <w:t xml:space="preserve"> </w:t>
      </w:r>
      <w:r w:rsidR="00E42006">
        <w:rPr>
          <w:color w:val="000000" w:themeColor="text1"/>
          <w:lang w:val="en-GB"/>
        </w:rPr>
        <w:t xml:space="preserve">traps for </w:t>
      </w:r>
      <w:r>
        <w:rPr>
          <w:color w:val="000000" w:themeColor="text1"/>
          <w:lang w:val="en-GB"/>
        </w:rPr>
        <w:t xml:space="preserve">holes and </w:t>
      </w:r>
      <w:r w:rsidR="00E42006">
        <w:rPr>
          <w:color w:val="000000" w:themeColor="text1"/>
          <w:lang w:val="en-GB"/>
        </w:rPr>
        <w:t xml:space="preserve">the </w:t>
      </w:r>
      <w:r>
        <w:rPr>
          <w:color w:val="000000" w:themeColor="text1"/>
          <w:lang w:val="en-GB"/>
        </w:rPr>
        <w:t xml:space="preserve">majority </w:t>
      </w:r>
      <w:r w:rsidR="007E3164">
        <w:rPr>
          <w:color w:val="000000" w:themeColor="text1"/>
          <w:lang w:val="en-GB"/>
        </w:rPr>
        <w:t xml:space="preserve">mobile </w:t>
      </w:r>
      <w:r>
        <w:rPr>
          <w:color w:val="000000" w:themeColor="text1"/>
          <w:lang w:val="en-GB"/>
        </w:rPr>
        <w:t xml:space="preserve">carriers are electrons. </w:t>
      </w:r>
      <w:r w:rsidR="007E3164">
        <w:rPr>
          <w:color w:val="000000" w:themeColor="text1"/>
          <w:lang w:val="en-GB"/>
        </w:rPr>
        <w:t xml:space="preserve">This can be rationalized as follows: </w:t>
      </w:r>
      <w:r w:rsidR="00E42006">
        <w:rPr>
          <w:color w:val="000000" w:themeColor="text1"/>
          <w:lang w:val="en-GB"/>
        </w:rPr>
        <w:t>Optical excitation of MAPbBr</w:t>
      </w:r>
      <w:r w:rsidR="00E42006" w:rsidRPr="00513852">
        <w:rPr>
          <w:color w:val="000000" w:themeColor="text1"/>
          <w:vertAlign w:val="subscript"/>
          <w:lang w:val="en-GB"/>
        </w:rPr>
        <w:t>3</w:t>
      </w:r>
      <w:r>
        <w:rPr>
          <w:color w:val="000000" w:themeColor="text1"/>
          <w:lang w:val="en-GB"/>
        </w:rPr>
        <w:t xml:space="preserve"> </w:t>
      </w:r>
      <w:r w:rsidR="00E42006">
        <w:rPr>
          <w:color w:val="000000" w:themeColor="text1"/>
          <w:lang w:val="en-GB"/>
        </w:rPr>
        <w:t>leads to generation of excess carriers of which the holes are quickly trapped. These trapped holes are not able to get extracted by the Spir</w:t>
      </w:r>
      <w:r w:rsidR="00993169">
        <w:rPr>
          <w:color w:val="000000" w:themeColor="text1"/>
          <w:lang w:val="en-GB"/>
        </w:rPr>
        <w:t>o</w:t>
      </w:r>
      <w:r w:rsidR="00E42006">
        <w:rPr>
          <w:color w:val="000000" w:themeColor="text1"/>
          <w:lang w:val="en-GB"/>
        </w:rPr>
        <w:t>-</w:t>
      </w:r>
      <w:proofErr w:type="spellStart"/>
      <w:r w:rsidR="00E42006">
        <w:rPr>
          <w:color w:val="000000" w:themeColor="text1"/>
          <w:lang w:val="en-GB"/>
        </w:rPr>
        <w:t>OMeTAD</w:t>
      </w:r>
      <w:proofErr w:type="spellEnd"/>
      <w:r w:rsidR="007E3164">
        <w:rPr>
          <w:color w:val="000000" w:themeColor="text1"/>
          <w:lang w:val="en-GB"/>
        </w:rPr>
        <w:t>,</w:t>
      </w:r>
      <w:r w:rsidR="00E42006">
        <w:rPr>
          <w:color w:val="000000" w:themeColor="text1"/>
          <w:lang w:val="en-GB"/>
        </w:rPr>
        <w:t xml:space="preserve"> while the C60 rapidly extracts the electrons. In the latter bilayer we conclude that no highly mobile carriers remain</w:t>
      </w:r>
      <w:r w:rsidR="007E3164">
        <w:rPr>
          <w:color w:val="000000" w:themeColor="text1"/>
          <w:lang w:val="en-GB"/>
        </w:rPr>
        <w:t>,</w:t>
      </w:r>
      <w:r w:rsidR="00E42006">
        <w:rPr>
          <w:color w:val="000000" w:themeColor="text1"/>
          <w:lang w:val="en-GB"/>
        </w:rPr>
        <w:t xml:space="preserve"> </w:t>
      </w:r>
      <w:r w:rsidR="004B2402">
        <w:rPr>
          <w:color w:val="000000" w:themeColor="text1"/>
          <w:lang w:val="en-GB"/>
        </w:rPr>
        <w:t xml:space="preserve">since the </w:t>
      </w:r>
      <w:r w:rsidR="002137BA">
        <w:rPr>
          <w:color w:val="000000" w:themeColor="text1"/>
          <w:lang w:val="en-GB"/>
        </w:rPr>
        <w:t>mobility in C60 is &lt;1 cm</w:t>
      </w:r>
      <w:r w:rsidR="002137BA" w:rsidRPr="00993169">
        <w:rPr>
          <w:color w:val="000000" w:themeColor="text1"/>
          <w:vertAlign w:val="superscript"/>
          <w:lang w:val="en-GB"/>
        </w:rPr>
        <w:t>2</w:t>
      </w:r>
      <w:r w:rsidR="002137BA">
        <w:rPr>
          <w:color w:val="000000" w:themeColor="text1"/>
          <w:lang w:val="en-GB"/>
        </w:rPr>
        <w:t xml:space="preserve">/Vs and the corresponding holes are </w:t>
      </w:r>
      <w:r w:rsidR="007E3164">
        <w:rPr>
          <w:color w:val="000000" w:themeColor="text1"/>
          <w:lang w:val="en-GB"/>
        </w:rPr>
        <w:t xml:space="preserve">rapidly </w:t>
      </w:r>
      <w:r w:rsidR="002137BA">
        <w:rPr>
          <w:color w:val="000000" w:themeColor="text1"/>
          <w:lang w:val="en-GB"/>
        </w:rPr>
        <w:t>trapped in MAPbBr</w:t>
      </w:r>
      <w:r w:rsidR="002137BA" w:rsidRPr="00513852">
        <w:rPr>
          <w:color w:val="000000" w:themeColor="text1"/>
          <w:vertAlign w:val="subscript"/>
          <w:lang w:val="en-GB"/>
        </w:rPr>
        <w:t>3</w:t>
      </w:r>
      <w:r w:rsidR="002137BA">
        <w:rPr>
          <w:color w:val="000000" w:themeColor="text1"/>
          <w:lang w:val="en-GB"/>
        </w:rPr>
        <w:t xml:space="preserve">, </w:t>
      </w:r>
      <w:r w:rsidR="00E42006">
        <w:rPr>
          <w:color w:val="000000" w:themeColor="text1"/>
          <w:lang w:val="en-GB"/>
        </w:rPr>
        <w:t>explain</w:t>
      </w:r>
      <w:r w:rsidR="00B10021">
        <w:rPr>
          <w:color w:val="000000" w:themeColor="text1"/>
          <w:lang w:val="en-GB"/>
        </w:rPr>
        <w:t>ing</w:t>
      </w:r>
      <w:r w:rsidR="00E42006">
        <w:rPr>
          <w:color w:val="000000" w:themeColor="text1"/>
          <w:lang w:val="en-GB"/>
        </w:rPr>
        <w:t xml:space="preserve"> the </w:t>
      </w:r>
      <w:r w:rsidR="007E3164">
        <w:rPr>
          <w:color w:val="000000" w:themeColor="text1"/>
          <w:lang w:val="en-GB"/>
        </w:rPr>
        <w:t xml:space="preserve">fast </w:t>
      </w:r>
      <w:r w:rsidR="00E42006">
        <w:rPr>
          <w:color w:val="000000" w:themeColor="text1"/>
          <w:lang w:val="en-GB"/>
        </w:rPr>
        <w:t xml:space="preserve">decaying signal. </w:t>
      </w:r>
      <w:r w:rsidR="00490763" w:rsidRPr="00490763">
        <w:rPr>
          <w:color w:val="000000" w:themeColor="text1"/>
          <w:lang w:val="en-GB"/>
        </w:rPr>
        <w:t>These observations can explain the typically poor performances observed for solar cells based on</w:t>
      </w:r>
      <w:r w:rsidR="00490763">
        <w:rPr>
          <w:color w:val="FF0000"/>
          <w:lang w:val="en-GB"/>
        </w:rPr>
        <w:t xml:space="preserve"> </w:t>
      </w:r>
      <w:r w:rsidR="00490763">
        <w:rPr>
          <w:color w:val="000000" w:themeColor="text1"/>
          <w:lang w:val="en-GB"/>
        </w:rPr>
        <w:t>MAPbBr</w:t>
      </w:r>
      <w:r w:rsidR="00490763" w:rsidRPr="00513852">
        <w:rPr>
          <w:color w:val="000000" w:themeColor="text1"/>
          <w:vertAlign w:val="subscript"/>
          <w:lang w:val="en-GB"/>
        </w:rPr>
        <w:t>3</w:t>
      </w:r>
      <w:r w:rsidR="00490763">
        <w:rPr>
          <w:color w:val="000000" w:themeColor="text1"/>
          <w:lang w:val="en-GB"/>
        </w:rPr>
        <w:t xml:space="preserve">. </w:t>
      </w:r>
      <w:r w:rsidR="00E42006">
        <w:rPr>
          <w:color w:val="000000" w:themeColor="text1"/>
          <w:lang w:val="en-GB"/>
        </w:rPr>
        <w:t xml:space="preserve">Hence </w:t>
      </w:r>
      <w:r w:rsidR="00B10021">
        <w:rPr>
          <w:color w:val="000000" w:themeColor="text1"/>
          <w:lang w:val="en-GB"/>
        </w:rPr>
        <w:t xml:space="preserve">by combining the perovskite layer with transport layers specific information can be obtained regarding the type of </w:t>
      </w:r>
      <w:r w:rsidR="002137BA">
        <w:rPr>
          <w:color w:val="000000" w:themeColor="text1"/>
          <w:lang w:val="en-GB"/>
        </w:rPr>
        <w:t xml:space="preserve">minority carriers and of </w:t>
      </w:r>
      <w:r w:rsidR="00B10021">
        <w:rPr>
          <w:color w:val="000000" w:themeColor="text1"/>
          <w:lang w:val="en-GB"/>
        </w:rPr>
        <w:t xml:space="preserve">deep traps. </w:t>
      </w:r>
    </w:p>
    <w:p w14:paraId="2433703C" w14:textId="4FF0C8DC" w:rsidR="006700D4" w:rsidRDefault="006700D4" w:rsidP="00B91F37">
      <w:pPr>
        <w:spacing w:line="480" w:lineRule="auto"/>
        <w:jc w:val="both"/>
        <w:rPr>
          <w:color w:val="000000"/>
          <w:lang w:val="en-GB"/>
        </w:rPr>
      </w:pPr>
    </w:p>
    <w:p w14:paraId="58022D1F" w14:textId="49D93264" w:rsidR="00DF6B43" w:rsidRPr="003C189C" w:rsidRDefault="00993169" w:rsidP="00B91F37">
      <w:pPr>
        <w:spacing w:line="480" w:lineRule="auto"/>
        <w:jc w:val="both"/>
        <w:rPr>
          <w:lang w:val="en-GB"/>
        </w:rPr>
      </w:pPr>
      <w:r>
        <w:rPr>
          <w:color w:val="000000"/>
          <w:lang w:val="en-GB"/>
        </w:rPr>
        <w:t xml:space="preserve">In </w:t>
      </w:r>
      <w:r w:rsidR="00E21595">
        <w:rPr>
          <w:color w:val="000000"/>
          <w:lang w:val="en-GB"/>
        </w:rPr>
        <w:t xml:space="preserve">the first two sections of </w:t>
      </w:r>
      <w:r>
        <w:rPr>
          <w:color w:val="000000"/>
          <w:lang w:val="en-GB"/>
        </w:rPr>
        <w:t xml:space="preserve">this chapter we presented </w:t>
      </w:r>
      <w:r w:rsidR="00E21595">
        <w:rPr>
          <w:color w:val="000000"/>
          <w:lang w:val="en-GB"/>
        </w:rPr>
        <w:t xml:space="preserve">the </w:t>
      </w:r>
      <w:r>
        <w:rPr>
          <w:color w:val="000000"/>
          <w:lang w:val="en-GB"/>
        </w:rPr>
        <w:t>basics of the time</w:t>
      </w:r>
      <w:r w:rsidR="002275C3">
        <w:rPr>
          <w:color w:val="000000"/>
          <w:lang w:val="en-GB"/>
        </w:rPr>
        <w:t>-</w:t>
      </w:r>
      <w:r>
        <w:rPr>
          <w:color w:val="000000"/>
          <w:lang w:val="en-GB"/>
        </w:rPr>
        <w:t xml:space="preserve">resolved microwave technique and the analysis of decay </w:t>
      </w:r>
      <w:r w:rsidR="002275C3">
        <w:rPr>
          <w:color w:val="000000"/>
          <w:lang w:val="en-GB"/>
        </w:rPr>
        <w:t>kinetics</w:t>
      </w:r>
      <w:r>
        <w:rPr>
          <w:color w:val="000000"/>
          <w:lang w:val="en-GB"/>
        </w:rPr>
        <w:t>.</w:t>
      </w:r>
      <w:r w:rsidR="002275C3">
        <w:rPr>
          <w:color w:val="000000"/>
          <w:lang w:val="en-GB"/>
        </w:rPr>
        <w:t xml:space="preserve"> </w:t>
      </w:r>
      <w:r w:rsidR="00A861C4" w:rsidRPr="00B82764">
        <w:rPr>
          <w:color w:val="000000"/>
          <w:lang w:val="en-GB"/>
        </w:rPr>
        <w:t>TRMC is a contactless technique and thus, it does not require prolonged exposure to electric fields that can potentially lead to ion migration</w:t>
      </w:r>
      <w:r w:rsidR="002275C3">
        <w:rPr>
          <w:color w:val="000000"/>
          <w:lang w:val="en-GB"/>
        </w:rPr>
        <w:t xml:space="preserve"> in perovskites</w:t>
      </w:r>
      <w:r w:rsidR="00CD0A8F">
        <w:rPr>
          <w:color w:val="000000"/>
          <w:lang w:val="en-GB"/>
        </w:rPr>
        <w:t xml:space="preserve"> making it a very attractive method to study charge dynamics</w:t>
      </w:r>
      <w:r w:rsidR="00A861C4" w:rsidRPr="00B82764">
        <w:rPr>
          <w:color w:val="000000"/>
          <w:lang w:val="en-GB"/>
        </w:rPr>
        <w:t>.</w:t>
      </w:r>
      <w:r w:rsidR="000A360D">
        <w:rPr>
          <w:color w:val="000000"/>
          <w:lang w:val="en-GB"/>
        </w:rPr>
        <w:fldChar w:fldCharType="begin" w:fldLock="1"/>
      </w:r>
      <w:r w:rsidR="00021102">
        <w:rPr>
          <w:color w:val="000000"/>
          <w:lang w:val="en-GB"/>
        </w:rPr>
        <w:instrText>ADDIN CSL_CITATION {"citationItems":[{"id":"ITEM-1","itemData":{"DOI":"10.1039/c9mh00445a","ISSN":"20516355","abstract":"Ion migration in halide perovskite films leads to device degradation and impedes large scale commercial applications. We use transient ion-drift measurements to quantify activation energy, diffusion coefficient, and concentration of mobile ions in methylammonium lead triiodide (MAPbI3) perovskite solar cells, and find that their properties change close to the tetragonal-to-orthorhombic phase transition temperature. We identify three migrating ion species which we attribute to the migration of iodide (I-) and methylammonium (MA+). We find that the concentration of mobile MA+ ions is one order of magnitude higher than the one of mobile I- ions, and that the diffusion coefficient of mobile MA+ ions is three orders of magnitude lower than the one for mobile I- ions in our samples. This quantification of mobile ions in MAPbI3 will lead to a better understanding of ion migration and its role in operation and degradation of perovskite solar cells.","author":[{"dropping-particle":"","family":"Futscher","given":"Moritz H.","non-dropping-particle":"","parse-names":false,"suffix":""},{"dropping-particle":"","family":"Lee","given":"Ju Min","non-dropping-particle":"","parse-names":false,"suffix":""},{"dropping-particle":"","family":"McGovern","given":"Lucie","non-dropping-particle":"","parse-names":false,"suffix":""},{"dropping-particle":"","family":"Muscarella","given":"Loreta A.","non-dropping-particle":"","parse-names":false,"suffix":""},{"dropping-particle":"","family":"Wang","given":"Tianyi","non-dropping-particle":"","parse-names":false,"suffix":""},{"dropping-particle":"","family":"Haider","given":"Muhammad Irfan","non-dropping-particle":"","parse-names":false,"suffix":""},{"dropping-particle":"","family":"Fakharuddin","given":"Azhar","non-dropping-particle":"","parse-names":false,"suffix":""},{"dropping-particle":"","family":"Schmidt-Mende","given":"Lukas","non-dropping-particle":"","parse-names":false,"suffix":""},{"dropping-particle":"","family":"Ehrler","given":"Bruno","non-dropping-particle":"","parse-names":false,"suffix":""}],"container-title":"Materials Horizons","id":"ITEM-1","issue":"7","issued":{"date-parts":[["2019"]]},"page":"1497-1503","publisher":"Royal Society of Chemistry","title":"Quantification of ion migration in CH3NH3PbI3 perovskite solar cells by transient capacitance measurements","type":"article-journal","volume":"6"},"uris":["http://www.mendeley.com/documents/?uuid=0c40d9a1-8139-46ff-8912-fd8da82a9a33"]}],"mendeley":{"formattedCitation":"&lt;sup&gt;[31]&lt;/sup&gt;","plainTextFormattedCitation":"[31]","previouslyFormattedCitation":"&lt;sup&gt;[31]&lt;/sup&gt;"},"properties":{"noteIndex":0},"schema":"https://github.com/citation-style-language/schema/raw/master/csl-citation.json"}</w:instrText>
      </w:r>
      <w:r w:rsidR="000A360D">
        <w:rPr>
          <w:color w:val="000000"/>
          <w:lang w:val="en-GB"/>
        </w:rPr>
        <w:fldChar w:fldCharType="separate"/>
      </w:r>
      <w:r w:rsidR="00021102" w:rsidRPr="00021102">
        <w:rPr>
          <w:noProof/>
          <w:color w:val="000000"/>
          <w:vertAlign w:val="superscript"/>
          <w:lang w:val="en-GB"/>
        </w:rPr>
        <w:t>[31]</w:t>
      </w:r>
      <w:r w:rsidR="000A360D">
        <w:rPr>
          <w:color w:val="000000"/>
          <w:lang w:val="en-GB"/>
        </w:rPr>
        <w:fldChar w:fldCharType="end"/>
      </w:r>
      <w:r w:rsidR="00A861C4" w:rsidRPr="00B82764">
        <w:rPr>
          <w:color w:val="000000"/>
          <w:lang w:val="en-GB"/>
        </w:rPr>
        <w:t xml:space="preserve"> Additionally, photogeneration can occur over a broad range of intensities in the 1-sun equivalent regime.</w:t>
      </w:r>
      <w:r w:rsidR="000A360D">
        <w:rPr>
          <w:color w:val="000000"/>
          <w:lang w:val="en-GB"/>
        </w:rPr>
        <w:fldChar w:fldCharType="begin" w:fldLock="1"/>
      </w:r>
      <w:r w:rsidR="00021102">
        <w:rPr>
          <w:color w:val="000000"/>
          <w:lang w:val="en-GB"/>
        </w:rPr>
        <w:instrText>ADDIN CSL_CITATION {"citationItems":[{"id":"ITEM-1","itemData":{"DOI":"10.1063/1.5037637","ISSN":"10897550","abstract":"Time-resolved, pulsed excitation methods are widely used to deduce optoelectronic properties of semiconductors, including now also Halide Perovskites (HaPs), especially transport properties. However, as yet, no evaluation of their amenability and justification for the use of the results for the above-noted purposes has been reported. To check if we can learn from pulsed measurement results about steady-state phototransport properties, we show here that, although pulsed measurements can be useful to extract information on the recombination kinetics of HaPs, great care should be taken. One issue is that no changes in the material are induced during or as a result of the excitation, and another one concerns in how far pulsed excitation-derived data can be used to find relevant steady-state parameters. To answer the latter question, we revisited pulsed excitation and propose a novel way to compare between pulsed and steady state measurements at different excitation intensities. We performed steady-state photoconductivity and ambipolar diffusion length measurements, as well as pulsed time-resolved microwave conductivity and time-resolved photoluminescence measurements as a function of excitation intensity on the same samples of different MAPbI3 thin films, and found good quasi-quantitative agreement between the results, explaining them with a generalized single level recombination model that describes the basic physics of phototransport of HaP absorbers. Moreover, we find the first experimental manifestation of the boundaries between several effective recombination regimes that exist in HaPs, by analyzing their phototransport behavior as a function of excitation intensity.","author":[{"dropping-particle":"","family":"Levine","given":"Igal","non-dropping-particle":"","parse-names":false,"suffix":""},{"dropping-particle":"","family":"Gupta","given":"Satyajit","non-dropping-particle":"","parse-names":false,"suffix":""},{"dropping-particle":"","family":"Bera","given":"Achintya","non-dropping-particle":"","parse-names":false,"suffix":""},{"dropping-particle":"","family":"Ceratti","given":"Davide","non-dropping-particle":"","parse-names":false,"suffix":""},{"dropping-particle":"","family":"Hodes","given":"Gary","non-dropping-particle":"","parse-names":false,"suffix":""},{"dropping-particle":"","family":"Cahen","given":"David","non-dropping-particle":"","parse-names":false,"suffix":""},{"dropping-particle":"","family":"Guo","given":"Dengyang","non-dropping-particle":"","parse-names":false,"suffix":""},{"dropping-particle":"","family":"Savenije","given":"Tom J.","non-dropping-particle":"","parse-names":false,"suffix":""},{"dropping-particle":"","family":"Ávila","given":"Jorge","non-dropping-particle":"","parse-names":false,"suffix":""},{"dropping-particle":"","family":"Bolink","given":"Henk J.","non-dropping-particle":"","parse-names":false,"suffix":""},{"dropping-particle":"","family":"Millo","given":"Oded","non-dropping-particle":"","parse-names":false,"suffix":""},{"dropping-particle":"","family":"Azulay","given":"Doron","non-dropping-particle":"","parse-names":false,"suffix":""},{"dropping-particle":"","family":"Balberg","given":"Isaac","non-dropping-particle":"","parse-names":false,"suffix":""}],"container-title":"Journal of Applied Physics","id":"ITEM-1","issue":"10","issued":{"date-parts":[["2018"]]},"title":"Can we use time-resolved measurements to get steady-state transport data for halide perovskites?","type":"article-journal","volume":"124"},"uris":["http://www.mendeley.com/documents/?uuid=e7dcb562-d62b-404e-b6a4-28e07bec7db4"]}],"mendeley":{"formattedCitation":"&lt;sup&gt;[16]&lt;/sup&gt;","plainTextFormattedCitation":"[16]","previouslyFormattedCitation":"&lt;sup&gt;[16]&lt;/sup&gt;"},"properties":{"noteIndex":0},"schema":"https://github.com/citation-style-language/schema/raw/master/csl-citation.json"}</w:instrText>
      </w:r>
      <w:r w:rsidR="000A360D">
        <w:rPr>
          <w:color w:val="000000"/>
          <w:lang w:val="en-GB"/>
        </w:rPr>
        <w:fldChar w:fldCharType="separate"/>
      </w:r>
      <w:r w:rsidR="00021102" w:rsidRPr="00021102">
        <w:rPr>
          <w:noProof/>
          <w:color w:val="000000"/>
          <w:vertAlign w:val="superscript"/>
          <w:lang w:val="en-GB"/>
        </w:rPr>
        <w:t>[16]</w:t>
      </w:r>
      <w:r w:rsidR="000A360D">
        <w:rPr>
          <w:color w:val="000000"/>
          <w:lang w:val="en-GB"/>
        </w:rPr>
        <w:fldChar w:fldCharType="end"/>
      </w:r>
      <w:r w:rsidR="002275C3">
        <w:rPr>
          <w:color w:val="000000"/>
          <w:lang w:val="en-GB"/>
        </w:rPr>
        <w:t xml:space="preserve"> In section 3 and 4 we applied this technique to </w:t>
      </w:r>
      <w:r w:rsidR="002275C3" w:rsidRPr="00801756">
        <w:rPr>
          <w:lang w:val="en-GB"/>
        </w:rPr>
        <w:t>MAPbI</w:t>
      </w:r>
      <w:r w:rsidR="002275C3" w:rsidRPr="00801756">
        <w:rPr>
          <w:vertAlign w:val="subscript"/>
          <w:lang w:val="en-GB"/>
        </w:rPr>
        <w:t>3</w:t>
      </w:r>
      <w:r w:rsidR="002275C3">
        <w:rPr>
          <w:color w:val="000000"/>
          <w:lang w:val="en-GB"/>
        </w:rPr>
        <w:t xml:space="preserve"> and </w:t>
      </w:r>
      <w:r w:rsidR="002275C3" w:rsidRPr="00801756">
        <w:rPr>
          <w:lang w:val="en-GB"/>
        </w:rPr>
        <w:t>MAPb</w:t>
      </w:r>
      <w:r w:rsidR="002275C3">
        <w:rPr>
          <w:lang w:val="en-GB"/>
        </w:rPr>
        <w:t>Br</w:t>
      </w:r>
      <w:r w:rsidR="002275C3" w:rsidRPr="00801756">
        <w:rPr>
          <w:vertAlign w:val="subscript"/>
          <w:lang w:val="en-GB"/>
        </w:rPr>
        <w:t>3</w:t>
      </w:r>
      <w:r w:rsidR="002275C3">
        <w:rPr>
          <w:vertAlign w:val="subscript"/>
          <w:lang w:val="en-GB"/>
        </w:rPr>
        <w:t xml:space="preserve"> </w:t>
      </w:r>
      <w:r w:rsidR="002275C3">
        <w:rPr>
          <w:lang w:val="en-GB"/>
        </w:rPr>
        <w:t xml:space="preserve">with and without </w:t>
      </w:r>
      <w:r w:rsidR="00E21595">
        <w:rPr>
          <w:lang w:val="en-GB"/>
        </w:rPr>
        <w:t>CS</w:t>
      </w:r>
      <w:r w:rsidR="002275C3">
        <w:rPr>
          <w:lang w:val="en-GB"/>
        </w:rPr>
        <w:t xml:space="preserve">TLs. Analysis of the fits on the bare layers recorded using various light intensities yields the kinetic </w:t>
      </w:r>
      <w:r w:rsidR="002275C3">
        <w:rPr>
          <w:lang w:val="en-GB"/>
        </w:rPr>
        <w:lastRenderedPageBreak/>
        <w:t>parameters describing the charge carrier dynamics. From the bilayers</w:t>
      </w:r>
      <w:r w:rsidR="00DF6B43">
        <w:rPr>
          <w:lang w:val="en-GB"/>
        </w:rPr>
        <w:t>,</w:t>
      </w:r>
      <w:r w:rsidR="002275C3">
        <w:rPr>
          <w:lang w:val="en-GB"/>
        </w:rPr>
        <w:t xml:space="preserve"> specific information regarding the electron and hole mobility can be obtained as well as </w:t>
      </w:r>
      <w:r w:rsidR="00DF6B43">
        <w:rPr>
          <w:lang w:val="en-GB"/>
        </w:rPr>
        <w:t>the sign of the carriers. While MAP</w:t>
      </w:r>
      <w:r w:rsidR="00D310BF">
        <w:rPr>
          <w:lang w:val="en-GB"/>
        </w:rPr>
        <w:t>b</w:t>
      </w:r>
      <w:r w:rsidR="00DF6B43">
        <w:rPr>
          <w:lang w:val="en-GB"/>
        </w:rPr>
        <w:t>I</w:t>
      </w:r>
      <w:r w:rsidR="00DF6B43">
        <w:rPr>
          <w:vertAlign w:val="subscript"/>
          <w:lang w:val="en-GB"/>
        </w:rPr>
        <w:t>3</w:t>
      </w:r>
      <w:r w:rsidR="00DF6B43">
        <w:rPr>
          <w:lang w:val="en-GB"/>
        </w:rPr>
        <w:t xml:space="preserve"> can be regarded as highly intrinsic with doping densities </w:t>
      </w:r>
      <w:r w:rsidR="00DF6B43" w:rsidRPr="00F80FA8">
        <w:rPr>
          <w:i/>
        </w:rPr>
        <w:t>p</w:t>
      </w:r>
      <w:r w:rsidR="00DF6B43" w:rsidRPr="00FF18A0">
        <w:rPr>
          <w:vertAlign w:val="subscript"/>
        </w:rPr>
        <w:t>0</w:t>
      </w:r>
      <w:r w:rsidR="00DF6B43">
        <w:rPr>
          <w:vertAlign w:val="subscript"/>
        </w:rPr>
        <w:t xml:space="preserve"> </w:t>
      </w:r>
      <w:r w:rsidR="00DF6B43">
        <w:rPr>
          <w:lang w:val="en-GB"/>
        </w:rPr>
        <w:t>&lt;</w:t>
      </w:r>
      <w:r w:rsidR="00DF6B43" w:rsidRPr="00FF18A0">
        <w:t xml:space="preserve"> 10</w:t>
      </w:r>
      <w:r w:rsidR="00DF6B43" w:rsidRPr="00FF18A0">
        <w:rPr>
          <w:vertAlign w:val="superscript"/>
        </w:rPr>
        <w:t>1</w:t>
      </w:r>
      <w:r w:rsidR="00DF6B43">
        <w:rPr>
          <w:vertAlign w:val="superscript"/>
        </w:rPr>
        <w:t>4</w:t>
      </w:r>
      <w:r w:rsidR="00DF6B43" w:rsidRPr="00FF18A0">
        <w:t xml:space="preserve"> cm</w:t>
      </w:r>
      <w:r w:rsidR="00DF6B43" w:rsidRPr="00FF18A0">
        <w:rPr>
          <w:vertAlign w:val="superscript"/>
        </w:rPr>
        <w:t>-3</w:t>
      </w:r>
      <w:r w:rsidR="00DF6B43">
        <w:t xml:space="preserve">, </w:t>
      </w:r>
      <w:r w:rsidR="00DF6B43" w:rsidRPr="00801756">
        <w:rPr>
          <w:lang w:val="en-GB"/>
        </w:rPr>
        <w:t>MAPb</w:t>
      </w:r>
      <w:r w:rsidR="00DF6B43">
        <w:rPr>
          <w:lang w:val="en-GB"/>
        </w:rPr>
        <w:t>Br</w:t>
      </w:r>
      <w:r w:rsidR="00DF6B43" w:rsidRPr="00801756">
        <w:rPr>
          <w:vertAlign w:val="subscript"/>
          <w:lang w:val="en-GB"/>
        </w:rPr>
        <w:t>3</w:t>
      </w:r>
      <w:r w:rsidR="00DF6B43">
        <w:rPr>
          <w:vertAlign w:val="subscript"/>
          <w:lang w:val="en-GB"/>
        </w:rPr>
        <w:t xml:space="preserve"> </w:t>
      </w:r>
      <w:r w:rsidR="00DF6B43">
        <w:rPr>
          <w:lang w:val="en-GB"/>
        </w:rPr>
        <w:t xml:space="preserve">behaves as unintentional n-type doped with </w:t>
      </w:r>
      <w:r w:rsidR="00DF6B43">
        <w:rPr>
          <w:i/>
        </w:rPr>
        <w:t>n</w:t>
      </w:r>
      <w:r w:rsidR="00DF6B43" w:rsidRPr="00FF18A0">
        <w:rPr>
          <w:vertAlign w:val="subscript"/>
        </w:rPr>
        <w:t>0</w:t>
      </w:r>
      <w:r w:rsidR="00DF6B43">
        <w:rPr>
          <w:vertAlign w:val="subscript"/>
        </w:rPr>
        <w:t xml:space="preserve">  </w:t>
      </w:r>
      <w:r w:rsidR="00DF6B43">
        <w:rPr>
          <w:lang w:val="en-GB"/>
        </w:rPr>
        <w:t xml:space="preserve">&gt; </w:t>
      </w:r>
      <w:r w:rsidR="00DF6B43" w:rsidRPr="00F80FA8">
        <w:rPr>
          <w:rFonts w:asciiTheme="minorHAnsi" w:hAnsiTheme="minorHAnsi" w:cstheme="minorHAnsi"/>
        </w:rPr>
        <w:t>x</w:t>
      </w:r>
      <w:r w:rsidR="00DF6B43" w:rsidRPr="00FF18A0">
        <w:t xml:space="preserve"> 10</w:t>
      </w:r>
      <w:r w:rsidR="00DF6B43" w:rsidRPr="00FF18A0">
        <w:rPr>
          <w:vertAlign w:val="superscript"/>
        </w:rPr>
        <w:t>1</w:t>
      </w:r>
      <w:r w:rsidR="00DF6B43">
        <w:rPr>
          <w:vertAlign w:val="superscript"/>
        </w:rPr>
        <w:t>5</w:t>
      </w:r>
      <w:r w:rsidR="00DF6B43" w:rsidRPr="00FF18A0">
        <w:t xml:space="preserve"> cm</w:t>
      </w:r>
      <w:r w:rsidR="00DF6B43" w:rsidRPr="00FF18A0">
        <w:rPr>
          <w:vertAlign w:val="superscript"/>
        </w:rPr>
        <w:t>-3</w:t>
      </w:r>
      <w:r w:rsidR="00DF6B43">
        <w:rPr>
          <w:lang w:val="en-GB"/>
        </w:rPr>
        <w:t>. Furthermore</w:t>
      </w:r>
      <w:r w:rsidR="003C189C">
        <w:rPr>
          <w:lang w:val="en-GB"/>
        </w:rPr>
        <w:t>,</w:t>
      </w:r>
      <w:r w:rsidR="00DF6B43">
        <w:rPr>
          <w:lang w:val="en-GB"/>
        </w:rPr>
        <w:t xml:space="preserve"> </w:t>
      </w:r>
      <w:r w:rsidR="003C189C">
        <w:rPr>
          <w:lang w:val="en-GB"/>
        </w:rPr>
        <w:t xml:space="preserve">the high number of deep trap states makes the charge carrier diffusion length of the minority carriers in </w:t>
      </w:r>
      <w:r w:rsidR="003C189C" w:rsidRPr="00801756">
        <w:rPr>
          <w:lang w:val="en-GB"/>
        </w:rPr>
        <w:t>MAPb</w:t>
      </w:r>
      <w:r w:rsidR="003C189C">
        <w:rPr>
          <w:lang w:val="en-GB"/>
        </w:rPr>
        <w:t>Br</w:t>
      </w:r>
      <w:r w:rsidR="003C189C" w:rsidRPr="00801756">
        <w:rPr>
          <w:vertAlign w:val="subscript"/>
          <w:lang w:val="en-GB"/>
        </w:rPr>
        <w:t>3</w:t>
      </w:r>
      <w:r w:rsidR="003C189C">
        <w:rPr>
          <w:vertAlign w:val="subscript"/>
          <w:lang w:val="en-GB"/>
        </w:rPr>
        <w:t xml:space="preserve"> </w:t>
      </w:r>
      <w:r w:rsidR="003C189C">
        <w:rPr>
          <w:lang w:val="en-GB"/>
        </w:rPr>
        <w:t xml:space="preserve">small, &lt; 0.5 </w:t>
      </w:r>
      <w:r w:rsidR="003C189C" w:rsidRPr="003C189C">
        <w:rPr>
          <w:rFonts w:ascii="Symbol" w:hAnsi="Symbol"/>
          <w:lang w:val="en-GB"/>
        </w:rPr>
        <w:t></w:t>
      </w:r>
      <w:r w:rsidR="003C189C">
        <w:rPr>
          <w:lang w:val="en-GB"/>
        </w:rPr>
        <w:t xml:space="preserve">m, which is typically not sufficient for optimal solar cell performance. </w:t>
      </w:r>
      <w:r w:rsidR="003C189C">
        <w:rPr>
          <w:color w:val="000000"/>
          <w:lang w:val="en-GB"/>
        </w:rPr>
        <w:t xml:space="preserve">In this chapter we have shown that the TRMC technique is able to reveal the charge carrier dynamics on timescales relevant for opto-electronic devices. The versatile and electrodeless nature of the technique allows screening of perovskite layers with differences in material composition or deposition method. </w:t>
      </w:r>
    </w:p>
    <w:p w14:paraId="677BD75B" w14:textId="57EE139E" w:rsidR="00B91F37" w:rsidRPr="00801756" w:rsidRDefault="00B91F37" w:rsidP="003C189C">
      <w:pPr>
        <w:spacing w:line="480" w:lineRule="auto"/>
        <w:jc w:val="both"/>
        <w:rPr>
          <w:lang w:val="en-GB"/>
        </w:rPr>
      </w:pPr>
    </w:p>
    <w:p w14:paraId="7B076EE2" w14:textId="36144A37" w:rsidR="00B91F37" w:rsidRPr="005E2FF7" w:rsidRDefault="00B91F37" w:rsidP="00B91F37">
      <w:pPr>
        <w:spacing w:line="480" w:lineRule="auto"/>
        <w:jc w:val="both"/>
        <w:outlineLvl w:val="0"/>
        <w:rPr>
          <w:lang w:val="en-GB"/>
        </w:rPr>
      </w:pPr>
    </w:p>
    <w:p w14:paraId="756678AA" w14:textId="77777777" w:rsidR="00B91F37" w:rsidRPr="00801756" w:rsidRDefault="00B91F37" w:rsidP="00B91F37">
      <w:pPr>
        <w:spacing w:line="480" w:lineRule="auto"/>
        <w:jc w:val="both"/>
        <w:rPr>
          <w:lang w:val="en-GB"/>
        </w:rPr>
      </w:pPr>
    </w:p>
    <w:p w14:paraId="773016AD" w14:textId="77777777" w:rsidR="00B91F37" w:rsidRPr="00801756" w:rsidRDefault="00B91F37" w:rsidP="00B91F37">
      <w:pPr>
        <w:pStyle w:val="Acknowledgements"/>
        <w:rPr>
          <w:i/>
          <w:lang w:val="en-GB"/>
        </w:rPr>
      </w:pPr>
      <w:r w:rsidRPr="00801756">
        <w:rPr>
          <w:b/>
          <w:lang w:val="en-GB"/>
        </w:rPr>
        <w:t>Supporting Information</w:t>
      </w:r>
      <w:r w:rsidRPr="00801756">
        <w:rPr>
          <w:i/>
          <w:lang w:val="en-GB"/>
        </w:rPr>
        <w:t xml:space="preserve"> </w:t>
      </w:r>
    </w:p>
    <w:p w14:paraId="0AE2F40C" w14:textId="77777777" w:rsidR="00B91F37" w:rsidRPr="00801756" w:rsidRDefault="00B91F37" w:rsidP="00B91F37">
      <w:pPr>
        <w:pStyle w:val="Acknowledgements"/>
        <w:rPr>
          <w:lang w:val="en-GB"/>
        </w:rPr>
      </w:pPr>
      <w:r w:rsidRPr="00801756">
        <w:rPr>
          <w:lang w:val="en-GB"/>
        </w:rPr>
        <w:t>Supporting Information is available from the Wiley Online Library or from the author.</w:t>
      </w:r>
    </w:p>
    <w:p w14:paraId="3FB913F3" w14:textId="77777777" w:rsidR="00B91F37" w:rsidRPr="00801756" w:rsidRDefault="00B91F37" w:rsidP="00B91F37">
      <w:pPr>
        <w:pStyle w:val="MainText"/>
        <w:rPr>
          <w:lang w:val="en-GB"/>
        </w:rPr>
      </w:pPr>
    </w:p>
    <w:p w14:paraId="3A3F35D5" w14:textId="77777777" w:rsidR="00B91F37" w:rsidRPr="00801756" w:rsidRDefault="00B91F37" w:rsidP="001D6716">
      <w:pPr>
        <w:pStyle w:val="Head1"/>
      </w:pPr>
      <w:r w:rsidRPr="00801756">
        <w:t>Acknowledgements</w:t>
      </w:r>
    </w:p>
    <w:p w14:paraId="2600FD14" w14:textId="1C60AE64" w:rsidR="00B91F37" w:rsidRPr="00801756" w:rsidRDefault="00B91F37" w:rsidP="00B91F37">
      <w:pPr>
        <w:spacing w:line="480" w:lineRule="auto"/>
        <w:jc w:val="both"/>
        <w:rPr>
          <w:lang w:val="en-GB"/>
        </w:rPr>
      </w:pPr>
      <w:r w:rsidRPr="00801756">
        <w:rPr>
          <w:lang w:val="en-GB"/>
        </w:rPr>
        <w:t xml:space="preserve">This work was supported by the Netherlands Organization for Scientific Research (NWO) under the Echo grant number: 712.014.007. </w:t>
      </w:r>
    </w:p>
    <w:p w14:paraId="52E4C38D" w14:textId="7545DB37" w:rsidR="00FF2058" w:rsidRDefault="00FF2058" w:rsidP="00B91F37"/>
    <w:p w14:paraId="13F7C851" w14:textId="6AD3D42B" w:rsidR="00A91010" w:rsidRDefault="00A91010" w:rsidP="00A91010">
      <w:pPr>
        <w:pStyle w:val="Acknowledgements"/>
        <w:rPr>
          <w:b/>
          <w:lang w:val="en-GB"/>
        </w:rPr>
      </w:pPr>
      <w:r w:rsidRPr="00A91010">
        <w:rPr>
          <w:b/>
          <w:lang w:val="en-GB"/>
        </w:rPr>
        <w:t>References</w:t>
      </w:r>
    </w:p>
    <w:p w14:paraId="5B7F52C1" w14:textId="77777777" w:rsidR="000A360D" w:rsidRDefault="000A360D" w:rsidP="00A91010">
      <w:pPr>
        <w:pStyle w:val="Acknowledgements"/>
        <w:rPr>
          <w:b/>
          <w:lang w:val="en-GB"/>
        </w:rPr>
      </w:pPr>
    </w:p>
    <w:p w14:paraId="5E93298C" w14:textId="0A6FCBA5" w:rsidR="00021102" w:rsidRPr="00021102" w:rsidRDefault="00A91010" w:rsidP="00021102">
      <w:pPr>
        <w:widowControl w:val="0"/>
        <w:autoSpaceDE w:val="0"/>
        <w:autoSpaceDN w:val="0"/>
        <w:adjustRightInd w:val="0"/>
        <w:ind w:left="640" w:hanging="640"/>
        <w:rPr>
          <w:noProof/>
          <w:lang w:val="en-GB"/>
        </w:rPr>
      </w:pPr>
      <w:r>
        <w:rPr>
          <w:b/>
          <w:lang w:val="en-GB"/>
        </w:rPr>
        <w:fldChar w:fldCharType="begin" w:fldLock="1"/>
      </w:r>
      <w:r>
        <w:rPr>
          <w:b/>
          <w:lang w:val="en-GB"/>
        </w:rPr>
        <w:instrText xml:space="preserve">ADDIN Mendeley Bibliography CSL_BIBLIOGRAPHY </w:instrText>
      </w:r>
      <w:r>
        <w:rPr>
          <w:b/>
          <w:lang w:val="en-GB"/>
        </w:rPr>
        <w:fldChar w:fldCharType="separate"/>
      </w:r>
      <w:r w:rsidR="00021102" w:rsidRPr="00021102">
        <w:rPr>
          <w:noProof/>
          <w:lang w:val="en-GB"/>
        </w:rPr>
        <w:t>[1]</w:t>
      </w:r>
      <w:r w:rsidR="00021102" w:rsidRPr="00021102">
        <w:rPr>
          <w:noProof/>
          <w:lang w:val="en-GB"/>
        </w:rPr>
        <w:tab/>
        <w:t xml:space="preserve">A. Kojima, K. Teshima, Y. Shirai, T. Miyasaka, </w:t>
      </w:r>
      <w:r w:rsidR="00021102" w:rsidRPr="00021102">
        <w:rPr>
          <w:i/>
          <w:iCs/>
          <w:noProof/>
          <w:lang w:val="en-GB"/>
        </w:rPr>
        <w:t>J. Am. Chem. Soc.</w:t>
      </w:r>
      <w:r w:rsidR="00021102" w:rsidRPr="00021102">
        <w:rPr>
          <w:noProof/>
          <w:lang w:val="en-GB"/>
        </w:rPr>
        <w:t xml:space="preserve"> </w:t>
      </w:r>
      <w:r w:rsidR="00021102" w:rsidRPr="00021102">
        <w:rPr>
          <w:b/>
          <w:bCs/>
          <w:noProof/>
          <w:lang w:val="en-GB"/>
        </w:rPr>
        <w:t>2009</w:t>
      </w:r>
      <w:r w:rsidR="00021102" w:rsidRPr="00021102">
        <w:rPr>
          <w:noProof/>
          <w:lang w:val="en-GB"/>
        </w:rPr>
        <w:t xml:space="preserve">, </w:t>
      </w:r>
      <w:r w:rsidR="00021102" w:rsidRPr="00021102">
        <w:rPr>
          <w:i/>
          <w:iCs/>
          <w:noProof/>
          <w:lang w:val="en-GB"/>
        </w:rPr>
        <w:t>131</w:t>
      </w:r>
      <w:r w:rsidR="00021102" w:rsidRPr="00021102">
        <w:rPr>
          <w:noProof/>
          <w:lang w:val="en-GB"/>
        </w:rPr>
        <w:t>, 6050.</w:t>
      </w:r>
    </w:p>
    <w:p w14:paraId="4EADCAEE"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[2]</w:t>
      </w:r>
      <w:r w:rsidRPr="00021102">
        <w:rPr>
          <w:noProof/>
          <w:lang w:val="en-GB"/>
        </w:rPr>
        <w:tab/>
        <w:t xml:space="preserve">J. H. Im, C. R. Lee, J. W. Lee, S. W. Park, N. G. Park, </w:t>
      </w:r>
      <w:r w:rsidRPr="00021102">
        <w:rPr>
          <w:i/>
          <w:iCs/>
          <w:noProof/>
          <w:lang w:val="en-GB"/>
        </w:rPr>
        <w:t>Nanoscale</w:t>
      </w:r>
      <w:r w:rsidRPr="00021102">
        <w:rPr>
          <w:noProof/>
          <w:lang w:val="en-GB"/>
        </w:rPr>
        <w:t xml:space="preserve"> </w:t>
      </w:r>
      <w:r w:rsidRPr="00021102">
        <w:rPr>
          <w:b/>
          <w:bCs/>
          <w:noProof/>
          <w:lang w:val="en-GB"/>
        </w:rPr>
        <w:t>2011</w:t>
      </w:r>
      <w:r w:rsidRPr="00021102">
        <w:rPr>
          <w:noProof/>
          <w:lang w:val="en-GB"/>
        </w:rPr>
        <w:t xml:space="preserve">, </w:t>
      </w:r>
      <w:r w:rsidRPr="00021102">
        <w:rPr>
          <w:i/>
          <w:iCs/>
          <w:noProof/>
          <w:lang w:val="en-GB"/>
        </w:rPr>
        <w:t>3</w:t>
      </w:r>
      <w:r w:rsidRPr="00021102">
        <w:rPr>
          <w:noProof/>
          <w:lang w:val="en-GB"/>
        </w:rPr>
        <w:t>, 4088.</w:t>
      </w:r>
    </w:p>
    <w:p w14:paraId="7C4EFBF3"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[3]</w:t>
      </w:r>
      <w:r w:rsidRPr="00021102">
        <w:rPr>
          <w:noProof/>
          <w:lang w:val="en-GB"/>
        </w:rPr>
        <w:tab/>
        <w:t xml:space="preserve">M. J. P. Alcocer, T. Leijtens, L. M. Herz, A. Petrozza, H. J. Snaith, </w:t>
      </w:r>
      <w:r w:rsidRPr="00021102">
        <w:rPr>
          <w:i/>
          <w:iCs/>
          <w:noProof/>
          <w:lang w:val="en-GB"/>
        </w:rPr>
        <w:t>Science (80-. ).</w:t>
      </w:r>
      <w:r w:rsidRPr="00021102">
        <w:rPr>
          <w:noProof/>
          <w:lang w:val="en-GB"/>
        </w:rPr>
        <w:t xml:space="preserve"> </w:t>
      </w:r>
      <w:r w:rsidRPr="00021102">
        <w:rPr>
          <w:b/>
          <w:bCs/>
          <w:noProof/>
          <w:lang w:val="en-GB"/>
        </w:rPr>
        <w:t>2013</w:t>
      </w:r>
      <w:r w:rsidRPr="00021102">
        <w:rPr>
          <w:noProof/>
          <w:lang w:val="en-GB"/>
        </w:rPr>
        <w:t xml:space="preserve">, </w:t>
      </w:r>
      <w:r w:rsidRPr="00021102">
        <w:rPr>
          <w:i/>
          <w:iCs/>
          <w:noProof/>
          <w:lang w:val="en-GB"/>
        </w:rPr>
        <w:t>342</w:t>
      </w:r>
      <w:r w:rsidRPr="00021102">
        <w:rPr>
          <w:noProof/>
          <w:lang w:val="en-GB"/>
        </w:rPr>
        <w:t>, 341.</w:t>
      </w:r>
    </w:p>
    <w:p w14:paraId="7D24A444"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[4]</w:t>
      </w:r>
      <w:r w:rsidRPr="00021102">
        <w:rPr>
          <w:noProof/>
          <w:lang w:val="en-GB"/>
        </w:rPr>
        <w:tab/>
        <w:t xml:space="preserve">W. S. Yang, B. W. Park, E. H. Jung, N. J. Jeon, Y. C. Kim, D. U. Lee, S. S. Shin, J. Seo, E. K. Kim, J. H. Noh, S. Il Seok, </w:t>
      </w:r>
      <w:r w:rsidRPr="00021102">
        <w:rPr>
          <w:i/>
          <w:iCs/>
          <w:noProof/>
          <w:lang w:val="en-GB"/>
        </w:rPr>
        <w:t>Science (80-. ).</w:t>
      </w:r>
      <w:r w:rsidRPr="00021102">
        <w:rPr>
          <w:noProof/>
          <w:lang w:val="en-GB"/>
        </w:rPr>
        <w:t xml:space="preserve"> </w:t>
      </w:r>
      <w:r w:rsidRPr="00021102">
        <w:rPr>
          <w:b/>
          <w:bCs/>
          <w:noProof/>
          <w:lang w:val="en-GB"/>
        </w:rPr>
        <w:t>2017</w:t>
      </w:r>
      <w:r w:rsidRPr="00021102">
        <w:rPr>
          <w:noProof/>
          <w:lang w:val="en-GB"/>
        </w:rPr>
        <w:t xml:space="preserve">, </w:t>
      </w:r>
      <w:r w:rsidRPr="00021102">
        <w:rPr>
          <w:i/>
          <w:iCs/>
          <w:noProof/>
          <w:lang w:val="en-GB"/>
        </w:rPr>
        <w:t>356</w:t>
      </w:r>
      <w:r w:rsidRPr="00021102">
        <w:rPr>
          <w:noProof/>
          <w:lang w:val="en-GB"/>
        </w:rPr>
        <w:t>, 1376.</w:t>
      </w:r>
    </w:p>
    <w:p w14:paraId="01BEC2D0"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[5]</w:t>
      </w:r>
      <w:r w:rsidRPr="00021102">
        <w:rPr>
          <w:noProof/>
          <w:lang w:val="en-GB"/>
        </w:rPr>
        <w:tab/>
        <w:t xml:space="preserve">NREL, </w:t>
      </w:r>
      <w:r w:rsidRPr="00021102">
        <w:rPr>
          <w:i/>
          <w:iCs/>
          <w:noProof/>
          <w:lang w:val="en-GB"/>
        </w:rPr>
        <w:t>Best Res. Effic. Chart, Photovolt. Res.</w:t>
      </w:r>
      <w:r w:rsidRPr="00021102">
        <w:rPr>
          <w:noProof/>
          <w:lang w:val="en-GB"/>
        </w:rPr>
        <w:t xml:space="preserve"> </w:t>
      </w:r>
      <w:r w:rsidRPr="00021102">
        <w:rPr>
          <w:b/>
          <w:bCs/>
          <w:noProof/>
          <w:lang w:val="en-GB"/>
        </w:rPr>
        <w:t>2022</w:t>
      </w:r>
      <w:r w:rsidRPr="00021102">
        <w:rPr>
          <w:noProof/>
          <w:lang w:val="en-GB"/>
        </w:rPr>
        <w:t>, https://www.nrel.gov/pv/cell.</w:t>
      </w:r>
    </w:p>
    <w:p w14:paraId="0E444DA7" w14:textId="77777777" w:rsidR="00021102" w:rsidRPr="00EC5E46" w:rsidRDefault="00021102" w:rsidP="00021102">
      <w:pPr>
        <w:widowControl w:val="0"/>
        <w:autoSpaceDE w:val="0"/>
        <w:autoSpaceDN w:val="0"/>
        <w:adjustRightInd w:val="0"/>
        <w:ind w:left="640" w:hanging="640"/>
        <w:rPr>
          <w:noProof/>
          <w:lang w:val="nl-NL"/>
        </w:rPr>
      </w:pPr>
      <w:r w:rsidRPr="00EC5E46">
        <w:rPr>
          <w:noProof/>
          <w:lang w:val="nl-NL"/>
        </w:rPr>
        <w:t>[6]</w:t>
      </w:r>
      <w:r w:rsidRPr="00EC5E46">
        <w:rPr>
          <w:noProof/>
          <w:lang w:val="nl-NL"/>
        </w:rPr>
        <w:tab/>
        <w:t xml:space="preserve">J. E. Kroeze, T. J. Savenije, M. J. W. Vermeulen, J. M. Warman, </w:t>
      </w:r>
      <w:r w:rsidRPr="00EC5E46">
        <w:rPr>
          <w:i/>
          <w:iCs/>
          <w:noProof/>
          <w:lang w:val="nl-NL"/>
        </w:rPr>
        <w:t>J. Phys. Chem. B</w:t>
      </w:r>
      <w:r w:rsidRPr="00EC5E46">
        <w:rPr>
          <w:noProof/>
          <w:lang w:val="nl-NL"/>
        </w:rPr>
        <w:t xml:space="preserve"> </w:t>
      </w:r>
      <w:r w:rsidRPr="00EC5E46">
        <w:rPr>
          <w:b/>
          <w:bCs/>
          <w:noProof/>
          <w:lang w:val="nl-NL"/>
        </w:rPr>
        <w:t>2003</w:t>
      </w:r>
      <w:r w:rsidRPr="00EC5E46">
        <w:rPr>
          <w:noProof/>
          <w:lang w:val="nl-NL"/>
        </w:rPr>
        <w:t xml:space="preserve">, </w:t>
      </w:r>
      <w:r w:rsidRPr="00EC5E46">
        <w:rPr>
          <w:i/>
          <w:iCs/>
          <w:noProof/>
          <w:lang w:val="nl-NL"/>
        </w:rPr>
        <w:t>107</w:t>
      </w:r>
      <w:r w:rsidRPr="00EC5E46">
        <w:rPr>
          <w:noProof/>
          <w:lang w:val="nl-NL"/>
        </w:rPr>
        <w:t>, 7696.</w:t>
      </w:r>
    </w:p>
    <w:p w14:paraId="6D63B9F6" w14:textId="77777777" w:rsidR="00021102" w:rsidRPr="00021102" w:rsidRDefault="00021102" w:rsidP="00021102">
      <w:pPr>
        <w:widowControl w:val="0"/>
        <w:autoSpaceDE w:val="0"/>
        <w:autoSpaceDN w:val="0"/>
        <w:adjustRightInd w:val="0"/>
        <w:ind w:left="640" w:hanging="640"/>
        <w:rPr>
          <w:noProof/>
          <w:lang w:val="en-GB"/>
        </w:rPr>
      </w:pPr>
      <w:r w:rsidRPr="00EC5E46">
        <w:rPr>
          <w:noProof/>
          <w:lang w:val="nl-NL"/>
        </w:rPr>
        <w:t>[7]</w:t>
      </w:r>
      <w:r w:rsidRPr="00EC5E46">
        <w:rPr>
          <w:noProof/>
          <w:lang w:val="nl-NL"/>
        </w:rPr>
        <w:tab/>
        <w:t xml:space="preserve">J. M. Warman, M. P. De Haas, G. Dicker, F. C. Grozema, J. Piris, M. G. Debije, </w:t>
      </w:r>
      <w:r w:rsidRPr="00EC5E46">
        <w:rPr>
          <w:i/>
          <w:iCs/>
          <w:noProof/>
          <w:lang w:val="nl-NL"/>
        </w:rPr>
        <w:t xml:space="preserve">Chem. </w:t>
      </w:r>
      <w:r w:rsidRPr="00021102">
        <w:rPr>
          <w:i/>
          <w:iCs/>
          <w:noProof/>
          <w:lang w:val="en-GB"/>
        </w:rPr>
        <w:t>Mater.</w:t>
      </w:r>
      <w:r w:rsidRPr="00021102">
        <w:rPr>
          <w:noProof/>
          <w:lang w:val="en-GB"/>
        </w:rPr>
        <w:t xml:space="preserve"> </w:t>
      </w:r>
      <w:r w:rsidRPr="00021102">
        <w:rPr>
          <w:b/>
          <w:bCs/>
          <w:noProof/>
          <w:lang w:val="en-GB"/>
        </w:rPr>
        <w:t>2004</w:t>
      </w:r>
      <w:r w:rsidRPr="00021102">
        <w:rPr>
          <w:noProof/>
          <w:lang w:val="en-GB"/>
        </w:rPr>
        <w:t xml:space="preserve">, </w:t>
      </w:r>
      <w:r w:rsidRPr="00021102">
        <w:rPr>
          <w:i/>
          <w:iCs/>
          <w:noProof/>
          <w:lang w:val="en-GB"/>
        </w:rPr>
        <w:t>16</w:t>
      </w:r>
      <w:r w:rsidRPr="00021102">
        <w:rPr>
          <w:noProof/>
          <w:lang w:val="en-GB"/>
        </w:rPr>
        <w:t>, 4600.</w:t>
      </w:r>
    </w:p>
    <w:p w14:paraId="25E20F59"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lastRenderedPageBreak/>
        <w:t>[8]</w:t>
      </w:r>
      <w:r w:rsidRPr="00021102">
        <w:rPr>
          <w:noProof/>
          <w:lang w:val="en-GB"/>
        </w:rPr>
        <w:tab/>
        <w:t xml:space="preserve">T. J. Savenije, A. J. Ferguson, N. Kopidakis, G. Rumbles, </w:t>
      </w:r>
      <w:r w:rsidRPr="00021102">
        <w:rPr>
          <w:i/>
          <w:iCs/>
          <w:noProof/>
          <w:lang w:val="en-GB"/>
        </w:rPr>
        <w:t>J. Phys. Chem. C</w:t>
      </w:r>
      <w:r w:rsidRPr="00021102">
        <w:rPr>
          <w:noProof/>
          <w:lang w:val="en-GB"/>
        </w:rPr>
        <w:t xml:space="preserve"> </w:t>
      </w:r>
      <w:r w:rsidRPr="00021102">
        <w:rPr>
          <w:b/>
          <w:bCs/>
          <w:noProof/>
          <w:lang w:val="en-GB"/>
        </w:rPr>
        <w:t>2013</w:t>
      </w:r>
      <w:r w:rsidRPr="00021102">
        <w:rPr>
          <w:noProof/>
          <w:lang w:val="en-GB"/>
        </w:rPr>
        <w:t xml:space="preserve">, </w:t>
      </w:r>
      <w:r w:rsidRPr="00021102">
        <w:rPr>
          <w:i/>
          <w:iCs/>
          <w:noProof/>
          <w:lang w:val="en-GB"/>
        </w:rPr>
        <w:t>117</w:t>
      </w:r>
      <w:r w:rsidRPr="00021102">
        <w:rPr>
          <w:noProof/>
          <w:lang w:val="en-GB"/>
        </w:rPr>
        <w:t>, 24085.</w:t>
      </w:r>
    </w:p>
    <w:p w14:paraId="6C73A245"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[9]</w:t>
      </w:r>
      <w:r w:rsidRPr="00021102">
        <w:rPr>
          <w:noProof/>
          <w:lang w:val="en-GB"/>
        </w:rPr>
        <w:tab/>
        <w:t xml:space="preserve">H. Oga, A. Saeki, Y. Ogomi, S. Hayase, S. Seki, </w:t>
      </w:r>
      <w:r w:rsidRPr="00021102">
        <w:rPr>
          <w:i/>
          <w:iCs/>
          <w:noProof/>
          <w:lang w:val="en-GB"/>
        </w:rPr>
        <w:t>J. Am. Chem. Soc.</w:t>
      </w:r>
      <w:r w:rsidRPr="00021102">
        <w:rPr>
          <w:noProof/>
          <w:lang w:val="en-GB"/>
        </w:rPr>
        <w:t xml:space="preserve"> </w:t>
      </w:r>
      <w:r w:rsidRPr="00021102">
        <w:rPr>
          <w:b/>
          <w:bCs/>
          <w:noProof/>
          <w:lang w:val="en-GB"/>
        </w:rPr>
        <w:t>2014</w:t>
      </w:r>
      <w:r w:rsidRPr="00021102">
        <w:rPr>
          <w:noProof/>
          <w:lang w:val="en-GB"/>
        </w:rPr>
        <w:t xml:space="preserve">, </w:t>
      </w:r>
      <w:r w:rsidRPr="00021102">
        <w:rPr>
          <w:i/>
          <w:iCs/>
          <w:noProof/>
          <w:lang w:val="en-GB"/>
        </w:rPr>
        <w:t>136</w:t>
      </w:r>
      <w:r w:rsidRPr="00021102">
        <w:rPr>
          <w:noProof/>
          <w:lang w:val="en-GB"/>
        </w:rPr>
        <w:t>, 13818.</w:t>
      </w:r>
    </w:p>
    <w:p w14:paraId="2B252236"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[10]</w:t>
      </w:r>
      <w:r w:rsidRPr="00021102">
        <w:rPr>
          <w:noProof/>
          <w:lang w:val="en-GB"/>
        </w:rPr>
        <w:tab/>
        <w:t xml:space="preserve">E. M. Hutter, T. J. Savenije, C. S. Ponseca Jr, in </w:t>
      </w:r>
      <w:r w:rsidRPr="00021102">
        <w:rPr>
          <w:i/>
          <w:iCs/>
          <w:noProof/>
          <w:lang w:val="en-GB"/>
        </w:rPr>
        <w:t>Perovskite Sol. Cells Princ. Mater. Devices</w:t>
      </w:r>
      <w:r w:rsidRPr="00021102">
        <w:rPr>
          <w:noProof/>
          <w:lang w:val="en-GB"/>
        </w:rPr>
        <w:t xml:space="preserve">, World Scientific Publishing Co. Pte. Ltd., </w:t>
      </w:r>
      <w:r w:rsidRPr="00021102">
        <w:rPr>
          <w:b/>
          <w:bCs/>
          <w:noProof/>
          <w:lang w:val="en-GB"/>
        </w:rPr>
        <w:t>2017</w:t>
      </w:r>
      <w:r w:rsidRPr="00021102">
        <w:rPr>
          <w:noProof/>
          <w:lang w:val="en-GB"/>
        </w:rPr>
        <w:t>, pp. 179–232.</w:t>
      </w:r>
    </w:p>
    <w:p w14:paraId="4A9E2FE2"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[11]</w:t>
      </w:r>
      <w:r w:rsidRPr="00021102">
        <w:rPr>
          <w:noProof/>
          <w:lang w:val="en-GB"/>
        </w:rPr>
        <w:tab/>
        <w:t xml:space="preserve">R. A. Kerner, P. Schulz, J. A. Christians, S. P. Dunfield, B. Dou, L. Zhao, G. Teeter, J. J. Berry, B. P. Rand, </w:t>
      </w:r>
      <w:r w:rsidRPr="00021102">
        <w:rPr>
          <w:i/>
          <w:iCs/>
          <w:noProof/>
          <w:lang w:val="en-GB"/>
        </w:rPr>
        <w:t>APL Mater.</w:t>
      </w:r>
      <w:r w:rsidRPr="00021102">
        <w:rPr>
          <w:noProof/>
          <w:lang w:val="en-GB"/>
        </w:rPr>
        <w:t xml:space="preserve"> </w:t>
      </w:r>
      <w:r w:rsidRPr="00021102">
        <w:rPr>
          <w:b/>
          <w:bCs/>
          <w:noProof/>
          <w:lang w:val="en-GB"/>
        </w:rPr>
        <w:t>2019</w:t>
      </w:r>
      <w:r w:rsidRPr="00021102">
        <w:rPr>
          <w:noProof/>
          <w:lang w:val="en-GB"/>
        </w:rPr>
        <w:t xml:space="preserve">, </w:t>
      </w:r>
      <w:r w:rsidRPr="00021102">
        <w:rPr>
          <w:i/>
          <w:iCs/>
          <w:noProof/>
          <w:lang w:val="en-GB"/>
        </w:rPr>
        <w:t>7</w:t>
      </w:r>
      <w:r w:rsidRPr="00021102">
        <w:rPr>
          <w:noProof/>
          <w:lang w:val="en-GB"/>
        </w:rPr>
        <w:t>, DOI 10.1063/1.5083812.</w:t>
      </w:r>
    </w:p>
    <w:p w14:paraId="319FC8C5"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[12]</w:t>
      </w:r>
      <w:r w:rsidRPr="00021102">
        <w:rPr>
          <w:noProof/>
          <w:lang w:val="en-GB"/>
        </w:rPr>
        <w:tab/>
        <w:t xml:space="preserve">L. Zhao, R. A. Kerner, Z. Xiao, Y. L. Lin, K. M. Lee, J. Schwartz, B. P. Rand, </w:t>
      </w:r>
      <w:r w:rsidRPr="00021102">
        <w:rPr>
          <w:i/>
          <w:iCs/>
          <w:noProof/>
          <w:lang w:val="en-GB"/>
        </w:rPr>
        <w:t>ACS Energy Lett.</w:t>
      </w:r>
      <w:r w:rsidRPr="00021102">
        <w:rPr>
          <w:noProof/>
          <w:lang w:val="en-GB"/>
        </w:rPr>
        <w:t xml:space="preserve"> </w:t>
      </w:r>
      <w:r w:rsidRPr="00021102">
        <w:rPr>
          <w:b/>
          <w:bCs/>
          <w:noProof/>
          <w:lang w:val="en-GB"/>
        </w:rPr>
        <w:t>2016</w:t>
      </w:r>
      <w:r w:rsidRPr="00021102">
        <w:rPr>
          <w:noProof/>
          <w:lang w:val="en-GB"/>
        </w:rPr>
        <w:t xml:space="preserve">, </w:t>
      </w:r>
      <w:r w:rsidRPr="00021102">
        <w:rPr>
          <w:i/>
          <w:iCs/>
          <w:noProof/>
          <w:lang w:val="en-GB"/>
        </w:rPr>
        <w:t>1</w:t>
      </w:r>
      <w:r w:rsidRPr="00021102">
        <w:rPr>
          <w:noProof/>
          <w:lang w:val="en-GB"/>
        </w:rPr>
        <w:t>, 595.</w:t>
      </w:r>
    </w:p>
    <w:p w14:paraId="59E5F4F9"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[13]</w:t>
      </w:r>
      <w:r w:rsidRPr="00021102">
        <w:rPr>
          <w:noProof/>
          <w:lang w:val="en-GB"/>
        </w:rPr>
        <w:tab/>
        <w:t xml:space="preserve">O. G. Reid, D. T. Moore, Z. Li, D. Zhao, Y. Yan, K. Zhu, G. Rumbles, </w:t>
      </w:r>
      <w:r w:rsidRPr="00021102">
        <w:rPr>
          <w:i/>
          <w:iCs/>
          <w:noProof/>
          <w:lang w:val="en-GB"/>
        </w:rPr>
        <w:t>J. Phys. D. Appl. Phys.</w:t>
      </w:r>
      <w:r w:rsidRPr="00021102">
        <w:rPr>
          <w:noProof/>
          <w:lang w:val="en-GB"/>
        </w:rPr>
        <w:t xml:space="preserve"> </w:t>
      </w:r>
      <w:r w:rsidRPr="00021102">
        <w:rPr>
          <w:b/>
          <w:bCs/>
          <w:noProof/>
          <w:lang w:val="en-GB"/>
        </w:rPr>
        <w:t>2017</w:t>
      </w:r>
      <w:r w:rsidRPr="00021102">
        <w:rPr>
          <w:noProof/>
          <w:lang w:val="en-GB"/>
        </w:rPr>
        <w:t xml:space="preserve">, </w:t>
      </w:r>
      <w:r w:rsidRPr="00021102">
        <w:rPr>
          <w:i/>
          <w:iCs/>
          <w:noProof/>
          <w:lang w:val="en-GB"/>
        </w:rPr>
        <w:t>50</w:t>
      </w:r>
      <w:r w:rsidRPr="00021102">
        <w:rPr>
          <w:noProof/>
          <w:lang w:val="en-GB"/>
        </w:rPr>
        <w:t>, DOI 10.1088/1361-6463/aa9559.</w:t>
      </w:r>
    </w:p>
    <w:p w14:paraId="65F3D244"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[14]</w:t>
      </w:r>
      <w:r w:rsidRPr="00021102">
        <w:rPr>
          <w:noProof/>
          <w:lang w:val="en-GB"/>
        </w:rPr>
        <w:tab/>
        <w:t xml:space="preserve">L. A. Muscarella, E. M. Hutter, S. Sanchez, C. D. Dieleman, T. J. Savenije, A. Hagfeldt, M. Saliba, B. Ehrler, </w:t>
      </w:r>
      <w:r w:rsidRPr="00021102">
        <w:rPr>
          <w:i/>
          <w:iCs/>
          <w:noProof/>
          <w:lang w:val="en-GB"/>
        </w:rPr>
        <w:t>J. Phys. Chem. Lett.</w:t>
      </w:r>
      <w:r w:rsidRPr="00021102">
        <w:rPr>
          <w:noProof/>
          <w:lang w:val="en-GB"/>
        </w:rPr>
        <w:t xml:space="preserve"> </w:t>
      </w:r>
      <w:r w:rsidRPr="00021102">
        <w:rPr>
          <w:b/>
          <w:bCs/>
          <w:noProof/>
          <w:lang w:val="en-GB"/>
        </w:rPr>
        <w:t>2019</w:t>
      </w:r>
      <w:r w:rsidRPr="00021102">
        <w:rPr>
          <w:noProof/>
          <w:lang w:val="en-GB"/>
        </w:rPr>
        <w:t xml:space="preserve">, </w:t>
      </w:r>
      <w:r w:rsidRPr="00021102">
        <w:rPr>
          <w:i/>
          <w:iCs/>
          <w:noProof/>
          <w:lang w:val="en-GB"/>
        </w:rPr>
        <w:t>10</w:t>
      </w:r>
      <w:r w:rsidRPr="00021102">
        <w:rPr>
          <w:noProof/>
          <w:lang w:val="en-GB"/>
        </w:rPr>
        <w:t>, 6010.</w:t>
      </w:r>
    </w:p>
    <w:p w14:paraId="55D6646D"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[15]</w:t>
      </w:r>
      <w:r w:rsidRPr="00021102">
        <w:rPr>
          <w:noProof/>
          <w:lang w:val="en-GB"/>
        </w:rPr>
        <w:tab/>
        <w:t xml:space="preserve">K. S. Haber, A. C. Albrecht, </w:t>
      </w:r>
      <w:r w:rsidRPr="00021102">
        <w:rPr>
          <w:i/>
          <w:iCs/>
          <w:noProof/>
          <w:lang w:val="en-GB"/>
        </w:rPr>
        <w:t>J. Phys. Chem.</w:t>
      </w:r>
      <w:r w:rsidRPr="00021102">
        <w:rPr>
          <w:noProof/>
          <w:lang w:val="en-GB"/>
        </w:rPr>
        <w:t xml:space="preserve"> </w:t>
      </w:r>
      <w:r w:rsidRPr="00021102">
        <w:rPr>
          <w:b/>
          <w:bCs/>
          <w:noProof/>
          <w:lang w:val="en-GB"/>
        </w:rPr>
        <w:t>1984</w:t>
      </w:r>
      <w:r w:rsidRPr="00021102">
        <w:rPr>
          <w:noProof/>
          <w:lang w:val="en-GB"/>
        </w:rPr>
        <w:t xml:space="preserve">, </w:t>
      </w:r>
      <w:r w:rsidRPr="00021102">
        <w:rPr>
          <w:i/>
          <w:iCs/>
          <w:noProof/>
          <w:lang w:val="en-GB"/>
        </w:rPr>
        <w:t>88</w:t>
      </w:r>
      <w:r w:rsidRPr="00021102">
        <w:rPr>
          <w:noProof/>
          <w:lang w:val="en-GB"/>
        </w:rPr>
        <w:t>, 6025.</w:t>
      </w:r>
    </w:p>
    <w:p w14:paraId="1CD78EC1"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[16]</w:t>
      </w:r>
      <w:r w:rsidRPr="00021102">
        <w:rPr>
          <w:noProof/>
          <w:lang w:val="en-GB"/>
        </w:rPr>
        <w:tab/>
        <w:t xml:space="preserve">I. Levine, S. Gupta, A. Bera, D. Ceratti, G. Hodes, D. Cahen, D. Guo, T. J. Savenije, J. Ávila, H. J. Bolink, O. Millo, D. Azulay, I. Balberg, </w:t>
      </w:r>
      <w:r w:rsidRPr="00021102">
        <w:rPr>
          <w:i/>
          <w:iCs/>
          <w:noProof/>
          <w:lang w:val="en-GB"/>
        </w:rPr>
        <w:t>J. Appl. Phys.</w:t>
      </w:r>
      <w:r w:rsidRPr="00021102">
        <w:rPr>
          <w:noProof/>
          <w:lang w:val="en-GB"/>
        </w:rPr>
        <w:t xml:space="preserve"> </w:t>
      </w:r>
      <w:r w:rsidRPr="00021102">
        <w:rPr>
          <w:b/>
          <w:bCs/>
          <w:noProof/>
          <w:lang w:val="en-GB"/>
        </w:rPr>
        <w:t>2018</w:t>
      </w:r>
      <w:r w:rsidRPr="00021102">
        <w:rPr>
          <w:noProof/>
          <w:lang w:val="en-GB"/>
        </w:rPr>
        <w:t xml:space="preserve">, </w:t>
      </w:r>
      <w:r w:rsidRPr="00021102">
        <w:rPr>
          <w:i/>
          <w:iCs/>
          <w:noProof/>
          <w:lang w:val="en-GB"/>
        </w:rPr>
        <w:t>124</w:t>
      </w:r>
      <w:r w:rsidRPr="00021102">
        <w:rPr>
          <w:noProof/>
          <w:lang w:val="en-GB"/>
        </w:rPr>
        <w:t>, DOI 10.1063/1.5037637.</w:t>
      </w:r>
    </w:p>
    <w:p w14:paraId="148C3DD6"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[17]</w:t>
      </w:r>
      <w:r w:rsidRPr="00021102">
        <w:rPr>
          <w:noProof/>
          <w:lang w:val="en-GB"/>
        </w:rPr>
        <w:tab/>
        <w:t xml:space="preserve">S. D. Stranks, V. M. Burlakov, T. Leijtens, J. M. Ball, A. Goriely, H. J. Snaith, </w:t>
      </w:r>
      <w:r w:rsidRPr="00021102">
        <w:rPr>
          <w:i/>
          <w:iCs/>
          <w:noProof/>
          <w:lang w:val="en-GB"/>
        </w:rPr>
        <w:t>Phys. Rev. Appl.</w:t>
      </w:r>
      <w:r w:rsidRPr="00021102">
        <w:rPr>
          <w:noProof/>
          <w:lang w:val="en-GB"/>
        </w:rPr>
        <w:t xml:space="preserve"> </w:t>
      </w:r>
      <w:r w:rsidRPr="00021102">
        <w:rPr>
          <w:b/>
          <w:bCs/>
          <w:noProof/>
          <w:lang w:val="en-GB"/>
        </w:rPr>
        <w:t>2014</w:t>
      </w:r>
      <w:r w:rsidRPr="00021102">
        <w:rPr>
          <w:noProof/>
          <w:lang w:val="en-GB"/>
        </w:rPr>
        <w:t xml:space="preserve">, </w:t>
      </w:r>
      <w:r w:rsidRPr="00021102">
        <w:rPr>
          <w:i/>
          <w:iCs/>
          <w:noProof/>
          <w:lang w:val="en-GB"/>
        </w:rPr>
        <w:t>2</w:t>
      </w:r>
      <w:r w:rsidRPr="00021102">
        <w:rPr>
          <w:noProof/>
          <w:lang w:val="en-GB"/>
        </w:rPr>
        <w:t>, 1.</w:t>
      </w:r>
    </w:p>
    <w:p w14:paraId="632CE54D"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[18]</w:t>
      </w:r>
      <w:r w:rsidRPr="00021102">
        <w:rPr>
          <w:noProof/>
          <w:lang w:val="en-GB"/>
        </w:rPr>
        <w:tab/>
        <w:t xml:space="preserve">E. M. Hutter, G. E. Eperon, S. D. Stranks, T. J. Savenije, </w:t>
      </w:r>
      <w:r w:rsidRPr="00021102">
        <w:rPr>
          <w:i/>
          <w:iCs/>
          <w:noProof/>
          <w:lang w:val="en-GB"/>
        </w:rPr>
        <w:t>J. Phys. Chem. Lett.</w:t>
      </w:r>
      <w:r w:rsidRPr="00021102">
        <w:rPr>
          <w:noProof/>
          <w:lang w:val="en-GB"/>
        </w:rPr>
        <w:t xml:space="preserve"> </w:t>
      </w:r>
      <w:r w:rsidRPr="00021102">
        <w:rPr>
          <w:b/>
          <w:bCs/>
          <w:noProof/>
          <w:lang w:val="en-GB"/>
        </w:rPr>
        <w:t>2015</w:t>
      </w:r>
      <w:r w:rsidRPr="00021102">
        <w:rPr>
          <w:noProof/>
          <w:lang w:val="en-GB"/>
        </w:rPr>
        <w:t xml:space="preserve">, </w:t>
      </w:r>
      <w:r w:rsidRPr="00021102">
        <w:rPr>
          <w:i/>
          <w:iCs/>
          <w:noProof/>
          <w:lang w:val="en-GB"/>
        </w:rPr>
        <w:t>6</w:t>
      </w:r>
      <w:r w:rsidRPr="00021102">
        <w:rPr>
          <w:noProof/>
          <w:lang w:val="en-GB"/>
        </w:rPr>
        <w:t>, 3082.</w:t>
      </w:r>
    </w:p>
    <w:p w14:paraId="4C659B68"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[19]</w:t>
      </w:r>
      <w:r w:rsidRPr="00021102">
        <w:rPr>
          <w:noProof/>
          <w:lang w:val="en-GB"/>
        </w:rPr>
        <w:tab/>
        <w:t xml:space="preserve">A. Miyata, A. Mitioglu, P. Plochocka, O. Portugall, J. T. W. Wang, S. D. Stranks, H. J. Snaith, R. J. Nicholas, </w:t>
      </w:r>
      <w:r w:rsidRPr="00021102">
        <w:rPr>
          <w:i/>
          <w:iCs/>
          <w:noProof/>
          <w:lang w:val="en-GB"/>
        </w:rPr>
        <w:t>Nat. Phys.</w:t>
      </w:r>
      <w:r w:rsidRPr="00021102">
        <w:rPr>
          <w:noProof/>
          <w:lang w:val="en-GB"/>
        </w:rPr>
        <w:t xml:space="preserve"> </w:t>
      </w:r>
      <w:r w:rsidRPr="00021102">
        <w:rPr>
          <w:b/>
          <w:bCs/>
          <w:noProof/>
          <w:lang w:val="en-GB"/>
        </w:rPr>
        <w:t>2015</w:t>
      </w:r>
      <w:r w:rsidRPr="00021102">
        <w:rPr>
          <w:noProof/>
          <w:lang w:val="en-GB"/>
        </w:rPr>
        <w:t xml:space="preserve">, </w:t>
      </w:r>
      <w:r w:rsidRPr="00021102">
        <w:rPr>
          <w:i/>
          <w:iCs/>
          <w:noProof/>
          <w:lang w:val="en-GB"/>
        </w:rPr>
        <w:t>11</w:t>
      </w:r>
      <w:r w:rsidRPr="00021102">
        <w:rPr>
          <w:noProof/>
          <w:lang w:val="en-GB"/>
        </w:rPr>
        <w:t>, 582.</w:t>
      </w:r>
    </w:p>
    <w:p w14:paraId="7107B5DA"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[20]</w:t>
      </w:r>
      <w:r w:rsidRPr="00021102">
        <w:rPr>
          <w:noProof/>
          <w:lang w:val="en-GB"/>
        </w:rPr>
        <w:tab/>
        <w:t xml:space="preserve">R. Brenes, D. Guo, A. Osherov, N. K. Noel, C. Eames, E. M. Hutter, S. K. Pathak, F. Niroui, R. H. Friend, M. S. Islam, H. J. Snaith, V. Bulović, T. J. Savenije, S. D. Stranks, </w:t>
      </w:r>
      <w:r w:rsidRPr="00021102">
        <w:rPr>
          <w:i/>
          <w:iCs/>
          <w:noProof/>
          <w:lang w:val="en-GB"/>
        </w:rPr>
        <w:t>Joule</w:t>
      </w:r>
      <w:r w:rsidRPr="00021102">
        <w:rPr>
          <w:noProof/>
          <w:lang w:val="en-GB"/>
        </w:rPr>
        <w:t xml:space="preserve"> </w:t>
      </w:r>
      <w:r w:rsidRPr="00021102">
        <w:rPr>
          <w:b/>
          <w:bCs/>
          <w:noProof/>
          <w:lang w:val="en-GB"/>
        </w:rPr>
        <w:t>2017</w:t>
      </w:r>
      <w:r w:rsidRPr="00021102">
        <w:rPr>
          <w:noProof/>
          <w:lang w:val="en-GB"/>
        </w:rPr>
        <w:t xml:space="preserve">, </w:t>
      </w:r>
      <w:r w:rsidRPr="00021102">
        <w:rPr>
          <w:i/>
          <w:iCs/>
          <w:noProof/>
          <w:lang w:val="en-GB"/>
        </w:rPr>
        <w:t>1</w:t>
      </w:r>
      <w:r w:rsidRPr="00021102">
        <w:rPr>
          <w:noProof/>
          <w:lang w:val="en-GB"/>
        </w:rPr>
        <w:t>, 155.</w:t>
      </w:r>
    </w:p>
    <w:p w14:paraId="4FD85A90"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[21]</w:t>
      </w:r>
      <w:r w:rsidRPr="00021102">
        <w:rPr>
          <w:noProof/>
          <w:lang w:val="en-GB"/>
        </w:rPr>
        <w:tab/>
        <w:t xml:space="preserve">L. M. Herz, </w:t>
      </w:r>
      <w:r w:rsidRPr="00021102">
        <w:rPr>
          <w:i/>
          <w:iCs/>
          <w:noProof/>
          <w:lang w:val="en-GB"/>
        </w:rPr>
        <w:t>ACS Energy Lett.</w:t>
      </w:r>
      <w:r w:rsidRPr="00021102">
        <w:rPr>
          <w:noProof/>
          <w:lang w:val="en-GB"/>
        </w:rPr>
        <w:t xml:space="preserve"> </w:t>
      </w:r>
      <w:r w:rsidRPr="00021102">
        <w:rPr>
          <w:b/>
          <w:bCs/>
          <w:noProof/>
          <w:lang w:val="en-GB"/>
        </w:rPr>
        <w:t>2017</w:t>
      </w:r>
      <w:r w:rsidRPr="00021102">
        <w:rPr>
          <w:noProof/>
          <w:lang w:val="en-GB"/>
        </w:rPr>
        <w:t xml:space="preserve">, </w:t>
      </w:r>
      <w:r w:rsidRPr="00021102">
        <w:rPr>
          <w:i/>
          <w:iCs/>
          <w:noProof/>
          <w:lang w:val="en-GB"/>
        </w:rPr>
        <w:t>2</w:t>
      </w:r>
      <w:r w:rsidRPr="00021102">
        <w:rPr>
          <w:noProof/>
          <w:lang w:val="en-GB"/>
        </w:rPr>
        <w:t>, 1539.</w:t>
      </w:r>
    </w:p>
    <w:p w14:paraId="3A173595"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[22]</w:t>
      </w:r>
      <w:r w:rsidRPr="00021102">
        <w:rPr>
          <w:noProof/>
          <w:lang w:val="en-GB"/>
        </w:rPr>
        <w:tab/>
        <w:t xml:space="preserve">F. Brivio, K. T. Butler, A. Walsh, M. Van Schilfgaarde, </w:t>
      </w:r>
      <w:r w:rsidRPr="00021102">
        <w:rPr>
          <w:i/>
          <w:iCs/>
          <w:noProof/>
          <w:lang w:val="en-GB"/>
        </w:rPr>
        <w:t>Phys. Rev. B - Condens. Matter Mater. Phys.</w:t>
      </w:r>
      <w:r w:rsidRPr="00021102">
        <w:rPr>
          <w:noProof/>
          <w:lang w:val="en-GB"/>
        </w:rPr>
        <w:t xml:space="preserve"> </w:t>
      </w:r>
      <w:r w:rsidRPr="00021102">
        <w:rPr>
          <w:b/>
          <w:bCs/>
          <w:noProof/>
          <w:lang w:val="en-GB"/>
        </w:rPr>
        <w:t>2014</w:t>
      </w:r>
      <w:r w:rsidRPr="00021102">
        <w:rPr>
          <w:noProof/>
          <w:lang w:val="en-GB"/>
        </w:rPr>
        <w:t xml:space="preserve">, </w:t>
      </w:r>
      <w:r w:rsidRPr="00021102">
        <w:rPr>
          <w:i/>
          <w:iCs/>
          <w:noProof/>
          <w:lang w:val="en-GB"/>
        </w:rPr>
        <w:t>89</w:t>
      </w:r>
      <w:r w:rsidRPr="00021102">
        <w:rPr>
          <w:noProof/>
          <w:lang w:val="en-GB"/>
        </w:rPr>
        <w:t>, 1.</w:t>
      </w:r>
    </w:p>
    <w:p w14:paraId="276F64DB"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[23]</w:t>
      </w:r>
      <w:r w:rsidRPr="00021102">
        <w:rPr>
          <w:noProof/>
          <w:lang w:val="en-GB"/>
        </w:rPr>
        <w:tab/>
        <w:t xml:space="preserve">K. Galkowski, A. Mitioglu, A. Miyata, P. Plochocka, O. Portugall, G. E. Eperon, J. T. W. Wang, T. Stergiopoulos, S. D. Stranks, H. J. Snaith, R. J. Nicholas, </w:t>
      </w:r>
      <w:r w:rsidRPr="00021102">
        <w:rPr>
          <w:i/>
          <w:iCs/>
          <w:noProof/>
          <w:lang w:val="en-GB"/>
        </w:rPr>
        <w:t>Energy Environ. Sci.</w:t>
      </w:r>
      <w:r w:rsidRPr="00021102">
        <w:rPr>
          <w:noProof/>
          <w:lang w:val="en-GB"/>
        </w:rPr>
        <w:t xml:space="preserve"> </w:t>
      </w:r>
      <w:r w:rsidRPr="00021102">
        <w:rPr>
          <w:b/>
          <w:bCs/>
          <w:noProof/>
          <w:lang w:val="en-GB"/>
        </w:rPr>
        <w:t>2016</w:t>
      </w:r>
      <w:r w:rsidRPr="00021102">
        <w:rPr>
          <w:noProof/>
          <w:lang w:val="en-GB"/>
        </w:rPr>
        <w:t xml:space="preserve">, </w:t>
      </w:r>
      <w:r w:rsidRPr="00021102">
        <w:rPr>
          <w:i/>
          <w:iCs/>
          <w:noProof/>
          <w:lang w:val="en-GB"/>
        </w:rPr>
        <w:t>9</w:t>
      </w:r>
      <w:r w:rsidRPr="00021102">
        <w:rPr>
          <w:noProof/>
          <w:lang w:val="en-GB"/>
        </w:rPr>
        <w:t>, 962.</w:t>
      </w:r>
    </w:p>
    <w:p w14:paraId="777CE339"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[24]</w:t>
      </w:r>
      <w:r w:rsidRPr="00021102">
        <w:rPr>
          <w:noProof/>
          <w:lang w:val="en-GB"/>
        </w:rPr>
        <w:tab/>
        <w:t xml:space="preserve">L. D. Whalley, J. M. Frost, Y. K. Jung, A. Walsh, </w:t>
      </w:r>
      <w:r w:rsidRPr="00021102">
        <w:rPr>
          <w:i/>
          <w:iCs/>
          <w:noProof/>
          <w:lang w:val="en-GB"/>
        </w:rPr>
        <w:t>J. Chem. Phys.</w:t>
      </w:r>
      <w:r w:rsidRPr="00021102">
        <w:rPr>
          <w:noProof/>
          <w:lang w:val="en-GB"/>
        </w:rPr>
        <w:t xml:space="preserve"> </w:t>
      </w:r>
      <w:r w:rsidRPr="00021102">
        <w:rPr>
          <w:b/>
          <w:bCs/>
          <w:noProof/>
          <w:lang w:val="en-GB"/>
        </w:rPr>
        <w:t>2017</w:t>
      </w:r>
      <w:r w:rsidRPr="00021102">
        <w:rPr>
          <w:noProof/>
          <w:lang w:val="en-GB"/>
        </w:rPr>
        <w:t xml:space="preserve">, </w:t>
      </w:r>
      <w:r w:rsidRPr="00021102">
        <w:rPr>
          <w:i/>
          <w:iCs/>
          <w:noProof/>
          <w:lang w:val="en-GB"/>
        </w:rPr>
        <w:t>146</w:t>
      </w:r>
      <w:r w:rsidRPr="00021102">
        <w:rPr>
          <w:noProof/>
          <w:lang w:val="en-GB"/>
        </w:rPr>
        <w:t>, DOI 10.1063/1.4984964.</w:t>
      </w:r>
    </w:p>
    <w:p w14:paraId="0D25EE5B"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[25]</w:t>
      </w:r>
      <w:r w:rsidRPr="00021102">
        <w:rPr>
          <w:noProof/>
          <w:lang w:val="en-GB"/>
        </w:rPr>
        <w:tab/>
        <w:t xml:space="preserve">A. D. Wright, C. Verdi, R. L. Milot, G. E. Eperon, M. A. Pérez-Osorio, H. J. Snaith, F. Giustino, M. B. Johnston, L. M. Herz, </w:t>
      </w:r>
      <w:r w:rsidRPr="00021102">
        <w:rPr>
          <w:i/>
          <w:iCs/>
          <w:noProof/>
          <w:lang w:val="en-GB"/>
        </w:rPr>
        <w:t>Nat. Commun.</w:t>
      </w:r>
      <w:r w:rsidRPr="00021102">
        <w:rPr>
          <w:noProof/>
          <w:lang w:val="en-GB"/>
        </w:rPr>
        <w:t xml:space="preserve"> </w:t>
      </w:r>
      <w:r w:rsidRPr="00021102">
        <w:rPr>
          <w:b/>
          <w:bCs/>
          <w:noProof/>
          <w:lang w:val="en-GB"/>
        </w:rPr>
        <w:t>2016</w:t>
      </w:r>
      <w:r w:rsidRPr="00021102">
        <w:rPr>
          <w:noProof/>
          <w:lang w:val="en-GB"/>
        </w:rPr>
        <w:t xml:space="preserve">, </w:t>
      </w:r>
      <w:r w:rsidRPr="00021102">
        <w:rPr>
          <w:i/>
          <w:iCs/>
          <w:noProof/>
          <w:lang w:val="en-GB"/>
        </w:rPr>
        <w:t>7</w:t>
      </w:r>
      <w:r w:rsidRPr="00021102">
        <w:rPr>
          <w:noProof/>
          <w:lang w:val="en-GB"/>
        </w:rPr>
        <w:t>, DOI 10.1038/ncomms11755.</w:t>
      </w:r>
    </w:p>
    <w:p w14:paraId="0335DB39"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[26]</w:t>
      </w:r>
      <w:r w:rsidRPr="00021102">
        <w:rPr>
          <w:noProof/>
          <w:lang w:val="en-GB"/>
        </w:rPr>
        <w:tab/>
        <w:t xml:space="preserve">C. L. Davies, M. R. Filip, J. B. Patel, T. W. Crothers, C. Verdi, A. D. Wright, R. L. Milot, F. Giustino, M. B. Johnston, L. M. Herz, </w:t>
      </w:r>
      <w:r w:rsidRPr="00021102">
        <w:rPr>
          <w:i/>
          <w:iCs/>
          <w:noProof/>
          <w:lang w:val="en-GB"/>
        </w:rPr>
        <w:t>Nat. Commun.</w:t>
      </w:r>
      <w:r w:rsidRPr="00021102">
        <w:rPr>
          <w:noProof/>
          <w:lang w:val="en-GB"/>
        </w:rPr>
        <w:t xml:space="preserve"> </w:t>
      </w:r>
      <w:r w:rsidRPr="00021102">
        <w:rPr>
          <w:b/>
          <w:bCs/>
          <w:noProof/>
          <w:lang w:val="en-GB"/>
        </w:rPr>
        <w:t>2018</w:t>
      </w:r>
      <w:r w:rsidRPr="00021102">
        <w:rPr>
          <w:noProof/>
          <w:lang w:val="en-GB"/>
        </w:rPr>
        <w:t xml:space="preserve">, </w:t>
      </w:r>
      <w:r w:rsidRPr="00021102">
        <w:rPr>
          <w:i/>
          <w:iCs/>
          <w:noProof/>
          <w:lang w:val="en-GB"/>
        </w:rPr>
        <w:t>9</w:t>
      </w:r>
      <w:r w:rsidRPr="00021102">
        <w:rPr>
          <w:noProof/>
          <w:lang w:val="en-GB"/>
        </w:rPr>
        <w:t>, 1.</w:t>
      </w:r>
    </w:p>
    <w:p w14:paraId="4427DC18"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[27]</w:t>
      </w:r>
      <w:r w:rsidRPr="00021102">
        <w:rPr>
          <w:noProof/>
          <w:lang w:val="en-GB"/>
        </w:rPr>
        <w:tab/>
        <w:t xml:space="preserve">E. M. Hutter, J. J. Hofman, M. L. Petrus, M. Moes, R. D. Abellón, P. Docampo, T. J. Savenije, </w:t>
      </w:r>
      <w:r w:rsidRPr="00021102">
        <w:rPr>
          <w:i/>
          <w:iCs/>
          <w:noProof/>
          <w:lang w:val="en-GB"/>
        </w:rPr>
        <w:t>Adv. Energy Mater.</w:t>
      </w:r>
      <w:r w:rsidRPr="00021102">
        <w:rPr>
          <w:noProof/>
          <w:lang w:val="en-GB"/>
        </w:rPr>
        <w:t xml:space="preserve"> </w:t>
      </w:r>
      <w:r w:rsidRPr="00021102">
        <w:rPr>
          <w:b/>
          <w:bCs/>
          <w:noProof/>
          <w:lang w:val="en-GB"/>
        </w:rPr>
        <w:t>2017</w:t>
      </w:r>
      <w:r w:rsidRPr="00021102">
        <w:rPr>
          <w:noProof/>
          <w:lang w:val="en-GB"/>
        </w:rPr>
        <w:t xml:space="preserve">, </w:t>
      </w:r>
      <w:r w:rsidRPr="00021102">
        <w:rPr>
          <w:i/>
          <w:iCs/>
          <w:noProof/>
          <w:lang w:val="en-GB"/>
        </w:rPr>
        <w:t>7</w:t>
      </w:r>
      <w:r w:rsidRPr="00021102">
        <w:rPr>
          <w:noProof/>
          <w:lang w:val="en-GB"/>
        </w:rPr>
        <w:t>, DOI 10.1002/aenm.201602349.</w:t>
      </w:r>
    </w:p>
    <w:p w14:paraId="48335C03"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[28]</w:t>
      </w:r>
      <w:r w:rsidRPr="00021102">
        <w:rPr>
          <w:noProof/>
          <w:lang w:val="en-GB"/>
        </w:rPr>
        <w:tab/>
        <w:t xml:space="preserve">V. M. Caselli, Z. Wei, M. M. Ackermans, E. M. Hutter, B. Ehrler, T. J. Savenije, </w:t>
      </w:r>
      <w:r w:rsidRPr="00021102">
        <w:rPr>
          <w:i/>
          <w:iCs/>
          <w:noProof/>
          <w:lang w:val="en-GB"/>
        </w:rPr>
        <w:t>ACS Energy Lett.</w:t>
      </w:r>
      <w:r w:rsidRPr="00021102">
        <w:rPr>
          <w:noProof/>
          <w:lang w:val="en-GB"/>
        </w:rPr>
        <w:t xml:space="preserve"> </w:t>
      </w:r>
      <w:r w:rsidRPr="00021102">
        <w:rPr>
          <w:b/>
          <w:bCs/>
          <w:noProof/>
          <w:lang w:val="en-GB"/>
        </w:rPr>
        <w:t>2020</w:t>
      </w:r>
      <w:r w:rsidRPr="00021102">
        <w:rPr>
          <w:noProof/>
          <w:lang w:val="en-GB"/>
        </w:rPr>
        <w:t xml:space="preserve">, </w:t>
      </w:r>
      <w:r w:rsidRPr="00021102">
        <w:rPr>
          <w:i/>
          <w:iCs/>
          <w:noProof/>
          <w:lang w:val="en-GB"/>
        </w:rPr>
        <w:t>5</w:t>
      </w:r>
      <w:r w:rsidRPr="00021102">
        <w:rPr>
          <w:noProof/>
          <w:lang w:val="en-GB"/>
        </w:rPr>
        <w:t>, 3821.</w:t>
      </w:r>
    </w:p>
    <w:p w14:paraId="755DC105"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[29]</w:t>
      </w:r>
      <w:r w:rsidRPr="00021102">
        <w:rPr>
          <w:noProof/>
          <w:lang w:val="en-GB"/>
        </w:rPr>
        <w:tab/>
        <w:t xml:space="preserve">J. Zhao, V. M. Caselli, M. Bus, B. Boshuizen, T. J. Savenije, </w:t>
      </w:r>
      <w:r w:rsidRPr="00021102">
        <w:rPr>
          <w:i/>
          <w:iCs/>
          <w:noProof/>
          <w:lang w:val="en-GB"/>
        </w:rPr>
        <w:t>ACS Appl. Mater. Interfaces</w:t>
      </w:r>
      <w:r w:rsidRPr="00021102">
        <w:rPr>
          <w:noProof/>
          <w:lang w:val="en-GB"/>
        </w:rPr>
        <w:t xml:space="preserve"> </w:t>
      </w:r>
      <w:r w:rsidRPr="00021102">
        <w:rPr>
          <w:b/>
          <w:bCs/>
          <w:noProof/>
          <w:lang w:val="en-GB"/>
        </w:rPr>
        <w:t>2021</w:t>
      </w:r>
      <w:r w:rsidRPr="00021102">
        <w:rPr>
          <w:noProof/>
          <w:lang w:val="en-GB"/>
        </w:rPr>
        <w:t xml:space="preserve">, </w:t>
      </w:r>
      <w:r w:rsidRPr="00021102">
        <w:rPr>
          <w:i/>
          <w:iCs/>
          <w:noProof/>
          <w:lang w:val="en-GB"/>
        </w:rPr>
        <w:t>13</w:t>
      </w:r>
      <w:r w:rsidRPr="00021102">
        <w:rPr>
          <w:noProof/>
          <w:lang w:val="en-GB"/>
        </w:rPr>
        <w:t>, 16309.</w:t>
      </w:r>
    </w:p>
    <w:p w14:paraId="28C2C62B" w14:textId="77777777" w:rsidR="00021102" w:rsidRPr="00021102" w:rsidRDefault="00021102" w:rsidP="00021102">
      <w:pPr>
        <w:widowControl w:val="0"/>
        <w:autoSpaceDE w:val="0"/>
        <w:autoSpaceDN w:val="0"/>
        <w:adjustRightInd w:val="0"/>
        <w:ind w:left="640" w:hanging="640"/>
        <w:rPr>
          <w:noProof/>
          <w:lang w:val="en-GB"/>
        </w:rPr>
      </w:pPr>
      <w:r w:rsidRPr="00021102">
        <w:rPr>
          <w:noProof/>
          <w:lang w:val="en-GB"/>
        </w:rPr>
        <w:t>[30]</w:t>
      </w:r>
      <w:r w:rsidRPr="00021102">
        <w:rPr>
          <w:noProof/>
          <w:lang w:val="en-GB"/>
        </w:rPr>
        <w:tab/>
        <w:t xml:space="preserve">C. S. Ponseca, T. J. Savenije, M. Abdellah, K. Zheng, A. Yartsev, T. Pascher, T. Harlang, P. Chabera, T. Pullerits, A. Stepanov, J. P. Wolf, V. Sundström, </w:t>
      </w:r>
      <w:r w:rsidRPr="00021102">
        <w:rPr>
          <w:i/>
          <w:iCs/>
          <w:noProof/>
          <w:lang w:val="en-GB"/>
        </w:rPr>
        <w:t>J. Am. Chem. Soc.</w:t>
      </w:r>
      <w:r w:rsidRPr="00021102">
        <w:rPr>
          <w:noProof/>
          <w:lang w:val="en-GB"/>
        </w:rPr>
        <w:t xml:space="preserve"> </w:t>
      </w:r>
      <w:r w:rsidRPr="00021102">
        <w:rPr>
          <w:b/>
          <w:bCs/>
          <w:noProof/>
          <w:lang w:val="en-GB"/>
        </w:rPr>
        <w:t>2014</w:t>
      </w:r>
      <w:r w:rsidRPr="00021102">
        <w:rPr>
          <w:noProof/>
          <w:lang w:val="en-GB"/>
        </w:rPr>
        <w:t xml:space="preserve">, </w:t>
      </w:r>
      <w:r w:rsidRPr="00021102">
        <w:rPr>
          <w:i/>
          <w:iCs/>
          <w:noProof/>
          <w:lang w:val="en-GB"/>
        </w:rPr>
        <w:t>136</w:t>
      </w:r>
      <w:r w:rsidRPr="00021102">
        <w:rPr>
          <w:noProof/>
          <w:lang w:val="en-GB"/>
        </w:rPr>
        <w:t>, 5189.</w:t>
      </w:r>
    </w:p>
    <w:p w14:paraId="53392215" w14:textId="77777777" w:rsidR="00021102" w:rsidRPr="00021102" w:rsidRDefault="00021102" w:rsidP="00021102">
      <w:pPr>
        <w:widowControl w:val="0"/>
        <w:autoSpaceDE w:val="0"/>
        <w:autoSpaceDN w:val="0"/>
        <w:adjustRightInd w:val="0"/>
        <w:ind w:left="640" w:hanging="640"/>
        <w:rPr>
          <w:noProof/>
        </w:rPr>
      </w:pPr>
      <w:r w:rsidRPr="00021102">
        <w:rPr>
          <w:noProof/>
          <w:lang w:val="en-GB"/>
        </w:rPr>
        <w:t>[31]</w:t>
      </w:r>
      <w:r w:rsidRPr="00021102">
        <w:rPr>
          <w:noProof/>
          <w:lang w:val="en-GB"/>
        </w:rPr>
        <w:tab/>
        <w:t xml:space="preserve">M. H. Futscher, J. M. Lee, L. McGovern, L. A. Muscarella, T. Wang, M. I. Haider, A. Fakharuddin, L. Schmidt-Mende, B. Ehrler, </w:t>
      </w:r>
      <w:r w:rsidRPr="00021102">
        <w:rPr>
          <w:i/>
          <w:iCs/>
          <w:noProof/>
          <w:lang w:val="en-GB"/>
        </w:rPr>
        <w:t>Mater. Horizons</w:t>
      </w:r>
      <w:r w:rsidRPr="00021102">
        <w:rPr>
          <w:noProof/>
          <w:lang w:val="en-GB"/>
        </w:rPr>
        <w:t xml:space="preserve"> </w:t>
      </w:r>
      <w:r w:rsidRPr="00021102">
        <w:rPr>
          <w:b/>
          <w:bCs/>
          <w:noProof/>
          <w:lang w:val="en-GB"/>
        </w:rPr>
        <w:t>2019</w:t>
      </w:r>
      <w:r w:rsidRPr="00021102">
        <w:rPr>
          <w:noProof/>
          <w:lang w:val="en-GB"/>
        </w:rPr>
        <w:t xml:space="preserve">, </w:t>
      </w:r>
      <w:r w:rsidRPr="00021102">
        <w:rPr>
          <w:i/>
          <w:iCs/>
          <w:noProof/>
          <w:lang w:val="en-GB"/>
        </w:rPr>
        <w:t>6</w:t>
      </w:r>
      <w:r w:rsidRPr="00021102">
        <w:rPr>
          <w:noProof/>
          <w:lang w:val="en-GB"/>
        </w:rPr>
        <w:t>, 1497.</w:t>
      </w:r>
    </w:p>
    <w:p w14:paraId="459F6EF2" w14:textId="51DD5DE3" w:rsidR="00A91010" w:rsidRPr="00A91010" w:rsidRDefault="00A91010" w:rsidP="00021102">
      <w:pPr>
        <w:widowControl w:val="0"/>
        <w:autoSpaceDE w:val="0"/>
        <w:autoSpaceDN w:val="0"/>
        <w:adjustRightInd w:val="0"/>
        <w:ind w:left="640" w:hanging="640"/>
        <w:rPr>
          <w:b/>
          <w:lang w:val="en-GB"/>
        </w:rPr>
      </w:pPr>
      <w:r>
        <w:rPr>
          <w:b/>
          <w:lang w:val="en-GB"/>
        </w:rPr>
        <w:lastRenderedPageBreak/>
        <w:fldChar w:fldCharType="end"/>
      </w:r>
    </w:p>
    <w:sectPr w:rsidR="00A91010" w:rsidRPr="00A91010">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49B2D" w14:textId="77777777" w:rsidR="00166EE5" w:rsidRDefault="00166EE5">
      <w:r>
        <w:separator/>
      </w:r>
    </w:p>
  </w:endnote>
  <w:endnote w:type="continuationSeparator" w:id="0">
    <w:p w14:paraId="6C1C865D" w14:textId="77777777" w:rsidR="00166EE5" w:rsidRDefault="00166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D3BF7" w14:textId="77777777" w:rsidR="00EC5E46" w:rsidRDefault="00EC5E4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4BBE" w14:textId="77777777" w:rsidR="00266AD8" w:rsidRDefault="00266AD8">
    <w:pPr>
      <w:pStyle w:val="Voettekst"/>
      <w:jc w:val="center"/>
    </w:pPr>
    <w:r>
      <w:fldChar w:fldCharType="begin"/>
    </w:r>
    <w:r>
      <w:instrText>PAGE   \* MERGEFORMAT</w:instrText>
    </w:r>
    <w:r>
      <w:fldChar w:fldCharType="separate"/>
    </w:r>
    <w:r>
      <w:rPr>
        <w:noProof/>
      </w:rPr>
      <w:t>5</w:t>
    </w:r>
    <w:r>
      <w:fldChar w:fldCharType="end"/>
    </w:r>
  </w:p>
  <w:p w14:paraId="3D99996E" w14:textId="77777777" w:rsidR="00266AD8" w:rsidRDefault="00266AD8" w:rsidP="00881456">
    <w:pPr>
      <w:pStyle w:val="Voetteks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6B554" w14:textId="77777777" w:rsidR="00EC5E46" w:rsidRDefault="00EC5E4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27DD3" w14:textId="77777777" w:rsidR="00166EE5" w:rsidRDefault="00166EE5">
      <w:r>
        <w:separator/>
      </w:r>
    </w:p>
  </w:footnote>
  <w:footnote w:type="continuationSeparator" w:id="0">
    <w:p w14:paraId="7DDB1423" w14:textId="77777777" w:rsidR="00166EE5" w:rsidRDefault="00166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DD574" w14:textId="77777777" w:rsidR="00EC5E46" w:rsidRDefault="00EC5E4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9CD16" w14:textId="68CE3252" w:rsidR="00EC5E46" w:rsidRDefault="00EC5E46" w:rsidP="00EC5E46">
    <w:pPr>
      <w:pStyle w:val="Koptekst"/>
    </w:pPr>
    <w:proofErr w:type="spellStart"/>
    <w:r>
      <w:t>Published</w:t>
    </w:r>
    <w:proofErr w:type="spellEnd"/>
    <w:r>
      <w:t xml:space="preserve"> in: </w:t>
    </w:r>
    <w:proofErr w:type="spellStart"/>
    <w:r>
      <w:t>Halide</w:t>
    </w:r>
    <w:proofErr w:type="spellEnd"/>
    <w:r>
      <w:t xml:space="preserve"> </w:t>
    </w:r>
    <w:proofErr w:type="spellStart"/>
    <w:r>
      <w:t>Perovskite</w:t>
    </w:r>
    <w:proofErr w:type="spellEnd"/>
    <w:r>
      <w:t xml:space="preserve"> Semiconductors: </w:t>
    </w:r>
    <w:proofErr w:type="spellStart"/>
    <w:r>
      <w:t>Structures</w:t>
    </w:r>
    <w:proofErr w:type="spellEnd"/>
    <w:r>
      <w:t xml:space="preserve">, </w:t>
    </w:r>
    <w:proofErr w:type="spellStart"/>
    <w:r>
      <w:t>Characterization</w:t>
    </w:r>
    <w:proofErr w:type="spellEnd"/>
    <w:r>
      <w:t xml:space="preserve">, </w:t>
    </w:r>
    <w:proofErr w:type="spellStart"/>
    <w:r>
      <w:t>Properties</w:t>
    </w:r>
    <w:proofErr w:type="spellEnd"/>
    <w:r>
      <w:t xml:space="preserve">, </w:t>
    </w:r>
    <w:proofErr w:type="spellStart"/>
    <w:r>
      <w:t>and</w:t>
    </w:r>
    <w:proofErr w:type="spellEnd"/>
    <w:r>
      <w:t xml:space="preserve"> </w:t>
    </w:r>
    <w:proofErr w:type="spellStart"/>
    <w:r>
      <w:t>Phenomena</w:t>
    </w:r>
    <w:proofErr w:type="spellEnd"/>
    <w:r w:rsidRPr="00EC5E46">
      <w:rPr>
        <w:lang w:val="en-GB"/>
      </w:rPr>
      <w:t xml:space="preserve"> </w:t>
    </w:r>
    <w:r>
      <w:rPr>
        <w:lang w:val="en-GB"/>
      </w:rPr>
      <w:t xml:space="preserve">- </w:t>
    </w:r>
    <w:r>
      <w:t>Editor(s):Yuanyuan Zhou, Iván Mora Seró - DOI:10.1002/9783527829026</w:t>
    </w:r>
  </w:p>
  <w:p w14:paraId="3A92552A" w14:textId="65C6899A" w:rsidR="00266AD8" w:rsidRPr="009B44CC" w:rsidRDefault="00266AD8" w:rsidP="009B44CC">
    <w:pPr>
      <w:pStyle w:val="Koptekst"/>
      <w:tabs>
        <w:tab w:val="left" w:pos="5003"/>
      </w:tabs>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F3098" w14:textId="77777777" w:rsidR="00EC5E46" w:rsidRDefault="00EC5E4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A9C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DBF051F"/>
    <w:multiLevelType w:val="hybridMultilevel"/>
    <w:tmpl w:val="FA7AC90A"/>
    <w:lvl w:ilvl="0" w:tplc="27BCB53E">
      <w:start w:val="1"/>
      <w:numFmt w:val="lowerLetter"/>
      <w:lvlText w:val="%1."/>
      <w:lvlJc w:val="left"/>
      <w:pPr>
        <w:ind w:left="502" w:hanging="360"/>
      </w:pPr>
      <w:rPr>
        <w:rFonts w:ascii="Times New Roman" w:eastAsia="Calibri" w:hAnsi="Times New Roman" w:cs="Times New Roman"/>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51102137"/>
    <w:multiLevelType w:val="hybridMultilevel"/>
    <w:tmpl w:val="3630281A"/>
    <w:lvl w:ilvl="0" w:tplc="5D446B8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785C1D"/>
    <w:multiLevelType w:val="hybridMultilevel"/>
    <w:tmpl w:val="124AF33E"/>
    <w:lvl w:ilvl="0" w:tplc="2FB467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F54C25"/>
    <w:multiLevelType w:val="hybridMultilevel"/>
    <w:tmpl w:val="389E6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3041645">
    <w:abstractNumId w:val="0"/>
  </w:num>
  <w:num w:numId="2" w16cid:durableId="1607300385">
    <w:abstractNumId w:val="3"/>
  </w:num>
  <w:num w:numId="3" w16cid:durableId="2008248600">
    <w:abstractNumId w:val="4"/>
  </w:num>
  <w:num w:numId="4" w16cid:durableId="152987574">
    <w:abstractNumId w:val="1"/>
  </w:num>
  <w:num w:numId="5" w16cid:durableId="20832105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211A"/>
    <w:rsid w:val="0000374D"/>
    <w:rsid w:val="00004A23"/>
    <w:rsid w:val="0000567C"/>
    <w:rsid w:val="00006A0A"/>
    <w:rsid w:val="0000703E"/>
    <w:rsid w:val="000112FC"/>
    <w:rsid w:val="000118B0"/>
    <w:rsid w:val="00011F40"/>
    <w:rsid w:val="0001454A"/>
    <w:rsid w:val="00015F2B"/>
    <w:rsid w:val="0001683C"/>
    <w:rsid w:val="000172E7"/>
    <w:rsid w:val="00020D9C"/>
    <w:rsid w:val="00021102"/>
    <w:rsid w:val="000214A8"/>
    <w:rsid w:val="00023F64"/>
    <w:rsid w:val="00025895"/>
    <w:rsid w:val="00025A68"/>
    <w:rsid w:val="00027821"/>
    <w:rsid w:val="00027839"/>
    <w:rsid w:val="00027FB5"/>
    <w:rsid w:val="000314D2"/>
    <w:rsid w:val="00032B2D"/>
    <w:rsid w:val="0003318F"/>
    <w:rsid w:val="00033464"/>
    <w:rsid w:val="00033BCB"/>
    <w:rsid w:val="00035A55"/>
    <w:rsid w:val="00035B23"/>
    <w:rsid w:val="00037E1C"/>
    <w:rsid w:val="0004069E"/>
    <w:rsid w:val="0004094E"/>
    <w:rsid w:val="00040B7B"/>
    <w:rsid w:val="000437F7"/>
    <w:rsid w:val="00044F69"/>
    <w:rsid w:val="00045DBD"/>
    <w:rsid w:val="00045E20"/>
    <w:rsid w:val="0004608A"/>
    <w:rsid w:val="000463BE"/>
    <w:rsid w:val="00046E29"/>
    <w:rsid w:val="00050985"/>
    <w:rsid w:val="00050F88"/>
    <w:rsid w:val="0005262E"/>
    <w:rsid w:val="0005439C"/>
    <w:rsid w:val="000549CE"/>
    <w:rsid w:val="0005501E"/>
    <w:rsid w:val="00055883"/>
    <w:rsid w:val="00056DC8"/>
    <w:rsid w:val="0006044D"/>
    <w:rsid w:val="00062324"/>
    <w:rsid w:val="00063C0E"/>
    <w:rsid w:val="0006447A"/>
    <w:rsid w:val="000677B6"/>
    <w:rsid w:val="0007145F"/>
    <w:rsid w:val="00072EA7"/>
    <w:rsid w:val="00074D57"/>
    <w:rsid w:val="00076EAD"/>
    <w:rsid w:val="0007772F"/>
    <w:rsid w:val="00081B57"/>
    <w:rsid w:val="0008287E"/>
    <w:rsid w:val="00083031"/>
    <w:rsid w:val="00083700"/>
    <w:rsid w:val="00084CEA"/>
    <w:rsid w:val="00085489"/>
    <w:rsid w:val="0008740B"/>
    <w:rsid w:val="000904D3"/>
    <w:rsid w:val="0009309C"/>
    <w:rsid w:val="00093F1B"/>
    <w:rsid w:val="00095E72"/>
    <w:rsid w:val="000968EA"/>
    <w:rsid w:val="00096D17"/>
    <w:rsid w:val="000A1F4B"/>
    <w:rsid w:val="000A21A9"/>
    <w:rsid w:val="000A360D"/>
    <w:rsid w:val="000A3E93"/>
    <w:rsid w:val="000A472C"/>
    <w:rsid w:val="000A5382"/>
    <w:rsid w:val="000A5773"/>
    <w:rsid w:val="000A58EF"/>
    <w:rsid w:val="000A6252"/>
    <w:rsid w:val="000A682F"/>
    <w:rsid w:val="000B0062"/>
    <w:rsid w:val="000B05A0"/>
    <w:rsid w:val="000B33EE"/>
    <w:rsid w:val="000B4293"/>
    <w:rsid w:val="000C05C1"/>
    <w:rsid w:val="000C259E"/>
    <w:rsid w:val="000C3B70"/>
    <w:rsid w:val="000C3E0C"/>
    <w:rsid w:val="000C4743"/>
    <w:rsid w:val="000C6252"/>
    <w:rsid w:val="000C6F8A"/>
    <w:rsid w:val="000D0EDB"/>
    <w:rsid w:val="000D2D4B"/>
    <w:rsid w:val="000D38E5"/>
    <w:rsid w:val="000D3EAA"/>
    <w:rsid w:val="000D45F4"/>
    <w:rsid w:val="000D5112"/>
    <w:rsid w:val="000D5AB4"/>
    <w:rsid w:val="000D6628"/>
    <w:rsid w:val="000D66DB"/>
    <w:rsid w:val="000D7EBA"/>
    <w:rsid w:val="000E1A1E"/>
    <w:rsid w:val="000E30F6"/>
    <w:rsid w:val="000E4CAA"/>
    <w:rsid w:val="000E68AE"/>
    <w:rsid w:val="000E788B"/>
    <w:rsid w:val="000E7A5B"/>
    <w:rsid w:val="000E7BBA"/>
    <w:rsid w:val="000E7F4C"/>
    <w:rsid w:val="000F1879"/>
    <w:rsid w:val="000F512F"/>
    <w:rsid w:val="000F5D2D"/>
    <w:rsid w:val="001013F4"/>
    <w:rsid w:val="00101B56"/>
    <w:rsid w:val="00102555"/>
    <w:rsid w:val="00102BF9"/>
    <w:rsid w:val="001037B0"/>
    <w:rsid w:val="00105010"/>
    <w:rsid w:val="001054D4"/>
    <w:rsid w:val="00105EF8"/>
    <w:rsid w:val="0010686C"/>
    <w:rsid w:val="00107C5F"/>
    <w:rsid w:val="00107CCC"/>
    <w:rsid w:val="00110011"/>
    <w:rsid w:val="001105BD"/>
    <w:rsid w:val="001159BC"/>
    <w:rsid w:val="00116AEA"/>
    <w:rsid w:val="00116C82"/>
    <w:rsid w:val="00120260"/>
    <w:rsid w:val="00120E85"/>
    <w:rsid w:val="00121174"/>
    <w:rsid w:val="001217A4"/>
    <w:rsid w:val="00122BF2"/>
    <w:rsid w:val="00123ADA"/>
    <w:rsid w:val="0012499F"/>
    <w:rsid w:val="00125573"/>
    <w:rsid w:val="00125B3D"/>
    <w:rsid w:val="0012642A"/>
    <w:rsid w:val="00126958"/>
    <w:rsid w:val="00126D17"/>
    <w:rsid w:val="00130206"/>
    <w:rsid w:val="001305BF"/>
    <w:rsid w:val="00131D58"/>
    <w:rsid w:val="001325B9"/>
    <w:rsid w:val="00132CBD"/>
    <w:rsid w:val="00136C94"/>
    <w:rsid w:val="001370B1"/>
    <w:rsid w:val="001377CA"/>
    <w:rsid w:val="001401F6"/>
    <w:rsid w:val="00140B94"/>
    <w:rsid w:val="00144C41"/>
    <w:rsid w:val="001450FB"/>
    <w:rsid w:val="0014658A"/>
    <w:rsid w:val="00147086"/>
    <w:rsid w:val="00147DB8"/>
    <w:rsid w:val="0015127C"/>
    <w:rsid w:val="00151683"/>
    <w:rsid w:val="001525BD"/>
    <w:rsid w:val="0015392F"/>
    <w:rsid w:val="0015563E"/>
    <w:rsid w:val="00155F66"/>
    <w:rsid w:val="00156120"/>
    <w:rsid w:val="001617FB"/>
    <w:rsid w:val="0016390D"/>
    <w:rsid w:val="00164057"/>
    <w:rsid w:val="00164957"/>
    <w:rsid w:val="00165986"/>
    <w:rsid w:val="00165B37"/>
    <w:rsid w:val="00166EE5"/>
    <w:rsid w:val="00170369"/>
    <w:rsid w:val="0017075D"/>
    <w:rsid w:val="00173757"/>
    <w:rsid w:val="00174176"/>
    <w:rsid w:val="00174DFC"/>
    <w:rsid w:val="001779E0"/>
    <w:rsid w:val="00181428"/>
    <w:rsid w:val="00181D92"/>
    <w:rsid w:val="001823B6"/>
    <w:rsid w:val="00184400"/>
    <w:rsid w:val="001848EB"/>
    <w:rsid w:val="00187DB9"/>
    <w:rsid w:val="00190753"/>
    <w:rsid w:val="0019077D"/>
    <w:rsid w:val="0019194D"/>
    <w:rsid w:val="00194C44"/>
    <w:rsid w:val="001A097B"/>
    <w:rsid w:val="001A4240"/>
    <w:rsid w:val="001A4574"/>
    <w:rsid w:val="001A6821"/>
    <w:rsid w:val="001A734D"/>
    <w:rsid w:val="001A7432"/>
    <w:rsid w:val="001A7AEC"/>
    <w:rsid w:val="001B4224"/>
    <w:rsid w:val="001B42BA"/>
    <w:rsid w:val="001B7472"/>
    <w:rsid w:val="001C0871"/>
    <w:rsid w:val="001C1006"/>
    <w:rsid w:val="001C10AC"/>
    <w:rsid w:val="001C4663"/>
    <w:rsid w:val="001C5114"/>
    <w:rsid w:val="001C55FB"/>
    <w:rsid w:val="001C5A5F"/>
    <w:rsid w:val="001D12BC"/>
    <w:rsid w:val="001D2CA9"/>
    <w:rsid w:val="001D3B0F"/>
    <w:rsid w:val="001D3DFA"/>
    <w:rsid w:val="001D561D"/>
    <w:rsid w:val="001D6716"/>
    <w:rsid w:val="001E03A2"/>
    <w:rsid w:val="001E18CC"/>
    <w:rsid w:val="001E3D2D"/>
    <w:rsid w:val="001E4605"/>
    <w:rsid w:val="001E4EC4"/>
    <w:rsid w:val="001E5F4E"/>
    <w:rsid w:val="001F137E"/>
    <w:rsid w:val="001F2689"/>
    <w:rsid w:val="001F2AB7"/>
    <w:rsid w:val="001F365A"/>
    <w:rsid w:val="001F3C9B"/>
    <w:rsid w:val="001F3E77"/>
    <w:rsid w:val="001F4BD1"/>
    <w:rsid w:val="001F5110"/>
    <w:rsid w:val="001F5702"/>
    <w:rsid w:val="001F5CC3"/>
    <w:rsid w:val="001F643C"/>
    <w:rsid w:val="001F65A2"/>
    <w:rsid w:val="001F6860"/>
    <w:rsid w:val="001F6A1F"/>
    <w:rsid w:val="002002FC"/>
    <w:rsid w:val="0020129D"/>
    <w:rsid w:val="00201F71"/>
    <w:rsid w:val="00202C06"/>
    <w:rsid w:val="00203934"/>
    <w:rsid w:val="002040C2"/>
    <w:rsid w:val="0020446B"/>
    <w:rsid w:val="00204BA7"/>
    <w:rsid w:val="002072AB"/>
    <w:rsid w:val="00207BCC"/>
    <w:rsid w:val="00210140"/>
    <w:rsid w:val="00211942"/>
    <w:rsid w:val="00212249"/>
    <w:rsid w:val="00212CD3"/>
    <w:rsid w:val="00213272"/>
    <w:rsid w:val="002137BA"/>
    <w:rsid w:val="00214D95"/>
    <w:rsid w:val="00215531"/>
    <w:rsid w:val="002162B2"/>
    <w:rsid w:val="00220933"/>
    <w:rsid w:val="00220C72"/>
    <w:rsid w:val="0022540C"/>
    <w:rsid w:val="00226AA4"/>
    <w:rsid w:val="00226BAA"/>
    <w:rsid w:val="002275C3"/>
    <w:rsid w:val="00231E48"/>
    <w:rsid w:val="00233C8A"/>
    <w:rsid w:val="00236036"/>
    <w:rsid w:val="00240590"/>
    <w:rsid w:val="00240D90"/>
    <w:rsid w:val="00243404"/>
    <w:rsid w:val="00252699"/>
    <w:rsid w:val="002526C7"/>
    <w:rsid w:val="00253CB1"/>
    <w:rsid w:val="002543F9"/>
    <w:rsid w:val="002574BA"/>
    <w:rsid w:val="00257ADD"/>
    <w:rsid w:val="00260E44"/>
    <w:rsid w:val="00261D5D"/>
    <w:rsid w:val="00263723"/>
    <w:rsid w:val="00263CF8"/>
    <w:rsid w:val="00263D43"/>
    <w:rsid w:val="00265635"/>
    <w:rsid w:val="00266389"/>
    <w:rsid w:val="00266730"/>
    <w:rsid w:val="00266AD8"/>
    <w:rsid w:val="002675F7"/>
    <w:rsid w:val="002725A5"/>
    <w:rsid w:val="0027314F"/>
    <w:rsid w:val="002757A4"/>
    <w:rsid w:val="0027668B"/>
    <w:rsid w:val="0028289F"/>
    <w:rsid w:val="0028328E"/>
    <w:rsid w:val="00284157"/>
    <w:rsid w:val="00285631"/>
    <w:rsid w:val="00287467"/>
    <w:rsid w:val="00290D94"/>
    <w:rsid w:val="0029203C"/>
    <w:rsid w:val="0029295F"/>
    <w:rsid w:val="0029482E"/>
    <w:rsid w:val="00294873"/>
    <w:rsid w:val="002958CB"/>
    <w:rsid w:val="00296682"/>
    <w:rsid w:val="002A2281"/>
    <w:rsid w:val="002A4A81"/>
    <w:rsid w:val="002A7312"/>
    <w:rsid w:val="002A73A2"/>
    <w:rsid w:val="002A7CE8"/>
    <w:rsid w:val="002B0671"/>
    <w:rsid w:val="002B06A5"/>
    <w:rsid w:val="002B262F"/>
    <w:rsid w:val="002B3553"/>
    <w:rsid w:val="002B4E58"/>
    <w:rsid w:val="002B5560"/>
    <w:rsid w:val="002B583A"/>
    <w:rsid w:val="002B5E06"/>
    <w:rsid w:val="002B7756"/>
    <w:rsid w:val="002C0CFF"/>
    <w:rsid w:val="002C1544"/>
    <w:rsid w:val="002C5465"/>
    <w:rsid w:val="002C7085"/>
    <w:rsid w:val="002C7671"/>
    <w:rsid w:val="002D09B9"/>
    <w:rsid w:val="002D16A0"/>
    <w:rsid w:val="002D2385"/>
    <w:rsid w:val="002D2930"/>
    <w:rsid w:val="002D2DFF"/>
    <w:rsid w:val="002D5BF8"/>
    <w:rsid w:val="002D7ECC"/>
    <w:rsid w:val="002E0110"/>
    <w:rsid w:val="002E1B8F"/>
    <w:rsid w:val="002E2DEF"/>
    <w:rsid w:val="002E4E3E"/>
    <w:rsid w:val="002E686D"/>
    <w:rsid w:val="002E720A"/>
    <w:rsid w:val="002E76B2"/>
    <w:rsid w:val="002E79A2"/>
    <w:rsid w:val="002F2779"/>
    <w:rsid w:val="002F2A7E"/>
    <w:rsid w:val="002F4F4B"/>
    <w:rsid w:val="002F55FD"/>
    <w:rsid w:val="002F594C"/>
    <w:rsid w:val="002F6E22"/>
    <w:rsid w:val="0030128F"/>
    <w:rsid w:val="00301984"/>
    <w:rsid w:val="00301B0B"/>
    <w:rsid w:val="00301E84"/>
    <w:rsid w:val="00302E7A"/>
    <w:rsid w:val="00303C4D"/>
    <w:rsid w:val="00303D1B"/>
    <w:rsid w:val="0030459A"/>
    <w:rsid w:val="003046B7"/>
    <w:rsid w:val="00305309"/>
    <w:rsid w:val="003105DA"/>
    <w:rsid w:val="00313D48"/>
    <w:rsid w:val="0031418A"/>
    <w:rsid w:val="00317A57"/>
    <w:rsid w:val="00317D4A"/>
    <w:rsid w:val="00320A99"/>
    <w:rsid w:val="0032144B"/>
    <w:rsid w:val="00321615"/>
    <w:rsid w:val="00322D5B"/>
    <w:rsid w:val="00324B39"/>
    <w:rsid w:val="00325AC2"/>
    <w:rsid w:val="00326A1C"/>
    <w:rsid w:val="00327FDC"/>
    <w:rsid w:val="00330741"/>
    <w:rsid w:val="003310C8"/>
    <w:rsid w:val="00335E62"/>
    <w:rsid w:val="003360E3"/>
    <w:rsid w:val="003371D5"/>
    <w:rsid w:val="003376CD"/>
    <w:rsid w:val="003405B0"/>
    <w:rsid w:val="00340A3B"/>
    <w:rsid w:val="0034472A"/>
    <w:rsid w:val="003452C3"/>
    <w:rsid w:val="00345891"/>
    <w:rsid w:val="003501A7"/>
    <w:rsid w:val="0035048A"/>
    <w:rsid w:val="0035062A"/>
    <w:rsid w:val="00350F9D"/>
    <w:rsid w:val="00355AEB"/>
    <w:rsid w:val="00356E3E"/>
    <w:rsid w:val="00361112"/>
    <w:rsid w:val="0036263B"/>
    <w:rsid w:val="003626F5"/>
    <w:rsid w:val="00362883"/>
    <w:rsid w:val="003631C9"/>
    <w:rsid w:val="00363B62"/>
    <w:rsid w:val="003645B0"/>
    <w:rsid w:val="00364B2C"/>
    <w:rsid w:val="0036625E"/>
    <w:rsid w:val="003664F1"/>
    <w:rsid w:val="00366A18"/>
    <w:rsid w:val="00367E3F"/>
    <w:rsid w:val="00370246"/>
    <w:rsid w:val="003703CC"/>
    <w:rsid w:val="0037632A"/>
    <w:rsid w:val="00376C77"/>
    <w:rsid w:val="00377EA5"/>
    <w:rsid w:val="00377F77"/>
    <w:rsid w:val="003814BD"/>
    <w:rsid w:val="00383073"/>
    <w:rsid w:val="0038438F"/>
    <w:rsid w:val="00384F8A"/>
    <w:rsid w:val="00387C67"/>
    <w:rsid w:val="00387D98"/>
    <w:rsid w:val="00390B0F"/>
    <w:rsid w:val="00390B38"/>
    <w:rsid w:val="00390B6B"/>
    <w:rsid w:val="0039148C"/>
    <w:rsid w:val="00391CFE"/>
    <w:rsid w:val="0039353B"/>
    <w:rsid w:val="00393946"/>
    <w:rsid w:val="00394F9E"/>
    <w:rsid w:val="00395426"/>
    <w:rsid w:val="0039578D"/>
    <w:rsid w:val="00395B91"/>
    <w:rsid w:val="00396615"/>
    <w:rsid w:val="0039700D"/>
    <w:rsid w:val="00397089"/>
    <w:rsid w:val="003978A8"/>
    <w:rsid w:val="003A0F30"/>
    <w:rsid w:val="003A4C44"/>
    <w:rsid w:val="003A5AD0"/>
    <w:rsid w:val="003A68E6"/>
    <w:rsid w:val="003A6CE3"/>
    <w:rsid w:val="003A7899"/>
    <w:rsid w:val="003B029D"/>
    <w:rsid w:val="003B15EE"/>
    <w:rsid w:val="003B517D"/>
    <w:rsid w:val="003B60EC"/>
    <w:rsid w:val="003B6AE9"/>
    <w:rsid w:val="003C00ED"/>
    <w:rsid w:val="003C189C"/>
    <w:rsid w:val="003C1C0A"/>
    <w:rsid w:val="003C35DF"/>
    <w:rsid w:val="003C4A68"/>
    <w:rsid w:val="003C554F"/>
    <w:rsid w:val="003C61DD"/>
    <w:rsid w:val="003D1751"/>
    <w:rsid w:val="003D29DC"/>
    <w:rsid w:val="003D51AF"/>
    <w:rsid w:val="003D56E7"/>
    <w:rsid w:val="003D63E7"/>
    <w:rsid w:val="003D71D5"/>
    <w:rsid w:val="003E0083"/>
    <w:rsid w:val="003E05F1"/>
    <w:rsid w:val="003E113B"/>
    <w:rsid w:val="003E3237"/>
    <w:rsid w:val="003E3427"/>
    <w:rsid w:val="003E5092"/>
    <w:rsid w:val="003E715D"/>
    <w:rsid w:val="003E7950"/>
    <w:rsid w:val="003F103E"/>
    <w:rsid w:val="003F2E48"/>
    <w:rsid w:val="003F440C"/>
    <w:rsid w:val="003F525A"/>
    <w:rsid w:val="003F74BA"/>
    <w:rsid w:val="003F7BE6"/>
    <w:rsid w:val="004006A9"/>
    <w:rsid w:val="004023FC"/>
    <w:rsid w:val="00404D4A"/>
    <w:rsid w:val="004052AE"/>
    <w:rsid w:val="004071E7"/>
    <w:rsid w:val="004118A5"/>
    <w:rsid w:val="00412576"/>
    <w:rsid w:val="00412A52"/>
    <w:rsid w:val="00413672"/>
    <w:rsid w:val="00414041"/>
    <w:rsid w:val="00414465"/>
    <w:rsid w:val="00414729"/>
    <w:rsid w:val="00414C80"/>
    <w:rsid w:val="00414F4B"/>
    <w:rsid w:val="00415EF9"/>
    <w:rsid w:val="00416629"/>
    <w:rsid w:val="00417DA1"/>
    <w:rsid w:val="004208C8"/>
    <w:rsid w:val="00420F5C"/>
    <w:rsid w:val="00423478"/>
    <w:rsid w:val="0042362E"/>
    <w:rsid w:val="00425B76"/>
    <w:rsid w:val="004260A2"/>
    <w:rsid w:val="004261DB"/>
    <w:rsid w:val="00426FC6"/>
    <w:rsid w:val="004273BC"/>
    <w:rsid w:val="00427C5F"/>
    <w:rsid w:val="00432D3F"/>
    <w:rsid w:val="004351F3"/>
    <w:rsid w:val="004357F9"/>
    <w:rsid w:val="00436B02"/>
    <w:rsid w:val="004412E3"/>
    <w:rsid w:val="004507E5"/>
    <w:rsid w:val="004519AD"/>
    <w:rsid w:val="00453680"/>
    <w:rsid w:val="0045459A"/>
    <w:rsid w:val="004545DB"/>
    <w:rsid w:val="00456B7A"/>
    <w:rsid w:val="00456F10"/>
    <w:rsid w:val="0045762C"/>
    <w:rsid w:val="0045786A"/>
    <w:rsid w:val="00460F76"/>
    <w:rsid w:val="00462E68"/>
    <w:rsid w:val="00462F12"/>
    <w:rsid w:val="00463050"/>
    <w:rsid w:val="0046340F"/>
    <w:rsid w:val="004644E8"/>
    <w:rsid w:val="00466168"/>
    <w:rsid w:val="0047040E"/>
    <w:rsid w:val="004714D4"/>
    <w:rsid w:val="0047321E"/>
    <w:rsid w:val="004732C1"/>
    <w:rsid w:val="00473B62"/>
    <w:rsid w:val="00474E41"/>
    <w:rsid w:val="00475712"/>
    <w:rsid w:val="00475AEC"/>
    <w:rsid w:val="0047798D"/>
    <w:rsid w:val="00480CCE"/>
    <w:rsid w:val="00480D59"/>
    <w:rsid w:val="00482FAA"/>
    <w:rsid w:val="0048317B"/>
    <w:rsid w:val="0048416F"/>
    <w:rsid w:val="004846B6"/>
    <w:rsid w:val="004866E1"/>
    <w:rsid w:val="004903BE"/>
    <w:rsid w:val="0049075F"/>
    <w:rsid w:val="00490763"/>
    <w:rsid w:val="00491A50"/>
    <w:rsid w:val="00492DA8"/>
    <w:rsid w:val="00496CC2"/>
    <w:rsid w:val="004A0888"/>
    <w:rsid w:val="004A43B6"/>
    <w:rsid w:val="004A4BDF"/>
    <w:rsid w:val="004A70EE"/>
    <w:rsid w:val="004A774E"/>
    <w:rsid w:val="004A7D3E"/>
    <w:rsid w:val="004A7FF9"/>
    <w:rsid w:val="004B14F8"/>
    <w:rsid w:val="004B2402"/>
    <w:rsid w:val="004B379D"/>
    <w:rsid w:val="004B5F0C"/>
    <w:rsid w:val="004B6031"/>
    <w:rsid w:val="004C046E"/>
    <w:rsid w:val="004C0AA0"/>
    <w:rsid w:val="004C1609"/>
    <w:rsid w:val="004C216B"/>
    <w:rsid w:val="004C5DD3"/>
    <w:rsid w:val="004D30F9"/>
    <w:rsid w:val="004D38C5"/>
    <w:rsid w:val="004D4040"/>
    <w:rsid w:val="004D4A32"/>
    <w:rsid w:val="004D5188"/>
    <w:rsid w:val="004D5A01"/>
    <w:rsid w:val="004D5FD5"/>
    <w:rsid w:val="004D64AB"/>
    <w:rsid w:val="004E1902"/>
    <w:rsid w:val="004E27AB"/>
    <w:rsid w:val="004E30D6"/>
    <w:rsid w:val="004E3CA4"/>
    <w:rsid w:val="004E625B"/>
    <w:rsid w:val="004E7CE8"/>
    <w:rsid w:val="004F232C"/>
    <w:rsid w:val="004F271D"/>
    <w:rsid w:val="004F5114"/>
    <w:rsid w:val="004F5EF5"/>
    <w:rsid w:val="004F6EBB"/>
    <w:rsid w:val="004F756C"/>
    <w:rsid w:val="004F77D8"/>
    <w:rsid w:val="004F791D"/>
    <w:rsid w:val="005001FA"/>
    <w:rsid w:val="0050054B"/>
    <w:rsid w:val="005019AF"/>
    <w:rsid w:val="00503874"/>
    <w:rsid w:val="0050488D"/>
    <w:rsid w:val="00504B8D"/>
    <w:rsid w:val="00504D12"/>
    <w:rsid w:val="0050527A"/>
    <w:rsid w:val="0050535A"/>
    <w:rsid w:val="00505F13"/>
    <w:rsid w:val="00507674"/>
    <w:rsid w:val="0051094E"/>
    <w:rsid w:val="00511192"/>
    <w:rsid w:val="005118AD"/>
    <w:rsid w:val="005121FB"/>
    <w:rsid w:val="00512353"/>
    <w:rsid w:val="00513852"/>
    <w:rsid w:val="00513E32"/>
    <w:rsid w:val="00514A95"/>
    <w:rsid w:val="0051626E"/>
    <w:rsid w:val="00517270"/>
    <w:rsid w:val="0052183C"/>
    <w:rsid w:val="005220C2"/>
    <w:rsid w:val="00522B7B"/>
    <w:rsid w:val="00523369"/>
    <w:rsid w:val="0052398F"/>
    <w:rsid w:val="0052454C"/>
    <w:rsid w:val="005278BD"/>
    <w:rsid w:val="00530262"/>
    <w:rsid w:val="00532960"/>
    <w:rsid w:val="00532BA3"/>
    <w:rsid w:val="0053543A"/>
    <w:rsid w:val="00545A73"/>
    <w:rsid w:val="00545C6F"/>
    <w:rsid w:val="00546919"/>
    <w:rsid w:val="00546DEB"/>
    <w:rsid w:val="00546F0F"/>
    <w:rsid w:val="005477E7"/>
    <w:rsid w:val="00550159"/>
    <w:rsid w:val="00550720"/>
    <w:rsid w:val="00551897"/>
    <w:rsid w:val="00551FFD"/>
    <w:rsid w:val="00552A0F"/>
    <w:rsid w:val="005531B7"/>
    <w:rsid w:val="005551ED"/>
    <w:rsid w:val="00556419"/>
    <w:rsid w:val="005572B4"/>
    <w:rsid w:val="005572DD"/>
    <w:rsid w:val="0056016A"/>
    <w:rsid w:val="00560564"/>
    <w:rsid w:val="00561B97"/>
    <w:rsid w:val="00562E2B"/>
    <w:rsid w:val="00564668"/>
    <w:rsid w:val="00570353"/>
    <w:rsid w:val="00570EB3"/>
    <w:rsid w:val="005715F5"/>
    <w:rsid w:val="0057171E"/>
    <w:rsid w:val="00571EEC"/>
    <w:rsid w:val="00572666"/>
    <w:rsid w:val="0057267E"/>
    <w:rsid w:val="005726BD"/>
    <w:rsid w:val="0057375F"/>
    <w:rsid w:val="00574A5A"/>
    <w:rsid w:val="00574F3D"/>
    <w:rsid w:val="005753B8"/>
    <w:rsid w:val="005757E1"/>
    <w:rsid w:val="00577CA0"/>
    <w:rsid w:val="00583ED5"/>
    <w:rsid w:val="00587437"/>
    <w:rsid w:val="00592678"/>
    <w:rsid w:val="00594644"/>
    <w:rsid w:val="0059526F"/>
    <w:rsid w:val="00596B3B"/>
    <w:rsid w:val="00596F36"/>
    <w:rsid w:val="005A1741"/>
    <w:rsid w:val="005A235F"/>
    <w:rsid w:val="005A3B9A"/>
    <w:rsid w:val="005A751F"/>
    <w:rsid w:val="005A76A8"/>
    <w:rsid w:val="005A7719"/>
    <w:rsid w:val="005A77C2"/>
    <w:rsid w:val="005B291B"/>
    <w:rsid w:val="005B3AF0"/>
    <w:rsid w:val="005B489D"/>
    <w:rsid w:val="005B4DC3"/>
    <w:rsid w:val="005B5438"/>
    <w:rsid w:val="005B5512"/>
    <w:rsid w:val="005B5EA2"/>
    <w:rsid w:val="005B6441"/>
    <w:rsid w:val="005B6C2C"/>
    <w:rsid w:val="005B76C5"/>
    <w:rsid w:val="005B7AF0"/>
    <w:rsid w:val="005B7B8A"/>
    <w:rsid w:val="005C09C6"/>
    <w:rsid w:val="005C36AD"/>
    <w:rsid w:val="005C458D"/>
    <w:rsid w:val="005C491E"/>
    <w:rsid w:val="005C5169"/>
    <w:rsid w:val="005C52FC"/>
    <w:rsid w:val="005C5E0A"/>
    <w:rsid w:val="005C664D"/>
    <w:rsid w:val="005C66F9"/>
    <w:rsid w:val="005C6C0C"/>
    <w:rsid w:val="005D2276"/>
    <w:rsid w:val="005D25FD"/>
    <w:rsid w:val="005D2808"/>
    <w:rsid w:val="005D6189"/>
    <w:rsid w:val="005D7BD9"/>
    <w:rsid w:val="005E0858"/>
    <w:rsid w:val="005E2794"/>
    <w:rsid w:val="005E2FF7"/>
    <w:rsid w:val="005E3CBF"/>
    <w:rsid w:val="005E3CF3"/>
    <w:rsid w:val="005E53B0"/>
    <w:rsid w:val="005E6F9D"/>
    <w:rsid w:val="005E7B5A"/>
    <w:rsid w:val="005F01FC"/>
    <w:rsid w:val="005F0C89"/>
    <w:rsid w:val="005F3701"/>
    <w:rsid w:val="005F41DF"/>
    <w:rsid w:val="005F4521"/>
    <w:rsid w:val="005F5478"/>
    <w:rsid w:val="006002BF"/>
    <w:rsid w:val="006006FC"/>
    <w:rsid w:val="006009CA"/>
    <w:rsid w:val="00602E0D"/>
    <w:rsid w:val="00603D9A"/>
    <w:rsid w:val="006045BA"/>
    <w:rsid w:val="0060583A"/>
    <w:rsid w:val="00606062"/>
    <w:rsid w:val="006073A1"/>
    <w:rsid w:val="00611649"/>
    <w:rsid w:val="00611A0E"/>
    <w:rsid w:val="00614154"/>
    <w:rsid w:val="006148D5"/>
    <w:rsid w:val="00614BD3"/>
    <w:rsid w:val="00617EA5"/>
    <w:rsid w:val="00621372"/>
    <w:rsid w:val="00622F9B"/>
    <w:rsid w:val="00623A77"/>
    <w:rsid w:val="006256E2"/>
    <w:rsid w:val="006256F5"/>
    <w:rsid w:val="00625B4B"/>
    <w:rsid w:val="00625B6E"/>
    <w:rsid w:val="0063097B"/>
    <w:rsid w:val="0063222B"/>
    <w:rsid w:val="006364B8"/>
    <w:rsid w:val="00636A64"/>
    <w:rsid w:val="00636B93"/>
    <w:rsid w:val="00640550"/>
    <w:rsid w:val="0064326A"/>
    <w:rsid w:val="00644D5D"/>
    <w:rsid w:val="00645506"/>
    <w:rsid w:val="00646DC7"/>
    <w:rsid w:val="006479A0"/>
    <w:rsid w:val="00647F17"/>
    <w:rsid w:val="006511FB"/>
    <w:rsid w:val="00651A9D"/>
    <w:rsid w:val="00651F1F"/>
    <w:rsid w:val="00656092"/>
    <w:rsid w:val="00656672"/>
    <w:rsid w:val="00657066"/>
    <w:rsid w:val="0065741C"/>
    <w:rsid w:val="00660B85"/>
    <w:rsid w:val="00662A85"/>
    <w:rsid w:val="00662DCE"/>
    <w:rsid w:val="00664F6D"/>
    <w:rsid w:val="006650B8"/>
    <w:rsid w:val="00666329"/>
    <w:rsid w:val="006672EE"/>
    <w:rsid w:val="00667FF2"/>
    <w:rsid w:val="006700D4"/>
    <w:rsid w:val="0067011F"/>
    <w:rsid w:val="0067015E"/>
    <w:rsid w:val="00672E29"/>
    <w:rsid w:val="006741DE"/>
    <w:rsid w:val="006803E1"/>
    <w:rsid w:val="00680453"/>
    <w:rsid w:val="006816F6"/>
    <w:rsid w:val="006819DB"/>
    <w:rsid w:val="00682526"/>
    <w:rsid w:val="00683231"/>
    <w:rsid w:val="00683555"/>
    <w:rsid w:val="00683597"/>
    <w:rsid w:val="00686F1D"/>
    <w:rsid w:val="006875C6"/>
    <w:rsid w:val="00690451"/>
    <w:rsid w:val="00691C73"/>
    <w:rsid w:val="00692F7A"/>
    <w:rsid w:val="00694C2A"/>
    <w:rsid w:val="00695E06"/>
    <w:rsid w:val="00696315"/>
    <w:rsid w:val="00696733"/>
    <w:rsid w:val="00697CE3"/>
    <w:rsid w:val="006A0D51"/>
    <w:rsid w:val="006A171F"/>
    <w:rsid w:val="006A1C05"/>
    <w:rsid w:val="006A225B"/>
    <w:rsid w:val="006A30D2"/>
    <w:rsid w:val="006A5154"/>
    <w:rsid w:val="006A5A6A"/>
    <w:rsid w:val="006A5FE3"/>
    <w:rsid w:val="006B0BC2"/>
    <w:rsid w:val="006B23B2"/>
    <w:rsid w:val="006B2714"/>
    <w:rsid w:val="006B46BE"/>
    <w:rsid w:val="006B4845"/>
    <w:rsid w:val="006B5F37"/>
    <w:rsid w:val="006B62EF"/>
    <w:rsid w:val="006B635C"/>
    <w:rsid w:val="006B77DA"/>
    <w:rsid w:val="006B77E7"/>
    <w:rsid w:val="006C1708"/>
    <w:rsid w:val="006C1C29"/>
    <w:rsid w:val="006C2C0B"/>
    <w:rsid w:val="006C3782"/>
    <w:rsid w:val="006C3CDE"/>
    <w:rsid w:val="006C4559"/>
    <w:rsid w:val="006C4745"/>
    <w:rsid w:val="006C7EFE"/>
    <w:rsid w:val="006D0EE8"/>
    <w:rsid w:val="006D3162"/>
    <w:rsid w:val="006D37E7"/>
    <w:rsid w:val="006D4D5D"/>
    <w:rsid w:val="006D5146"/>
    <w:rsid w:val="006D59D6"/>
    <w:rsid w:val="006D5C04"/>
    <w:rsid w:val="006D70F2"/>
    <w:rsid w:val="006D7508"/>
    <w:rsid w:val="006E0F2F"/>
    <w:rsid w:val="006E183E"/>
    <w:rsid w:val="006E19D7"/>
    <w:rsid w:val="006E60EF"/>
    <w:rsid w:val="006E6421"/>
    <w:rsid w:val="006E71B9"/>
    <w:rsid w:val="006F17ED"/>
    <w:rsid w:val="006F203E"/>
    <w:rsid w:val="006F39B2"/>
    <w:rsid w:val="006F5384"/>
    <w:rsid w:val="006F6604"/>
    <w:rsid w:val="006F71D8"/>
    <w:rsid w:val="006F7D1A"/>
    <w:rsid w:val="007004BC"/>
    <w:rsid w:val="0070346C"/>
    <w:rsid w:val="007051A0"/>
    <w:rsid w:val="00706496"/>
    <w:rsid w:val="0070696E"/>
    <w:rsid w:val="00706A70"/>
    <w:rsid w:val="0070765B"/>
    <w:rsid w:val="00710F28"/>
    <w:rsid w:val="00711A12"/>
    <w:rsid w:val="00711C2D"/>
    <w:rsid w:val="00711F11"/>
    <w:rsid w:val="0071201A"/>
    <w:rsid w:val="007131B5"/>
    <w:rsid w:val="00715283"/>
    <w:rsid w:val="007154C4"/>
    <w:rsid w:val="007154CE"/>
    <w:rsid w:val="00715DB9"/>
    <w:rsid w:val="007204F9"/>
    <w:rsid w:val="007218A0"/>
    <w:rsid w:val="007238AF"/>
    <w:rsid w:val="00723AD3"/>
    <w:rsid w:val="007266A3"/>
    <w:rsid w:val="00726908"/>
    <w:rsid w:val="007270C7"/>
    <w:rsid w:val="00730F3A"/>
    <w:rsid w:val="00734C26"/>
    <w:rsid w:val="00735A65"/>
    <w:rsid w:val="00735F34"/>
    <w:rsid w:val="007360AA"/>
    <w:rsid w:val="00736944"/>
    <w:rsid w:val="00741200"/>
    <w:rsid w:val="00741333"/>
    <w:rsid w:val="00742FF2"/>
    <w:rsid w:val="00743C69"/>
    <w:rsid w:val="00744D6A"/>
    <w:rsid w:val="00746138"/>
    <w:rsid w:val="0074620A"/>
    <w:rsid w:val="00746ECC"/>
    <w:rsid w:val="007507B5"/>
    <w:rsid w:val="00751D50"/>
    <w:rsid w:val="007527D5"/>
    <w:rsid w:val="00752F3C"/>
    <w:rsid w:val="00753529"/>
    <w:rsid w:val="007559B4"/>
    <w:rsid w:val="007561FC"/>
    <w:rsid w:val="00761381"/>
    <w:rsid w:val="00761D34"/>
    <w:rsid w:val="00762D2D"/>
    <w:rsid w:val="00764622"/>
    <w:rsid w:val="00764CAD"/>
    <w:rsid w:val="00770FA1"/>
    <w:rsid w:val="007711A3"/>
    <w:rsid w:val="007711BF"/>
    <w:rsid w:val="00771984"/>
    <w:rsid w:val="00771A8C"/>
    <w:rsid w:val="00773884"/>
    <w:rsid w:val="00774813"/>
    <w:rsid w:val="007759FA"/>
    <w:rsid w:val="0078052A"/>
    <w:rsid w:val="0078118D"/>
    <w:rsid w:val="007812FB"/>
    <w:rsid w:val="00781B0D"/>
    <w:rsid w:val="007835DC"/>
    <w:rsid w:val="00784032"/>
    <w:rsid w:val="00784479"/>
    <w:rsid w:val="00786151"/>
    <w:rsid w:val="00786868"/>
    <w:rsid w:val="00786E79"/>
    <w:rsid w:val="007872DF"/>
    <w:rsid w:val="00787925"/>
    <w:rsid w:val="00790856"/>
    <w:rsid w:val="007909C9"/>
    <w:rsid w:val="00790E31"/>
    <w:rsid w:val="00790E77"/>
    <w:rsid w:val="00791E64"/>
    <w:rsid w:val="00792AE4"/>
    <w:rsid w:val="007935BE"/>
    <w:rsid w:val="0079393E"/>
    <w:rsid w:val="00793B87"/>
    <w:rsid w:val="0079566E"/>
    <w:rsid w:val="00796509"/>
    <w:rsid w:val="0079691E"/>
    <w:rsid w:val="00797723"/>
    <w:rsid w:val="007A3A0D"/>
    <w:rsid w:val="007A4D7B"/>
    <w:rsid w:val="007B094A"/>
    <w:rsid w:val="007B1EEE"/>
    <w:rsid w:val="007B249B"/>
    <w:rsid w:val="007B3258"/>
    <w:rsid w:val="007B3E47"/>
    <w:rsid w:val="007B456C"/>
    <w:rsid w:val="007B5FA2"/>
    <w:rsid w:val="007B6286"/>
    <w:rsid w:val="007B6B48"/>
    <w:rsid w:val="007B6D4D"/>
    <w:rsid w:val="007B6F84"/>
    <w:rsid w:val="007B777D"/>
    <w:rsid w:val="007B7A09"/>
    <w:rsid w:val="007C0F6C"/>
    <w:rsid w:val="007C0F7A"/>
    <w:rsid w:val="007C106E"/>
    <w:rsid w:val="007C1ECA"/>
    <w:rsid w:val="007C35C4"/>
    <w:rsid w:val="007C5635"/>
    <w:rsid w:val="007C6BDE"/>
    <w:rsid w:val="007D24A9"/>
    <w:rsid w:val="007D27FA"/>
    <w:rsid w:val="007D30B5"/>
    <w:rsid w:val="007D4B3C"/>
    <w:rsid w:val="007D4CD4"/>
    <w:rsid w:val="007D50C1"/>
    <w:rsid w:val="007D6218"/>
    <w:rsid w:val="007D6699"/>
    <w:rsid w:val="007D7E30"/>
    <w:rsid w:val="007E0A54"/>
    <w:rsid w:val="007E0E33"/>
    <w:rsid w:val="007E297A"/>
    <w:rsid w:val="007E3164"/>
    <w:rsid w:val="007E6419"/>
    <w:rsid w:val="007F4221"/>
    <w:rsid w:val="007F6815"/>
    <w:rsid w:val="007F6BA8"/>
    <w:rsid w:val="007F712A"/>
    <w:rsid w:val="00800935"/>
    <w:rsid w:val="00801756"/>
    <w:rsid w:val="008024A0"/>
    <w:rsid w:val="00802FA8"/>
    <w:rsid w:val="0080681B"/>
    <w:rsid w:val="00807155"/>
    <w:rsid w:val="0080738C"/>
    <w:rsid w:val="00810B77"/>
    <w:rsid w:val="00811B9A"/>
    <w:rsid w:val="00816941"/>
    <w:rsid w:val="00817436"/>
    <w:rsid w:val="00820CA0"/>
    <w:rsid w:val="00823811"/>
    <w:rsid w:val="00823C3D"/>
    <w:rsid w:val="0082542D"/>
    <w:rsid w:val="00827834"/>
    <w:rsid w:val="00832835"/>
    <w:rsid w:val="00833111"/>
    <w:rsid w:val="00835110"/>
    <w:rsid w:val="008351FC"/>
    <w:rsid w:val="008362F0"/>
    <w:rsid w:val="00836DA7"/>
    <w:rsid w:val="00841F50"/>
    <w:rsid w:val="00843A0E"/>
    <w:rsid w:val="00845DFE"/>
    <w:rsid w:val="00846E17"/>
    <w:rsid w:val="00847C7E"/>
    <w:rsid w:val="00850267"/>
    <w:rsid w:val="00852E8A"/>
    <w:rsid w:val="00854283"/>
    <w:rsid w:val="00855314"/>
    <w:rsid w:val="008553A0"/>
    <w:rsid w:val="008573E3"/>
    <w:rsid w:val="00861E81"/>
    <w:rsid w:val="00864406"/>
    <w:rsid w:val="008645FF"/>
    <w:rsid w:val="008653C0"/>
    <w:rsid w:val="008664D8"/>
    <w:rsid w:val="00866D42"/>
    <w:rsid w:val="0087030E"/>
    <w:rsid w:val="00870AAC"/>
    <w:rsid w:val="008734F7"/>
    <w:rsid w:val="00873927"/>
    <w:rsid w:val="00874E9F"/>
    <w:rsid w:val="008751C9"/>
    <w:rsid w:val="00877842"/>
    <w:rsid w:val="008779AC"/>
    <w:rsid w:val="008806F8"/>
    <w:rsid w:val="008808E2"/>
    <w:rsid w:val="00881456"/>
    <w:rsid w:val="00881ACB"/>
    <w:rsid w:val="008841E5"/>
    <w:rsid w:val="00885FC9"/>
    <w:rsid w:val="00887A1C"/>
    <w:rsid w:val="00887E52"/>
    <w:rsid w:val="00891249"/>
    <w:rsid w:val="00891328"/>
    <w:rsid w:val="00891A47"/>
    <w:rsid w:val="00891A59"/>
    <w:rsid w:val="00892809"/>
    <w:rsid w:val="0089370F"/>
    <w:rsid w:val="008939AF"/>
    <w:rsid w:val="00893FED"/>
    <w:rsid w:val="0089449A"/>
    <w:rsid w:val="00895E48"/>
    <w:rsid w:val="008961CE"/>
    <w:rsid w:val="00896687"/>
    <w:rsid w:val="008971F4"/>
    <w:rsid w:val="008A0610"/>
    <w:rsid w:val="008A0E7D"/>
    <w:rsid w:val="008A247D"/>
    <w:rsid w:val="008A3023"/>
    <w:rsid w:val="008A403F"/>
    <w:rsid w:val="008A55B4"/>
    <w:rsid w:val="008A6815"/>
    <w:rsid w:val="008B1031"/>
    <w:rsid w:val="008B2303"/>
    <w:rsid w:val="008B2F2B"/>
    <w:rsid w:val="008B31D8"/>
    <w:rsid w:val="008B34A0"/>
    <w:rsid w:val="008B5740"/>
    <w:rsid w:val="008B63A1"/>
    <w:rsid w:val="008C06A0"/>
    <w:rsid w:val="008C0B84"/>
    <w:rsid w:val="008C1A28"/>
    <w:rsid w:val="008C41DA"/>
    <w:rsid w:val="008C553A"/>
    <w:rsid w:val="008C588E"/>
    <w:rsid w:val="008C606D"/>
    <w:rsid w:val="008C7226"/>
    <w:rsid w:val="008D41B9"/>
    <w:rsid w:val="008D50FD"/>
    <w:rsid w:val="008D6856"/>
    <w:rsid w:val="008D69A6"/>
    <w:rsid w:val="008D7B80"/>
    <w:rsid w:val="008E3723"/>
    <w:rsid w:val="008E4184"/>
    <w:rsid w:val="008E549F"/>
    <w:rsid w:val="008E6301"/>
    <w:rsid w:val="008E6924"/>
    <w:rsid w:val="008E6CBB"/>
    <w:rsid w:val="008F10BC"/>
    <w:rsid w:val="008F2052"/>
    <w:rsid w:val="008F2504"/>
    <w:rsid w:val="008F26ED"/>
    <w:rsid w:val="008F2A38"/>
    <w:rsid w:val="008F3012"/>
    <w:rsid w:val="008F3A54"/>
    <w:rsid w:val="008F4604"/>
    <w:rsid w:val="008F4FAA"/>
    <w:rsid w:val="008F592B"/>
    <w:rsid w:val="008F6FB9"/>
    <w:rsid w:val="008F73AE"/>
    <w:rsid w:val="008F75D7"/>
    <w:rsid w:val="00901D14"/>
    <w:rsid w:val="0090204B"/>
    <w:rsid w:val="00902824"/>
    <w:rsid w:val="00903775"/>
    <w:rsid w:val="00903A18"/>
    <w:rsid w:val="00905BBD"/>
    <w:rsid w:val="009109F7"/>
    <w:rsid w:val="00910D3F"/>
    <w:rsid w:val="00912137"/>
    <w:rsid w:val="00915BED"/>
    <w:rsid w:val="00916B64"/>
    <w:rsid w:val="0092145D"/>
    <w:rsid w:val="00922411"/>
    <w:rsid w:val="00922561"/>
    <w:rsid w:val="009245DE"/>
    <w:rsid w:val="00927BDF"/>
    <w:rsid w:val="00930762"/>
    <w:rsid w:val="00930945"/>
    <w:rsid w:val="00930C0C"/>
    <w:rsid w:val="009312B3"/>
    <w:rsid w:val="00936B81"/>
    <w:rsid w:val="00937F59"/>
    <w:rsid w:val="009423D1"/>
    <w:rsid w:val="00944701"/>
    <w:rsid w:val="00950ED1"/>
    <w:rsid w:val="00952A7A"/>
    <w:rsid w:val="0095444E"/>
    <w:rsid w:val="00955C67"/>
    <w:rsid w:val="009576C3"/>
    <w:rsid w:val="00957B65"/>
    <w:rsid w:val="00960AFF"/>
    <w:rsid w:val="00960D78"/>
    <w:rsid w:val="009619D8"/>
    <w:rsid w:val="00963F62"/>
    <w:rsid w:val="00964C83"/>
    <w:rsid w:val="00965443"/>
    <w:rsid w:val="00965EFC"/>
    <w:rsid w:val="009727E6"/>
    <w:rsid w:val="00973D0A"/>
    <w:rsid w:val="009742A8"/>
    <w:rsid w:val="00975840"/>
    <w:rsid w:val="0097622B"/>
    <w:rsid w:val="009762D2"/>
    <w:rsid w:val="009762F1"/>
    <w:rsid w:val="0097692D"/>
    <w:rsid w:val="009776D2"/>
    <w:rsid w:val="00977EA8"/>
    <w:rsid w:val="00980C6F"/>
    <w:rsid w:val="0098140D"/>
    <w:rsid w:val="00981CED"/>
    <w:rsid w:val="00983CBB"/>
    <w:rsid w:val="0098517D"/>
    <w:rsid w:val="00987225"/>
    <w:rsid w:val="00990870"/>
    <w:rsid w:val="00990DCF"/>
    <w:rsid w:val="009920F5"/>
    <w:rsid w:val="009929FC"/>
    <w:rsid w:val="00992B56"/>
    <w:rsid w:val="00992CDA"/>
    <w:rsid w:val="00993169"/>
    <w:rsid w:val="00993342"/>
    <w:rsid w:val="0099466D"/>
    <w:rsid w:val="00996845"/>
    <w:rsid w:val="00996CE4"/>
    <w:rsid w:val="009A0ABC"/>
    <w:rsid w:val="009A0FB3"/>
    <w:rsid w:val="009A26DA"/>
    <w:rsid w:val="009A3F36"/>
    <w:rsid w:val="009A48D8"/>
    <w:rsid w:val="009A5005"/>
    <w:rsid w:val="009A510D"/>
    <w:rsid w:val="009A63E6"/>
    <w:rsid w:val="009A6C59"/>
    <w:rsid w:val="009A7878"/>
    <w:rsid w:val="009B0888"/>
    <w:rsid w:val="009B278B"/>
    <w:rsid w:val="009B33DF"/>
    <w:rsid w:val="009B4270"/>
    <w:rsid w:val="009B44CC"/>
    <w:rsid w:val="009B5651"/>
    <w:rsid w:val="009B62E4"/>
    <w:rsid w:val="009C09CB"/>
    <w:rsid w:val="009C4319"/>
    <w:rsid w:val="009D01DF"/>
    <w:rsid w:val="009D109E"/>
    <w:rsid w:val="009D1CD9"/>
    <w:rsid w:val="009D1F28"/>
    <w:rsid w:val="009D4830"/>
    <w:rsid w:val="009D797A"/>
    <w:rsid w:val="009E026A"/>
    <w:rsid w:val="009E326F"/>
    <w:rsid w:val="009E3B56"/>
    <w:rsid w:val="009E49B5"/>
    <w:rsid w:val="009E515D"/>
    <w:rsid w:val="009E551E"/>
    <w:rsid w:val="009E7066"/>
    <w:rsid w:val="009F1904"/>
    <w:rsid w:val="009F1EF8"/>
    <w:rsid w:val="009F4604"/>
    <w:rsid w:val="009F4B78"/>
    <w:rsid w:val="009F606B"/>
    <w:rsid w:val="009F6E66"/>
    <w:rsid w:val="00A053AD"/>
    <w:rsid w:val="00A0627F"/>
    <w:rsid w:val="00A06840"/>
    <w:rsid w:val="00A06EAD"/>
    <w:rsid w:val="00A1293C"/>
    <w:rsid w:val="00A14F9B"/>
    <w:rsid w:val="00A15F7B"/>
    <w:rsid w:val="00A167F1"/>
    <w:rsid w:val="00A17929"/>
    <w:rsid w:val="00A2085F"/>
    <w:rsid w:val="00A20EC0"/>
    <w:rsid w:val="00A2150B"/>
    <w:rsid w:val="00A215D9"/>
    <w:rsid w:val="00A2292C"/>
    <w:rsid w:val="00A23F70"/>
    <w:rsid w:val="00A23FC3"/>
    <w:rsid w:val="00A25F1B"/>
    <w:rsid w:val="00A30B29"/>
    <w:rsid w:val="00A3288D"/>
    <w:rsid w:val="00A329DC"/>
    <w:rsid w:val="00A364D1"/>
    <w:rsid w:val="00A41135"/>
    <w:rsid w:val="00A41BFE"/>
    <w:rsid w:val="00A41FEB"/>
    <w:rsid w:val="00A43F38"/>
    <w:rsid w:val="00A44DA6"/>
    <w:rsid w:val="00A50921"/>
    <w:rsid w:val="00A5160D"/>
    <w:rsid w:val="00A51B47"/>
    <w:rsid w:val="00A56CA4"/>
    <w:rsid w:val="00A63C8D"/>
    <w:rsid w:val="00A65F04"/>
    <w:rsid w:val="00A65F2E"/>
    <w:rsid w:val="00A6681D"/>
    <w:rsid w:val="00A67F6D"/>
    <w:rsid w:val="00A71AD5"/>
    <w:rsid w:val="00A74EA3"/>
    <w:rsid w:val="00A768A0"/>
    <w:rsid w:val="00A8073E"/>
    <w:rsid w:val="00A80883"/>
    <w:rsid w:val="00A81BED"/>
    <w:rsid w:val="00A82FC6"/>
    <w:rsid w:val="00A861C4"/>
    <w:rsid w:val="00A91010"/>
    <w:rsid w:val="00A92270"/>
    <w:rsid w:val="00A95D6D"/>
    <w:rsid w:val="00AA046E"/>
    <w:rsid w:val="00AA10AE"/>
    <w:rsid w:val="00AA2BCC"/>
    <w:rsid w:val="00AA329F"/>
    <w:rsid w:val="00AA3CB6"/>
    <w:rsid w:val="00AA5116"/>
    <w:rsid w:val="00AA7706"/>
    <w:rsid w:val="00AA7B6A"/>
    <w:rsid w:val="00AA7F92"/>
    <w:rsid w:val="00AB082F"/>
    <w:rsid w:val="00AB2653"/>
    <w:rsid w:val="00AB593E"/>
    <w:rsid w:val="00AB5A31"/>
    <w:rsid w:val="00AB5D37"/>
    <w:rsid w:val="00AB62D1"/>
    <w:rsid w:val="00AB683F"/>
    <w:rsid w:val="00AC089A"/>
    <w:rsid w:val="00AC2DE6"/>
    <w:rsid w:val="00AC4A2E"/>
    <w:rsid w:val="00AC521F"/>
    <w:rsid w:val="00AC57B0"/>
    <w:rsid w:val="00AC6257"/>
    <w:rsid w:val="00AC7F1A"/>
    <w:rsid w:val="00AD0BB0"/>
    <w:rsid w:val="00AD1260"/>
    <w:rsid w:val="00AD1885"/>
    <w:rsid w:val="00AD50BA"/>
    <w:rsid w:val="00AE00D8"/>
    <w:rsid w:val="00AE02E7"/>
    <w:rsid w:val="00AE0F75"/>
    <w:rsid w:val="00AE1DB5"/>
    <w:rsid w:val="00AE319E"/>
    <w:rsid w:val="00AE33C6"/>
    <w:rsid w:val="00AE3720"/>
    <w:rsid w:val="00AE3B2C"/>
    <w:rsid w:val="00AE3B4E"/>
    <w:rsid w:val="00AE4279"/>
    <w:rsid w:val="00AE676F"/>
    <w:rsid w:val="00AE709C"/>
    <w:rsid w:val="00AE7DD9"/>
    <w:rsid w:val="00AF1DA5"/>
    <w:rsid w:val="00AF2B38"/>
    <w:rsid w:val="00AF4531"/>
    <w:rsid w:val="00B004C1"/>
    <w:rsid w:val="00B0168B"/>
    <w:rsid w:val="00B028AD"/>
    <w:rsid w:val="00B03458"/>
    <w:rsid w:val="00B04364"/>
    <w:rsid w:val="00B04B8E"/>
    <w:rsid w:val="00B05394"/>
    <w:rsid w:val="00B10021"/>
    <w:rsid w:val="00B1072F"/>
    <w:rsid w:val="00B12718"/>
    <w:rsid w:val="00B15820"/>
    <w:rsid w:val="00B16097"/>
    <w:rsid w:val="00B16ED7"/>
    <w:rsid w:val="00B208FF"/>
    <w:rsid w:val="00B215D8"/>
    <w:rsid w:val="00B2218A"/>
    <w:rsid w:val="00B246ED"/>
    <w:rsid w:val="00B25499"/>
    <w:rsid w:val="00B26DD0"/>
    <w:rsid w:val="00B30C7B"/>
    <w:rsid w:val="00B326D5"/>
    <w:rsid w:val="00B3341D"/>
    <w:rsid w:val="00B338C8"/>
    <w:rsid w:val="00B341CC"/>
    <w:rsid w:val="00B35321"/>
    <w:rsid w:val="00B35505"/>
    <w:rsid w:val="00B35CB3"/>
    <w:rsid w:val="00B35E0A"/>
    <w:rsid w:val="00B40124"/>
    <w:rsid w:val="00B407B6"/>
    <w:rsid w:val="00B40B5E"/>
    <w:rsid w:val="00B40B86"/>
    <w:rsid w:val="00B41065"/>
    <w:rsid w:val="00B41FC7"/>
    <w:rsid w:val="00B42E03"/>
    <w:rsid w:val="00B42F6F"/>
    <w:rsid w:val="00B443E2"/>
    <w:rsid w:val="00B44BD7"/>
    <w:rsid w:val="00B46222"/>
    <w:rsid w:val="00B46C0E"/>
    <w:rsid w:val="00B47A55"/>
    <w:rsid w:val="00B5039B"/>
    <w:rsid w:val="00B5192F"/>
    <w:rsid w:val="00B53B7A"/>
    <w:rsid w:val="00B54092"/>
    <w:rsid w:val="00B5444C"/>
    <w:rsid w:val="00B5568B"/>
    <w:rsid w:val="00B557BF"/>
    <w:rsid w:val="00B55BD6"/>
    <w:rsid w:val="00B56147"/>
    <w:rsid w:val="00B5686E"/>
    <w:rsid w:val="00B5720A"/>
    <w:rsid w:val="00B604A0"/>
    <w:rsid w:val="00B60761"/>
    <w:rsid w:val="00B60A79"/>
    <w:rsid w:val="00B620A5"/>
    <w:rsid w:val="00B62BB1"/>
    <w:rsid w:val="00B63559"/>
    <w:rsid w:val="00B63923"/>
    <w:rsid w:val="00B64EF1"/>
    <w:rsid w:val="00B65C29"/>
    <w:rsid w:val="00B72BFA"/>
    <w:rsid w:val="00B73979"/>
    <w:rsid w:val="00B75048"/>
    <w:rsid w:val="00B751B0"/>
    <w:rsid w:val="00B756C4"/>
    <w:rsid w:val="00B762E0"/>
    <w:rsid w:val="00B779A5"/>
    <w:rsid w:val="00B80147"/>
    <w:rsid w:val="00B82764"/>
    <w:rsid w:val="00B83B95"/>
    <w:rsid w:val="00B86C54"/>
    <w:rsid w:val="00B874C4"/>
    <w:rsid w:val="00B90787"/>
    <w:rsid w:val="00B91A7A"/>
    <w:rsid w:val="00B91F37"/>
    <w:rsid w:val="00B97AA2"/>
    <w:rsid w:val="00B97B8E"/>
    <w:rsid w:val="00BA00A8"/>
    <w:rsid w:val="00BA0378"/>
    <w:rsid w:val="00BA277D"/>
    <w:rsid w:val="00BA37A4"/>
    <w:rsid w:val="00BA4527"/>
    <w:rsid w:val="00BA4FB0"/>
    <w:rsid w:val="00BA5B79"/>
    <w:rsid w:val="00BA6138"/>
    <w:rsid w:val="00BA7DA8"/>
    <w:rsid w:val="00BB1930"/>
    <w:rsid w:val="00BB3478"/>
    <w:rsid w:val="00BB4BDA"/>
    <w:rsid w:val="00BB5D30"/>
    <w:rsid w:val="00BB77DB"/>
    <w:rsid w:val="00BC0A34"/>
    <w:rsid w:val="00BC219D"/>
    <w:rsid w:val="00BC2247"/>
    <w:rsid w:val="00BC2D93"/>
    <w:rsid w:val="00BC30CD"/>
    <w:rsid w:val="00BC46F7"/>
    <w:rsid w:val="00BC486C"/>
    <w:rsid w:val="00BC53E2"/>
    <w:rsid w:val="00BC5572"/>
    <w:rsid w:val="00BD497C"/>
    <w:rsid w:val="00BD56C8"/>
    <w:rsid w:val="00BD57EE"/>
    <w:rsid w:val="00BE3D37"/>
    <w:rsid w:val="00BE4E8A"/>
    <w:rsid w:val="00BE5D9A"/>
    <w:rsid w:val="00BF1344"/>
    <w:rsid w:val="00BF2A79"/>
    <w:rsid w:val="00BF375F"/>
    <w:rsid w:val="00BF6440"/>
    <w:rsid w:val="00C02372"/>
    <w:rsid w:val="00C044C3"/>
    <w:rsid w:val="00C04989"/>
    <w:rsid w:val="00C06DF6"/>
    <w:rsid w:val="00C10453"/>
    <w:rsid w:val="00C108DB"/>
    <w:rsid w:val="00C13BCA"/>
    <w:rsid w:val="00C141B9"/>
    <w:rsid w:val="00C158CF"/>
    <w:rsid w:val="00C16518"/>
    <w:rsid w:val="00C1731F"/>
    <w:rsid w:val="00C1787D"/>
    <w:rsid w:val="00C17A15"/>
    <w:rsid w:val="00C20D67"/>
    <w:rsid w:val="00C20F14"/>
    <w:rsid w:val="00C22B7C"/>
    <w:rsid w:val="00C25863"/>
    <w:rsid w:val="00C261E0"/>
    <w:rsid w:val="00C26D58"/>
    <w:rsid w:val="00C27149"/>
    <w:rsid w:val="00C3184D"/>
    <w:rsid w:val="00C31908"/>
    <w:rsid w:val="00C331FD"/>
    <w:rsid w:val="00C3458E"/>
    <w:rsid w:val="00C34DCB"/>
    <w:rsid w:val="00C36D0C"/>
    <w:rsid w:val="00C3708D"/>
    <w:rsid w:val="00C402CE"/>
    <w:rsid w:val="00C4138A"/>
    <w:rsid w:val="00C440B4"/>
    <w:rsid w:val="00C446F9"/>
    <w:rsid w:val="00C455F7"/>
    <w:rsid w:val="00C462CB"/>
    <w:rsid w:val="00C46C04"/>
    <w:rsid w:val="00C46F39"/>
    <w:rsid w:val="00C47AFE"/>
    <w:rsid w:val="00C47BA0"/>
    <w:rsid w:val="00C5067F"/>
    <w:rsid w:val="00C515C3"/>
    <w:rsid w:val="00C51AA2"/>
    <w:rsid w:val="00C51C45"/>
    <w:rsid w:val="00C52E43"/>
    <w:rsid w:val="00C53717"/>
    <w:rsid w:val="00C56A63"/>
    <w:rsid w:val="00C609C3"/>
    <w:rsid w:val="00C60E16"/>
    <w:rsid w:val="00C621DC"/>
    <w:rsid w:val="00C65E4E"/>
    <w:rsid w:val="00C66610"/>
    <w:rsid w:val="00C66648"/>
    <w:rsid w:val="00C66FEF"/>
    <w:rsid w:val="00C67490"/>
    <w:rsid w:val="00C70C67"/>
    <w:rsid w:val="00C70CB4"/>
    <w:rsid w:val="00C727A7"/>
    <w:rsid w:val="00C728D5"/>
    <w:rsid w:val="00C7438A"/>
    <w:rsid w:val="00C75119"/>
    <w:rsid w:val="00C76DD6"/>
    <w:rsid w:val="00C83740"/>
    <w:rsid w:val="00C84B13"/>
    <w:rsid w:val="00C87351"/>
    <w:rsid w:val="00C87ADA"/>
    <w:rsid w:val="00C904E0"/>
    <w:rsid w:val="00C90B62"/>
    <w:rsid w:val="00C91C08"/>
    <w:rsid w:val="00C94037"/>
    <w:rsid w:val="00C948BC"/>
    <w:rsid w:val="00C95A64"/>
    <w:rsid w:val="00C97F0E"/>
    <w:rsid w:val="00CA02DD"/>
    <w:rsid w:val="00CA06AC"/>
    <w:rsid w:val="00CA1D9E"/>
    <w:rsid w:val="00CA242A"/>
    <w:rsid w:val="00CA27BD"/>
    <w:rsid w:val="00CA2AB6"/>
    <w:rsid w:val="00CA347A"/>
    <w:rsid w:val="00CA4BCC"/>
    <w:rsid w:val="00CA6257"/>
    <w:rsid w:val="00CB01D6"/>
    <w:rsid w:val="00CB0C58"/>
    <w:rsid w:val="00CB2F69"/>
    <w:rsid w:val="00CB2F8D"/>
    <w:rsid w:val="00CB311E"/>
    <w:rsid w:val="00CB3CA9"/>
    <w:rsid w:val="00CB49AC"/>
    <w:rsid w:val="00CB5CD1"/>
    <w:rsid w:val="00CB5CF1"/>
    <w:rsid w:val="00CB71E1"/>
    <w:rsid w:val="00CC0ED3"/>
    <w:rsid w:val="00CC1600"/>
    <w:rsid w:val="00CC1894"/>
    <w:rsid w:val="00CC2EE2"/>
    <w:rsid w:val="00CC3D03"/>
    <w:rsid w:val="00CC45DB"/>
    <w:rsid w:val="00CC701B"/>
    <w:rsid w:val="00CC73FF"/>
    <w:rsid w:val="00CD0A8F"/>
    <w:rsid w:val="00CD141E"/>
    <w:rsid w:val="00CD1453"/>
    <w:rsid w:val="00CD17DB"/>
    <w:rsid w:val="00CD45DA"/>
    <w:rsid w:val="00CD6BE0"/>
    <w:rsid w:val="00CE2AF6"/>
    <w:rsid w:val="00CE2EA4"/>
    <w:rsid w:val="00CE4C25"/>
    <w:rsid w:val="00CE5714"/>
    <w:rsid w:val="00CE5F36"/>
    <w:rsid w:val="00CE6138"/>
    <w:rsid w:val="00CE65B1"/>
    <w:rsid w:val="00CE6F59"/>
    <w:rsid w:val="00CE7AAB"/>
    <w:rsid w:val="00CF0505"/>
    <w:rsid w:val="00CF239F"/>
    <w:rsid w:val="00CF2673"/>
    <w:rsid w:val="00CF2DA1"/>
    <w:rsid w:val="00CF2F62"/>
    <w:rsid w:val="00CF43B1"/>
    <w:rsid w:val="00CF6004"/>
    <w:rsid w:val="00D03AA8"/>
    <w:rsid w:val="00D0614B"/>
    <w:rsid w:val="00D0679C"/>
    <w:rsid w:val="00D06AD1"/>
    <w:rsid w:val="00D07C65"/>
    <w:rsid w:val="00D103C7"/>
    <w:rsid w:val="00D10D71"/>
    <w:rsid w:val="00D14500"/>
    <w:rsid w:val="00D14D3C"/>
    <w:rsid w:val="00D17549"/>
    <w:rsid w:val="00D17E2D"/>
    <w:rsid w:val="00D21736"/>
    <w:rsid w:val="00D24D97"/>
    <w:rsid w:val="00D275F5"/>
    <w:rsid w:val="00D310BF"/>
    <w:rsid w:val="00D35509"/>
    <w:rsid w:val="00D376F1"/>
    <w:rsid w:val="00D41C25"/>
    <w:rsid w:val="00D4386A"/>
    <w:rsid w:val="00D43CA8"/>
    <w:rsid w:val="00D43D51"/>
    <w:rsid w:val="00D441C5"/>
    <w:rsid w:val="00D4523D"/>
    <w:rsid w:val="00D4593F"/>
    <w:rsid w:val="00D45BD4"/>
    <w:rsid w:val="00D4775B"/>
    <w:rsid w:val="00D47AB8"/>
    <w:rsid w:val="00D47DFA"/>
    <w:rsid w:val="00D55D94"/>
    <w:rsid w:val="00D56566"/>
    <w:rsid w:val="00D647A4"/>
    <w:rsid w:val="00D6487A"/>
    <w:rsid w:val="00D648BB"/>
    <w:rsid w:val="00D64E04"/>
    <w:rsid w:val="00D657EB"/>
    <w:rsid w:val="00D65A5E"/>
    <w:rsid w:val="00D65BAB"/>
    <w:rsid w:val="00D669D1"/>
    <w:rsid w:val="00D7049A"/>
    <w:rsid w:val="00D704F6"/>
    <w:rsid w:val="00D70C88"/>
    <w:rsid w:val="00D71F81"/>
    <w:rsid w:val="00D722B1"/>
    <w:rsid w:val="00D733A8"/>
    <w:rsid w:val="00D74A82"/>
    <w:rsid w:val="00D753F6"/>
    <w:rsid w:val="00D7611A"/>
    <w:rsid w:val="00D7737D"/>
    <w:rsid w:val="00D80897"/>
    <w:rsid w:val="00D81375"/>
    <w:rsid w:val="00D8540E"/>
    <w:rsid w:val="00D85C4D"/>
    <w:rsid w:val="00D8730B"/>
    <w:rsid w:val="00D905F5"/>
    <w:rsid w:val="00D9072A"/>
    <w:rsid w:val="00D93140"/>
    <w:rsid w:val="00D93D38"/>
    <w:rsid w:val="00D94852"/>
    <w:rsid w:val="00D9528F"/>
    <w:rsid w:val="00D9653F"/>
    <w:rsid w:val="00DA039C"/>
    <w:rsid w:val="00DA10B4"/>
    <w:rsid w:val="00DA1D6C"/>
    <w:rsid w:val="00DA1F65"/>
    <w:rsid w:val="00DA3104"/>
    <w:rsid w:val="00DA4356"/>
    <w:rsid w:val="00DA6EBE"/>
    <w:rsid w:val="00DB27CC"/>
    <w:rsid w:val="00DB2A54"/>
    <w:rsid w:val="00DB2F25"/>
    <w:rsid w:val="00DB4EF9"/>
    <w:rsid w:val="00DC29FE"/>
    <w:rsid w:val="00DC430C"/>
    <w:rsid w:val="00DC60FB"/>
    <w:rsid w:val="00DC7319"/>
    <w:rsid w:val="00DC742E"/>
    <w:rsid w:val="00DD38DC"/>
    <w:rsid w:val="00DD4068"/>
    <w:rsid w:val="00DD508F"/>
    <w:rsid w:val="00DD63FF"/>
    <w:rsid w:val="00DE16A1"/>
    <w:rsid w:val="00DE21AB"/>
    <w:rsid w:val="00DE2438"/>
    <w:rsid w:val="00DE5BF5"/>
    <w:rsid w:val="00DF19F6"/>
    <w:rsid w:val="00DF1BBF"/>
    <w:rsid w:val="00DF3145"/>
    <w:rsid w:val="00DF3279"/>
    <w:rsid w:val="00DF3562"/>
    <w:rsid w:val="00DF4B0E"/>
    <w:rsid w:val="00DF4C54"/>
    <w:rsid w:val="00DF6B43"/>
    <w:rsid w:val="00E01E4B"/>
    <w:rsid w:val="00E062B0"/>
    <w:rsid w:val="00E0711E"/>
    <w:rsid w:val="00E0770C"/>
    <w:rsid w:val="00E14DFA"/>
    <w:rsid w:val="00E15FD2"/>
    <w:rsid w:val="00E17EA5"/>
    <w:rsid w:val="00E21595"/>
    <w:rsid w:val="00E229DB"/>
    <w:rsid w:val="00E2571A"/>
    <w:rsid w:val="00E264D4"/>
    <w:rsid w:val="00E26EDC"/>
    <w:rsid w:val="00E2713C"/>
    <w:rsid w:val="00E278A0"/>
    <w:rsid w:val="00E30B42"/>
    <w:rsid w:val="00E342D7"/>
    <w:rsid w:val="00E34FCA"/>
    <w:rsid w:val="00E35C26"/>
    <w:rsid w:val="00E410EA"/>
    <w:rsid w:val="00E41D5C"/>
    <w:rsid w:val="00E42006"/>
    <w:rsid w:val="00E437F7"/>
    <w:rsid w:val="00E440DB"/>
    <w:rsid w:val="00E50339"/>
    <w:rsid w:val="00E508FD"/>
    <w:rsid w:val="00E529F9"/>
    <w:rsid w:val="00E53A60"/>
    <w:rsid w:val="00E55017"/>
    <w:rsid w:val="00E55034"/>
    <w:rsid w:val="00E55416"/>
    <w:rsid w:val="00E557D1"/>
    <w:rsid w:val="00E56282"/>
    <w:rsid w:val="00E56742"/>
    <w:rsid w:val="00E572AA"/>
    <w:rsid w:val="00E616BF"/>
    <w:rsid w:val="00E62266"/>
    <w:rsid w:val="00E64349"/>
    <w:rsid w:val="00E647E9"/>
    <w:rsid w:val="00E658A3"/>
    <w:rsid w:val="00E658AA"/>
    <w:rsid w:val="00E662B2"/>
    <w:rsid w:val="00E6656A"/>
    <w:rsid w:val="00E70D30"/>
    <w:rsid w:val="00E716BA"/>
    <w:rsid w:val="00E74CE8"/>
    <w:rsid w:val="00E75977"/>
    <w:rsid w:val="00E76431"/>
    <w:rsid w:val="00E7686D"/>
    <w:rsid w:val="00E804B8"/>
    <w:rsid w:val="00E813BA"/>
    <w:rsid w:val="00E819B4"/>
    <w:rsid w:val="00E81E92"/>
    <w:rsid w:val="00E82060"/>
    <w:rsid w:val="00E8329F"/>
    <w:rsid w:val="00E84F4F"/>
    <w:rsid w:val="00E8590C"/>
    <w:rsid w:val="00E85F76"/>
    <w:rsid w:val="00E900A2"/>
    <w:rsid w:val="00E913D2"/>
    <w:rsid w:val="00E93590"/>
    <w:rsid w:val="00E93602"/>
    <w:rsid w:val="00E94506"/>
    <w:rsid w:val="00E95A7B"/>
    <w:rsid w:val="00E969E9"/>
    <w:rsid w:val="00EA01A0"/>
    <w:rsid w:val="00EA155A"/>
    <w:rsid w:val="00EA24D4"/>
    <w:rsid w:val="00EA2851"/>
    <w:rsid w:val="00EA3515"/>
    <w:rsid w:val="00EA54FB"/>
    <w:rsid w:val="00EA55FE"/>
    <w:rsid w:val="00EA7386"/>
    <w:rsid w:val="00EB052B"/>
    <w:rsid w:val="00EB0B4F"/>
    <w:rsid w:val="00EB1B59"/>
    <w:rsid w:val="00EB20B8"/>
    <w:rsid w:val="00EB239F"/>
    <w:rsid w:val="00EB4384"/>
    <w:rsid w:val="00EB556D"/>
    <w:rsid w:val="00EB6065"/>
    <w:rsid w:val="00EB685F"/>
    <w:rsid w:val="00EC0826"/>
    <w:rsid w:val="00EC4E99"/>
    <w:rsid w:val="00EC5E46"/>
    <w:rsid w:val="00EC7450"/>
    <w:rsid w:val="00ED3A21"/>
    <w:rsid w:val="00ED54F9"/>
    <w:rsid w:val="00ED5A65"/>
    <w:rsid w:val="00ED6982"/>
    <w:rsid w:val="00EE0218"/>
    <w:rsid w:val="00EE0E54"/>
    <w:rsid w:val="00EE1033"/>
    <w:rsid w:val="00EE3755"/>
    <w:rsid w:val="00EE5F75"/>
    <w:rsid w:val="00EE67B7"/>
    <w:rsid w:val="00EF24BB"/>
    <w:rsid w:val="00EF2B90"/>
    <w:rsid w:val="00EF32F6"/>
    <w:rsid w:val="00EF4114"/>
    <w:rsid w:val="00EF448F"/>
    <w:rsid w:val="00EF4634"/>
    <w:rsid w:val="00EF472E"/>
    <w:rsid w:val="00EF4A5A"/>
    <w:rsid w:val="00EF4EC4"/>
    <w:rsid w:val="00EF66A9"/>
    <w:rsid w:val="00EF6DE4"/>
    <w:rsid w:val="00EF74D8"/>
    <w:rsid w:val="00F01898"/>
    <w:rsid w:val="00F03114"/>
    <w:rsid w:val="00F053CA"/>
    <w:rsid w:val="00F05EE0"/>
    <w:rsid w:val="00F06985"/>
    <w:rsid w:val="00F07DE8"/>
    <w:rsid w:val="00F07DF9"/>
    <w:rsid w:val="00F156B3"/>
    <w:rsid w:val="00F15FD8"/>
    <w:rsid w:val="00F21A1A"/>
    <w:rsid w:val="00F22502"/>
    <w:rsid w:val="00F22813"/>
    <w:rsid w:val="00F228B4"/>
    <w:rsid w:val="00F22960"/>
    <w:rsid w:val="00F22FC8"/>
    <w:rsid w:val="00F2401B"/>
    <w:rsid w:val="00F241A0"/>
    <w:rsid w:val="00F24639"/>
    <w:rsid w:val="00F27F36"/>
    <w:rsid w:val="00F32B8C"/>
    <w:rsid w:val="00F33383"/>
    <w:rsid w:val="00F33D5B"/>
    <w:rsid w:val="00F34DDC"/>
    <w:rsid w:val="00F4030B"/>
    <w:rsid w:val="00F42F65"/>
    <w:rsid w:val="00F444F5"/>
    <w:rsid w:val="00F44DBB"/>
    <w:rsid w:val="00F4602E"/>
    <w:rsid w:val="00F46BCF"/>
    <w:rsid w:val="00F502D9"/>
    <w:rsid w:val="00F515AF"/>
    <w:rsid w:val="00F519D5"/>
    <w:rsid w:val="00F532D3"/>
    <w:rsid w:val="00F53AF0"/>
    <w:rsid w:val="00F53E05"/>
    <w:rsid w:val="00F54464"/>
    <w:rsid w:val="00F5550A"/>
    <w:rsid w:val="00F55A56"/>
    <w:rsid w:val="00F56088"/>
    <w:rsid w:val="00F562A5"/>
    <w:rsid w:val="00F60282"/>
    <w:rsid w:val="00F6031D"/>
    <w:rsid w:val="00F61303"/>
    <w:rsid w:val="00F6491C"/>
    <w:rsid w:val="00F65606"/>
    <w:rsid w:val="00F663D5"/>
    <w:rsid w:val="00F66614"/>
    <w:rsid w:val="00F6687E"/>
    <w:rsid w:val="00F66F42"/>
    <w:rsid w:val="00F67764"/>
    <w:rsid w:val="00F67B54"/>
    <w:rsid w:val="00F71232"/>
    <w:rsid w:val="00F74722"/>
    <w:rsid w:val="00F75F45"/>
    <w:rsid w:val="00F774C0"/>
    <w:rsid w:val="00F80F5E"/>
    <w:rsid w:val="00F80FA8"/>
    <w:rsid w:val="00F82957"/>
    <w:rsid w:val="00F82E22"/>
    <w:rsid w:val="00F83645"/>
    <w:rsid w:val="00F83BD2"/>
    <w:rsid w:val="00F857CA"/>
    <w:rsid w:val="00F9170D"/>
    <w:rsid w:val="00F922C1"/>
    <w:rsid w:val="00F92C2B"/>
    <w:rsid w:val="00F93ACF"/>
    <w:rsid w:val="00F94241"/>
    <w:rsid w:val="00F945CD"/>
    <w:rsid w:val="00F95ECF"/>
    <w:rsid w:val="00F9792C"/>
    <w:rsid w:val="00F97AAA"/>
    <w:rsid w:val="00FA0254"/>
    <w:rsid w:val="00FA4303"/>
    <w:rsid w:val="00FA4AD8"/>
    <w:rsid w:val="00FA51D3"/>
    <w:rsid w:val="00FA6E95"/>
    <w:rsid w:val="00FB0FBB"/>
    <w:rsid w:val="00FB194E"/>
    <w:rsid w:val="00FB32D1"/>
    <w:rsid w:val="00FB3597"/>
    <w:rsid w:val="00FB53CA"/>
    <w:rsid w:val="00FB5EF1"/>
    <w:rsid w:val="00FB6DE6"/>
    <w:rsid w:val="00FC2762"/>
    <w:rsid w:val="00FC35DC"/>
    <w:rsid w:val="00FC3750"/>
    <w:rsid w:val="00FC426B"/>
    <w:rsid w:val="00FC487C"/>
    <w:rsid w:val="00FC51A5"/>
    <w:rsid w:val="00FC7A0E"/>
    <w:rsid w:val="00FD0B36"/>
    <w:rsid w:val="00FD0DFA"/>
    <w:rsid w:val="00FD168A"/>
    <w:rsid w:val="00FD3643"/>
    <w:rsid w:val="00FD553C"/>
    <w:rsid w:val="00FD6F5E"/>
    <w:rsid w:val="00FE087D"/>
    <w:rsid w:val="00FE0A3D"/>
    <w:rsid w:val="00FE133D"/>
    <w:rsid w:val="00FE2090"/>
    <w:rsid w:val="00FE23FC"/>
    <w:rsid w:val="00FE2A07"/>
    <w:rsid w:val="00FE2BA7"/>
    <w:rsid w:val="00FE359D"/>
    <w:rsid w:val="00FE47EA"/>
    <w:rsid w:val="00FE4D5F"/>
    <w:rsid w:val="00FE5805"/>
    <w:rsid w:val="00FE7BC4"/>
    <w:rsid w:val="00FF18A0"/>
    <w:rsid w:val="00FF19A4"/>
    <w:rsid w:val="00FF2058"/>
    <w:rsid w:val="00FF29D4"/>
    <w:rsid w:val="00FF2BD9"/>
    <w:rsid w:val="00FF38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8B7B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ard">
    <w:name w:val="Normal"/>
    <w:qFormat/>
    <w:rsid w:val="00BD56C8"/>
    <w:rPr>
      <w:rFonts w:eastAsia="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istory">
    <w:name w:val="History"/>
    <w:basedOn w:val="Standaard"/>
    <w:rsid w:val="005B291B"/>
    <w:pPr>
      <w:spacing w:before="230" w:after="460" w:line="180" w:lineRule="exact"/>
      <w:jc w:val="right"/>
    </w:pPr>
    <w:rPr>
      <w:rFonts w:ascii="Arial" w:eastAsia="MS Mincho" w:hAnsi="Arial"/>
      <w:sz w:val="14"/>
      <w:szCs w:val="16"/>
      <w:lang w:val="de-DE" w:eastAsia="ja-JP"/>
    </w:rPr>
  </w:style>
  <w:style w:type="paragraph" w:customStyle="1" w:styleId="References">
    <w:name w:val="References"/>
    <w:basedOn w:val="Standaard"/>
    <w:rsid w:val="005B291B"/>
    <w:pPr>
      <w:spacing w:line="200" w:lineRule="exact"/>
      <w:ind w:left="425" w:hanging="425"/>
      <w:jc w:val="both"/>
    </w:pPr>
    <w:rPr>
      <w:rFonts w:eastAsia="MS Mincho"/>
      <w:sz w:val="15"/>
      <w:szCs w:val="14"/>
      <w:lang w:val="en-GB" w:eastAsia="ja-JP"/>
    </w:rPr>
  </w:style>
  <w:style w:type="paragraph" w:customStyle="1" w:styleId="HExperimentalSection">
    <w:name w:val="HExperimental_Section"/>
    <w:basedOn w:val="Standaard"/>
    <w:rsid w:val="005B291B"/>
    <w:pPr>
      <w:spacing w:before="460" w:after="230" w:line="230" w:lineRule="atLeast"/>
    </w:pPr>
    <w:rPr>
      <w:rFonts w:eastAsia="MS Mincho"/>
      <w:i/>
      <w:szCs w:val="20"/>
      <w:lang w:val="de-DE" w:eastAsia="ja-JP"/>
    </w:rPr>
  </w:style>
  <w:style w:type="paragraph" w:customStyle="1" w:styleId="ExperimentalSection">
    <w:name w:val="ExperimentalSection"/>
    <w:basedOn w:val="Standaard"/>
    <w:rsid w:val="005B291B"/>
    <w:pPr>
      <w:spacing w:after="240" w:line="200" w:lineRule="exact"/>
      <w:ind w:firstLine="170"/>
      <w:jc w:val="both"/>
    </w:pPr>
    <w:rPr>
      <w:rFonts w:eastAsia="MS Mincho"/>
      <w:sz w:val="16"/>
      <w:szCs w:val="14"/>
      <w:lang w:val="en-GB" w:eastAsia="ja-JP"/>
    </w:rPr>
  </w:style>
  <w:style w:type="paragraph" w:customStyle="1" w:styleId="FNB">
    <w:name w:val="FNB"/>
    <w:basedOn w:val="Standaard"/>
    <w:link w:val="FNBChar"/>
    <w:rsid w:val="005B291B"/>
    <w:pPr>
      <w:widowControl w:val="0"/>
      <w:spacing w:after="40" w:line="160" w:lineRule="exact"/>
      <w:ind w:left="567" w:right="4434" w:hanging="567"/>
      <w:jc w:val="both"/>
    </w:pPr>
    <w:rPr>
      <w:rFonts w:ascii="Times" w:eastAsia="MS Mincho"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Standaard"/>
    <w:rsid w:val="005B291B"/>
    <w:rPr>
      <w:rFonts w:eastAsia="MS Mincho"/>
      <w:lang w:val="de-DE" w:eastAsia="ja-JP"/>
    </w:rPr>
  </w:style>
  <w:style w:type="paragraph" w:customStyle="1" w:styleId="TableCaption">
    <w:name w:val="TableCaption"/>
    <w:basedOn w:val="Standaard"/>
    <w:rsid w:val="006511FB"/>
    <w:pPr>
      <w:spacing w:after="120" w:line="190" w:lineRule="exact"/>
      <w:jc w:val="both"/>
    </w:pPr>
    <w:rPr>
      <w:rFonts w:ascii="Arial" w:eastAsia="MS Mincho" w:hAnsi="Arial"/>
      <w:sz w:val="16"/>
      <w:szCs w:val="14"/>
      <w:lang w:val="en-GB" w:eastAsia="ja-JP"/>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Standaard"/>
    <w:rsid w:val="006511FB"/>
    <w:pPr>
      <w:spacing w:before="230" w:after="460" w:line="190" w:lineRule="exact"/>
      <w:jc w:val="both"/>
    </w:pPr>
    <w:rPr>
      <w:rFonts w:ascii="Arial" w:eastAsia="MS Mincho" w:hAnsi="Arial"/>
      <w:sz w:val="16"/>
      <w:szCs w:val="14"/>
      <w:lang w:val="en-GB" w:eastAsia="ja-JP"/>
    </w:rPr>
  </w:style>
  <w:style w:type="paragraph" w:styleId="Voetnoottekst">
    <w:name w:val="footnote text"/>
    <w:basedOn w:val="Standaard"/>
    <w:semiHidden/>
    <w:rsid w:val="00D81375"/>
    <w:pPr>
      <w:keepLines/>
      <w:widowControl w:val="0"/>
      <w:jc w:val="both"/>
    </w:pPr>
    <w:rPr>
      <w:sz w:val="20"/>
      <w:szCs w:val="20"/>
      <w:lang w:val="en-GB" w:eastAsia="ro-RO"/>
    </w:rPr>
  </w:style>
  <w:style w:type="paragraph" w:customStyle="1" w:styleId="STOE">
    <w:name w:val="STOE"/>
    <w:basedOn w:val="Standaard"/>
    <w:link w:val="STOEChar1"/>
    <w:rsid w:val="00D81375"/>
    <w:pPr>
      <w:widowControl w:val="0"/>
      <w:spacing w:line="236" w:lineRule="exact"/>
      <w:ind w:right="4434"/>
      <w:jc w:val="both"/>
    </w:pPr>
    <w:rPr>
      <w:rFonts w:ascii="Times" w:eastAsia="MS Mincho"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ntekst">
    <w:name w:val="Balloon Text"/>
    <w:basedOn w:val="Standaard"/>
    <w:link w:val="BallontekstChar"/>
    <w:uiPriority w:val="99"/>
    <w:semiHidden/>
    <w:rsid w:val="00D81375"/>
    <w:rPr>
      <w:rFonts w:ascii="Tahoma" w:hAnsi="Tahoma" w:cs="Tahoma"/>
      <w:sz w:val="16"/>
      <w:szCs w:val="16"/>
    </w:rPr>
  </w:style>
  <w:style w:type="paragraph" w:styleId="Koptekst">
    <w:name w:val="header"/>
    <w:basedOn w:val="Standaard"/>
    <w:link w:val="KoptekstChar"/>
    <w:uiPriority w:val="99"/>
    <w:rsid w:val="00881456"/>
    <w:pPr>
      <w:tabs>
        <w:tab w:val="center" w:pos="4536"/>
        <w:tab w:val="right" w:pos="9072"/>
      </w:tabs>
    </w:pPr>
    <w:rPr>
      <w:rFonts w:eastAsia="MS Mincho"/>
      <w:lang w:val="x-none" w:eastAsia="ja-JP"/>
    </w:rPr>
  </w:style>
  <w:style w:type="paragraph" w:styleId="Voettekst">
    <w:name w:val="footer"/>
    <w:basedOn w:val="Standaard"/>
    <w:link w:val="VoettekstChar"/>
    <w:uiPriority w:val="99"/>
    <w:rsid w:val="00881456"/>
    <w:pPr>
      <w:tabs>
        <w:tab w:val="center" w:pos="4536"/>
        <w:tab w:val="right" w:pos="9072"/>
      </w:tabs>
    </w:pPr>
    <w:rPr>
      <w:rFonts w:eastAsia="MS Mincho"/>
      <w:lang w:val="de-DE" w:eastAsia="ja-JP"/>
    </w:rPr>
  </w:style>
  <w:style w:type="paragraph" w:customStyle="1" w:styleId="Title1">
    <w:name w:val="Title1"/>
    <w:basedOn w:val="Standaard"/>
    <w:rsid w:val="00004A23"/>
    <w:rPr>
      <w:rFonts w:eastAsia="MS Mincho"/>
      <w:b/>
      <w:lang w:eastAsia="ja-JP"/>
    </w:rPr>
  </w:style>
  <w:style w:type="paragraph" w:customStyle="1" w:styleId="AuthorsFull">
    <w:name w:val="Authors Full"/>
    <w:basedOn w:val="Standaard"/>
    <w:rsid w:val="00004A23"/>
    <w:rPr>
      <w:rFonts w:eastAsia="MS Mincho"/>
      <w:i/>
      <w:lang w:eastAsia="ja-JP"/>
    </w:rPr>
  </w:style>
  <w:style w:type="paragraph" w:customStyle="1" w:styleId="dedication">
    <w:name w:val="dedication"/>
    <w:basedOn w:val="Standaard"/>
    <w:rsid w:val="00004A23"/>
    <w:rPr>
      <w:rFonts w:eastAsia="MS Mincho"/>
      <w:i/>
      <w:lang w:eastAsia="ja-JP"/>
    </w:rPr>
  </w:style>
  <w:style w:type="paragraph" w:customStyle="1" w:styleId="Addresses">
    <w:name w:val="Addresses"/>
    <w:basedOn w:val="Standaard"/>
    <w:rsid w:val="00004A23"/>
    <w:rPr>
      <w:rFonts w:eastAsia="MS Mincho"/>
      <w:lang w:eastAsia="ja-JP"/>
    </w:rPr>
  </w:style>
  <w:style w:type="paragraph" w:customStyle="1" w:styleId="Acknowledgements">
    <w:name w:val="Acknowledgements"/>
    <w:basedOn w:val="Standaard"/>
    <w:rsid w:val="00004A23"/>
    <w:rPr>
      <w:rFonts w:eastAsia="MS Mincho"/>
      <w:lang w:eastAsia="ja-JP"/>
    </w:rPr>
  </w:style>
  <w:style w:type="paragraph" w:customStyle="1" w:styleId="Abstract">
    <w:name w:val="Abstract"/>
    <w:basedOn w:val="Standaard"/>
    <w:autoRedefine/>
    <w:rsid w:val="00800935"/>
    <w:pPr>
      <w:spacing w:line="480" w:lineRule="auto"/>
      <w:jc w:val="both"/>
    </w:pPr>
    <w:rPr>
      <w:rFonts w:eastAsia="MS Mincho"/>
      <w:lang w:eastAsia="ja-JP"/>
    </w:rPr>
  </w:style>
  <w:style w:type="paragraph" w:customStyle="1" w:styleId="Head1">
    <w:name w:val="Head 1"/>
    <w:basedOn w:val="Standaard"/>
    <w:autoRedefine/>
    <w:rsid w:val="001D6716"/>
    <w:pPr>
      <w:spacing w:line="480" w:lineRule="auto"/>
      <w:jc w:val="both"/>
    </w:pPr>
    <w:rPr>
      <w:rFonts w:eastAsia="MS Mincho"/>
      <w:bCs/>
      <w:color w:val="000000"/>
      <w:lang w:val="en-GB" w:eastAsia="ja-JP"/>
    </w:rPr>
  </w:style>
  <w:style w:type="paragraph" w:customStyle="1" w:styleId="Head2">
    <w:name w:val="Head 2"/>
    <w:basedOn w:val="Standaard"/>
    <w:autoRedefine/>
    <w:rsid w:val="00004A23"/>
    <w:pPr>
      <w:spacing w:line="360" w:lineRule="auto"/>
    </w:pPr>
    <w:rPr>
      <w:rFonts w:eastAsia="MS Mincho"/>
      <w:i/>
      <w:lang w:eastAsia="ja-JP"/>
    </w:rPr>
  </w:style>
  <w:style w:type="paragraph" w:customStyle="1" w:styleId="dates">
    <w:name w:val="dates"/>
    <w:basedOn w:val="Standaard"/>
    <w:rsid w:val="00004A23"/>
    <w:pPr>
      <w:jc w:val="right"/>
    </w:pPr>
    <w:rPr>
      <w:rFonts w:eastAsia="MS Mincho"/>
      <w:lang w:eastAsia="ja-JP"/>
    </w:rPr>
  </w:style>
  <w:style w:type="paragraph" w:customStyle="1" w:styleId="Literature">
    <w:name w:val="Literature"/>
    <w:basedOn w:val="Standaard"/>
    <w:rsid w:val="00004A23"/>
    <w:pPr>
      <w:spacing w:line="480" w:lineRule="auto"/>
    </w:pPr>
    <w:rPr>
      <w:rFonts w:eastAsia="MS Mincho"/>
      <w:lang w:val="de-DE" w:eastAsia="ja-JP"/>
    </w:rPr>
  </w:style>
  <w:style w:type="paragraph" w:customStyle="1" w:styleId="Legend">
    <w:name w:val="Legend"/>
    <w:basedOn w:val="Standaard"/>
    <w:rsid w:val="00004A23"/>
    <w:rPr>
      <w:rFonts w:eastAsia="MS Mincho"/>
      <w:lang w:eastAsia="ja-JP"/>
    </w:rPr>
  </w:style>
  <w:style w:type="paragraph" w:customStyle="1" w:styleId="MainText">
    <w:name w:val="Main Text"/>
    <w:basedOn w:val="Standaard"/>
    <w:link w:val="MainTextChar"/>
    <w:rsid w:val="00004A23"/>
    <w:pPr>
      <w:spacing w:line="480" w:lineRule="auto"/>
    </w:pPr>
    <w:rPr>
      <w:rFonts w:eastAsia="MS Mincho"/>
      <w:lang w:eastAsia="ja-JP"/>
    </w:rPr>
  </w:style>
  <w:style w:type="paragraph" w:customStyle="1" w:styleId="Tableofcontents">
    <w:name w:val="Table of contents"/>
    <w:basedOn w:val="Standaard"/>
    <w:autoRedefine/>
    <w:rsid w:val="003631C9"/>
    <w:rPr>
      <w:rFonts w:eastAsia="MS Mincho"/>
      <w:color w:val="000000"/>
      <w:lang w:val="en-GB" w:eastAsia="ja-JP"/>
    </w:rPr>
  </w:style>
  <w:style w:type="paragraph" w:customStyle="1" w:styleId="ExperimentalText">
    <w:name w:val="Experimental Text"/>
    <w:basedOn w:val="Standaard"/>
    <w:link w:val="ExperimentalTextChar"/>
    <w:rsid w:val="00004A23"/>
    <w:pPr>
      <w:spacing w:line="480" w:lineRule="auto"/>
    </w:pPr>
    <w:rPr>
      <w:rFonts w:eastAsia="MS Mincho"/>
      <w:lang w:eastAsia="ja-JP"/>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Standaard"/>
    <w:rsid w:val="002D16A0"/>
    <w:rPr>
      <w:rFonts w:eastAsia="MS Mincho"/>
      <w:b/>
      <w:lang w:eastAsia="ja-JP"/>
    </w:rPr>
  </w:style>
  <w:style w:type="paragraph" w:customStyle="1" w:styleId="Dedication0">
    <w:name w:val="Dedication"/>
    <w:basedOn w:val="Standaard"/>
    <w:autoRedefine/>
    <w:rsid w:val="00322D5B"/>
    <w:rPr>
      <w:rFonts w:eastAsia="MS Mincho"/>
      <w:lang w:eastAsia="ja-JP"/>
    </w:rPr>
  </w:style>
  <w:style w:type="paragraph" w:customStyle="1" w:styleId="Maintext0">
    <w:name w:val="Main text"/>
    <w:basedOn w:val="Standaard"/>
    <w:link w:val="MaintextChar0"/>
    <w:autoRedefine/>
    <w:rsid w:val="002D16A0"/>
    <w:pPr>
      <w:spacing w:line="480" w:lineRule="auto"/>
    </w:pPr>
    <w:rPr>
      <w:rFonts w:eastAsia="MS Mincho"/>
      <w:lang w:eastAsia="ja-JP"/>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Standaard"/>
    <w:autoRedefine/>
    <w:rsid w:val="00562E2B"/>
    <w:rPr>
      <w:rFonts w:eastAsia="MS Mincho"/>
      <w:i/>
      <w:lang w:eastAsia="ja-JP"/>
    </w:rPr>
  </w:style>
  <w:style w:type="character" w:customStyle="1" w:styleId="KoptekstChar">
    <w:name w:val="Koptekst Char"/>
    <w:link w:val="Koptekst"/>
    <w:uiPriority w:val="99"/>
    <w:rsid w:val="00414465"/>
    <w:rPr>
      <w:sz w:val="24"/>
      <w:szCs w:val="24"/>
      <w:lang w:eastAsia="ja-JP"/>
    </w:rPr>
  </w:style>
  <w:style w:type="character" w:styleId="Verwijzingopmerking">
    <w:name w:val="annotation reference"/>
    <w:uiPriority w:val="99"/>
    <w:semiHidden/>
    <w:unhideWhenUsed/>
    <w:rsid w:val="00664F6D"/>
    <w:rPr>
      <w:sz w:val="16"/>
      <w:szCs w:val="16"/>
    </w:rPr>
  </w:style>
  <w:style w:type="paragraph" w:styleId="Tekstopmerking">
    <w:name w:val="annotation text"/>
    <w:basedOn w:val="Standaard"/>
    <w:link w:val="TekstopmerkingChar"/>
    <w:uiPriority w:val="99"/>
    <w:semiHidden/>
    <w:unhideWhenUsed/>
    <w:rsid w:val="00664F6D"/>
    <w:rPr>
      <w:sz w:val="20"/>
      <w:szCs w:val="20"/>
      <w:lang w:val="x-none"/>
    </w:rPr>
  </w:style>
  <w:style w:type="character" w:customStyle="1" w:styleId="TekstopmerkingChar">
    <w:name w:val="Tekst opmerking Char"/>
    <w:link w:val="Tekstopmerking"/>
    <w:uiPriority w:val="99"/>
    <w:semiHidden/>
    <w:rsid w:val="00664F6D"/>
    <w:rPr>
      <w:lang w:eastAsia="ja-JP"/>
    </w:rPr>
  </w:style>
  <w:style w:type="paragraph" w:styleId="Onderwerpvanopmerking">
    <w:name w:val="annotation subject"/>
    <w:basedOn w:val="Tekstopmerking"/>
    <w:next w:val="Tekstopmerking"/>
    <w:link w:val="OnderwerpvanopmerkingChar"/>
    <w:uiPriority w:val="99"/>
    <w:semiHidden/>
    <w:unhideWhenUsed/>
    <w:rsid w:val="00664F6D"/>
    <w:rPr>
      <w:b/>
      <w:bCs/>
    </w:rPr>
  </w:style>
  <w:style w:type="character" w:customStyle="1" w:styleId="OnderwerpvanopmerkingChar">
    <w:name w:val="Onderwerp van opmerking Char"/>
    <w:link w:val="Onderwerpvanopmerking"/>
    <w:uiPriority w:val="99"/>
    <w:semiHidden/>
    <w:rsid w:val="00664F6D"/>
    <w:rPr>
      <w:b/>
      <w:bCs/>
      <w:lang w:eastAsia="ja-JP"/>
    </w:rPr>
  </w:style>
  <w:style w:type="character" w:customStyle="1" w:styleId="VoettekstChar">
    <w:name w:val="Voettekst Char"/>
    <w:link w:val="Voettekst"/>
    <w:uiPriority w:val="99"/>
    <w:rsid w:val="007B7A09"/>
    <w:rPr>
      <w:sz w:val="24"/>
      <w:szCs w:val="24"/>
      <w:lang w:eastAsia="ja-JP"/>
    </w:rPr>
  </w:style>
  <w:style w:type="paragraph" w:styleId="Lijstalinea">
    <w:name w:val="List Paragraph"/>
    <w:basedOn w:val="Standaard"/>
    <w:uiPriority w:val="34"/>
    <w:qFormat/>
    <w:rsid w:val="005757E1"/>
    <w:pPr>
      <w:ind w:left="720"/>
      <w:contextualSpacing/>
    </w:pPr>
    <w:rPr>
      <w:rFonts w:ascii="Calibri" w:eastAsia="Calibri" w:hAnsi="Calibri"/>
    </w:rPr>
  </w:style>
  <w:style w:type="table" w:styleId="Tabelraster">
    <w:name w:val="Table Grid"/>
    <w:basedOn w:val="Standaardtabel"/>
    <w:uiPriority w:val="39"/>
    <w:rsid w:val="005757E1"/>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5757E1"/>
    <w:pPr>
      <w:spacing w:before="100" w:beforeAutospacing="1" w:after="100" w:afterAutospacing="1"/>
    </w:pPr>
    <w:rPr>
      <w:rFonts w:eastAsia="Calibri"/>
    </w:rPr>
  </w:style>
  <w:style w:type="character" w:customStyle="1" w:styleId="BallontekstChar">
    <w:name w:val="Ballontekst Char"/>
    <w:link w:val="Ballontekst"/>
    <w:uiPriority w:val="99"/>
    <w:semiHidden/>
    <w:rsid w:val="005757E1"/>
    <w:rPr>
      <w:rFonts w:ascii="Tahoma" w:hAnsi="Tahoma" w:cs="Tahoma"/>
      <w:sz w:val="16"/>
      <w:szCs w:val="16"/>
      <w:lang w:val="de-DE" w:eastAsia="ja-JP"/>
    </w:rPr>
  </w:style>
  <w:style w:type="character" w:styleId="Hyperlink">
    <w:name w:val="Hyperlink"/>
    <w:uiPriority w:val="99"/>
    <w:unhideWhenUsed/>
    <w:rsid w:val="005757E1"/>
    <w:rPr>
      <w:color w:val="0563C1"/>
      <w:u w:val="single"/>
    </w:rPr>
  </w:style>
  <w:style w:type="character" w:styleId="Tekstvantijdelijkeaanduiding">
    <w:name w:val="Placeholder Text"/>
    <w:uiPriority w:val="99"/>
    <w:rsid w:val="005757E1"/>
    <w:rPr>
      <w:color w:val="808080"/>
    </w:rPr>
  </w:style>
  <w:style w:type="paragraph" w:styleId="Revisie">
    <w:name w:val="Revision"/>
    <w:hidden/>
    <w:uiPriority w:val="99"/>
    <w:rsid w:val="005757E1"/>
    <w:rPr>
      <w:rFonts w:ascii="Calibri" w:eastAsia="Calibri" w:hAnsi="Calibri"/>
      <w:sz w:val="24"/>
      <w:szCs w:val="24"/>
    </w:rPr>
  </w:style>
  <w:style w:type="paragraph" w:styleId="Bijschrift">
    <w:name w:val="caption"/>
    <w:basedOn w:val="Standaard"/>
    <w:next w:val="Standaard"/>
    <w:uiPriority w:val="35"/>
    <w:unhideWhenUsed/>
    <w:qFormat/>
    <w:rsid w:val="007C6BDE"/>
    <w:pPr>
      <w:spacing w:after="200"/>
      <w:jc w:val="both"/>
    </w:pPr>
    <w:rPr>
      <w:rFonts w:asciiTheme="minorHAnsi" w:eastAsiaTheme="minorHAnsi" w:hAnsiTheme="minorHAnsi" w:cstheme="minorBidi"/>
      <w:bCs/>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940974">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T.J.Savenije@tudelft.nl"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06A71649-19A9-9846-A1F1-60240C046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17</Pages>
  <Words>18065</Words>
  <Characters>99360</Characters>
  <Application>Microsoft Office Word</Application>
  <DocSecurity>0</DocSecurity>
  <Lines>828</Lines>
  <Paragraphs>234</Paragraphs>
  <ScaleCrop>false</ScaleCrop>
  <HeadingPairs>
    <vt:vector size="2" baseType="variant">
      <vt:variant>
        <vt:lpstr>Title</vt:lpstr>
      </vt:variant>
      <vt:variant>
        <vt:i4>1</vt:i4>
      </vt:variant>
    </vt:vector>
  </HeadingPairs>
  <TitlesOfParts>
    <vt:vector size="1" baseType="lpstr">
      <vt:lpstr>DOI: 10</vt:lpstr>
    </vt:vector>
  </TitlesOfParts>
  <Company>WILEY-VCH Verlag GmbH &amp; Co. KGaA</Company>
  <LinksUpToDate>false</LinksUpToDate>
  <CharactersWithSpaces>117191</CharactersWithSpaces>
  <SharedDoc>false</SharedDoc>
  <HLinks>
    <vt:vector size="24" baseType="variant">
      <vt:variant>
        <vt:i4>589860</vt:i4>
      </vt:variant>
      <vt:variant>
        <vt:i4>138</vt:i4>
      </vt:variant>
      <vt:variant>
        <vt:i4>0</vt:i4>
      </vt:variant>
      <vt:variant>
        <vt:i4>5</vt:i4>
      </vt:variant>
      <vt:variant>
        <vt:lpwstr>mailto:T.J.Savenije@tudelft.nl</vt:lpwstr>
      </vt:variant>
      <vt:variant>
        <vt:lpwstr/>
      </vt:variant>
      <vt:variant>
        <vt:i4>6750303</vt:i4>
      </vt:variant>
      <vt:variant>
        <vt:i4>135</vt:i4>
      </vt:variant>
      <vt:variant>
        <vt:i4>0</vt:i4>
      </vt:variant>
      <vt:variant>
        <vt:i4>5</vt:i4>
      </vt:variant>
      <vt:variant>
        <vt:lpwstr>mailto:E.M.Hutter@tudelft.nl</vt:lpwstr>
      </vt:variant>
      <vt:variant>
        <vt:lpwstr/>
      </vt:variant>
      <vt:variant>
        <vt:i4>589860</vt:i4>
      </vt:variant>
      <vt:variant>
        <vt:i4>3</vt:i4>
      </vt:variant>
      <vt:variant>
        <vt:i4>0</vt:i4>
      </vt:variant>
      <vt:variant>
        <vt:i4>5</vt:i4>
      </vt:variant>
      <vt:variant>
        <vt:lpwstr>mailto:T.J.Savenije@tudelft.nl</vt:lpwstr>
      </vt:variant>
      <vt:variant>
        <vt:lpwstr/>
      </vt:variant>
      <vt:variant>
        <vt:i4>6750303</vt:i4>
      </vt:variant>
      <vt:variant>
        <vt:i4>0</vt:i4>
      </vt:variant>
      <vt:variant>
        <vt:i4>0</vt:i4>
      </vt:variant>
      <vt:variant>
        <vt:i4>5</vt:i4>
      </vt:variant>
      <vt:variant>
        <vt:lpwstr>mailto:E.M.Hutter@tudelft.nl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Joke Dales</cp:lastModifiedBy>
  <cp:revision>2</cp:revision>
  <cp:lastPrinted>2022-01-21T12:17:00Z</cp:lastPrinted>
  <dcterms:created xsi:type="dcterms:W3CDTF">2024-02-13T08:24:00Z</dcterms:created>
  <dcterms:modified xsi:type="dcterms:W3CDTF">2024-02-13T08:24:00Z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373b9c68-aa99-3fa0-80d4-a7765789f1aa</vt:lpwstr>
  </property>
  <property fmtid="{D5CDD505-2E9C-101B-9397-08002B2CF9AE}" pid="4" name="Mendeley Citation Style_1">
    <vt:lpwstr>http://www.zotero.org/styles/advanced-materials</vt:lpwstr>
  </property>
  <property fmtid="{D5CDD505-2E9C-101B-9397-08002B2CF9AE}" pid="5" name="Mendeley Recent Style Id 0_1">
    <vt:lpwstr>http://www.zotero.org/styles/advanced-materials</vt:lpwstr>
  </property>
  <property fmtid="{D5CDD505-2E9C-101B-9397-08002B2CF9AE}" pid="6" name="Mendeley Recent Style Name 0_1">
    <vt:lpwstr>Advanced Materials</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http://www.zotero.org/styles/the-journal-of-physical-chemistry-letters</vt:lpwstr>
  </property>
  <property fmtid="{D5CDD505-2E9C-101B-9397-08002B2CF9AE}" pid="24" name="Mendeley Recent Style Name 9_1">
    <vt:lpwstr>The Journal of Physical Chemistry Letters</vt:lpwstr>
  </property>
</Properties>
</file>