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7ACBA" w14:textId="77777777" w:rsidR="00E5312B" w:rsidRDefault="00E5312B" w:rsidP="00B12E71">
      <w:pPr>
        <w:rPr>
          <w:lang w:val="pt-BR"/>
        </w:rPr>
      </w:pPr>
    </w:p>
    <w:p w14:paraId="263BCA2D" w14:textId="37E24CC3" w:rsidR="00B12E71" w:rsidRPr="007F5D9F" w:rsidRDefault="00E5312B" w:rsidP="00B12E71">
      <w:pPr>
        <w:rPr>
          <w:rFonts w:ascii="Arial" w:hAnsi="Arial" w:cs="Arial"/>
          <w:sz w:val="36"/>
          <w:szCs w:val="36"/>
          <w:lang w:val="pt-BR"/>
        </w:rPr>
      </w:pPr>
      <w:r w:rsidRPr="007F5D9F">
        <w:rPr>
          <w:rFonts w:ascii="Arial" w:hAnsi="Arial" w:cs="Arial"/>
          <w:sz w:val="36"/>
          <w:szCs w:val="36"/>
          <w:lang w:val="pt-BR"/>
        </w:rPr>
        <w:t xml:space="preserve">Ana </w:t>
      </w:r>
      <w:proofErr w:type="spellStart"/>
      <w:r w:rsidRPr="007F5D9F">
        <w:rPr>
          <w:rFonts w:ascii="Arial" w:hAnsi="Arial" w:cs="Arial"/>
          <w:sz w:val="36"/>
          <w:szCs w:val="36"/>
          <w:lang w:val="pt-BR"/>
        </w:rPr>
        <w:t>Lyvia</w:t>
      </w:r>
      <w:proofErr w:type="spellEnd"/>
      <w:r w:rsidRPr="007F5D9F">
        <w:rPr>
          <w:rFonts w:ascii="Arial" w:hAnsi="Arial" w:cs="Arial"/>
          <w:sz w:val="36"/>
          <w:szCs w:val="36"/>
          <w:lang w:val="pt-BR"/>
        </w:rPr>
        <w:t xml:space="preserve"> Tabosa da Silva</w:t>
      </w:r>
    </w:p>
    <w:p w14:paraId="6170C99B" w14:textId="5E9A5E3E" w:rsidR="00E5312B" w:rsidRPr="007F5D9F" w:rsidRDefault="00E5312B" w:rsidP="00B12E71">
      <w:pPr>
        <w:rPr>
          <w:lang w:val="pt-BR"/>
        </w:rPr>
      </w:pPr>
    </w:p>
    <w:p w14:paraId="631E6855" w14:textId="20956FBB" w:rsidR="00E5312B" w:rsidRPr="007F5D9F" w:rsidRDefault="00E5312B" w:rsidP="00B12E71">
      <w:pPr>
        <w:rPr>
          <w:lang w:val="pt-BR"/>
        </w:rPr>
      </w:pPr>
    </w:p>
    <w:p w14:paraId="1FEC0D29" w14:textId="77777777" w:rsidR="00E5312B" w:rsidRPr="007F5D9F" w:rsidRDefault="00E5312B" w:rsidP="00B12E71">
      <w:pPr>
        <w:rPr>
          <w:lang w:val="pt-BR"/>
        </w:rPr>
      </w:pPr>
    </w:p>
    <w:p w14:paraId="0FAB31E2" w14:textId="6BA1EBE7" w:rsidR="00E5312B" w:rsidRPr="0003012C" w:rsidRDefault="00E5312B" w:rsidP="007820D5">
      <w:pPr>
        <w:spacing w:line="240" w:lineRule="auto"/>
        <w:rPr>
          <w:rStyle w:val="SubtleReference"/>
          <w:rFonts w:ascii="Arial" w:hAnsi="Arial" w:cs="Arial"/>
          <w:sz w:val="48"/>
          <w:szCs w:val="48"/>
        </w:rPr>
      </w:pPr>
      <w:proofErr w:type="spellStart"/>
      <w:r w:rsidRPr="007F5D9F">
        <w:rPr>
          <w:rFonts w:ascii="Arial" w:hAnsi="Arial" w:cs="Arial"/>
          <w:sz w:val="48"/>
          <w:szCs w:val="48"/>
          <w:lang w:val="pt-BR"/>
        </w:rPr>
        <w:t>Ex-ante</w:t>
      </w:r>
      <w:proofErr w:type="spellEnd"/>
      <w:r w:rsidRPr="007F5D9F">
        <w:rPr>
          <w:rFonts w:ascii="Arial" w:hAnsi="Arial" w:cs="Arial"/>
          <w:sz w:val="48"/>
          <w:szCs w:val="48"/>
          <w:lang w:val="pt-BR"/>
        </w:rPr>
        <w:t xml:space="preserve"> LCA </w:t>
      </w:r>
      <w:proofErr w:type="spellStart"/>
      <w:r w:rsidRPr="007F5D9F">
        <w:rPr>
          <w:rFonts w:ascii="Arial" w:hAnsi="Arial" w:cs="Arial"/>
          <w:sz w:val="48"/>
          <w:szCs w:val="48"/>
          <w:lang w:val="pt-BR"/>
        </w:rPr>
        <w:t>of</w:t>
      </w:r>
      <w:proofErr w:type="spellEnd"/>
      <w:r w:rsidRPr="007F5D9F">
        <w:rPr>
          <w:rFonts w:ascii="Arial" w:hAnsi="Arial" w:cs="Arial"/>
          <w:sz w:val="48"/>
          <w:szCs w:val="48"/>
          <w:lang w:val="pt-BR"/>
        </w:rPr>
        <w:t xml:space="preserve"> a </w:t>
      </w:r>
      <w:proofErr w:type="spellStart"/>
      <w:r w:rsidRPr="007F5D9F">
        <w:rPr>
          <w:rFonts w:ascii="Arial" w:hAnsi="Arial" w:cs="Arial"/>
          <w:sz w:val="48"/>
          <w:szCs w:val="48"/>
          <w:lang w:val="pt-BR"/>
        </w:rPr>
        <w:t>hydrometallurgical</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route</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using</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weak</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acid</w:t>
      </w:r>
      <w:proofErr w:type="spellEnd"/>
      <w:r w:rsidRPr="007F5D9F">
        <w:rPr>
          <w:rFonts w:ascii="Arial" w:hAnsi="Arial" w:cs="Arial"/>
          <w:sz w:val="48"/>
          <w:szCs w:val="48"/>
          <w:lang w:val="pt-BR"/>
        </w:rPr>
        <w:t xml:space="preserve"> for </w:t>
      </w:r>
      <w:proofErr w:type="spellStart"/>
      <w:r w:rsidRPr="007F5D9F">
        <w:rPr>
          <w:rFonts w:ascii="Arial" w:hAnsi="Arial" w:cs="Arial"/>
          <w:sz w:val="48"/>
          <w:szCs w:val="48"/>
          <w:lang w:val="pt-BR"/>
        </w:rPr>
        <w:t>recycling</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of</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REEs</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from</w:t>
      </w:r>
      <w:proofErr w:type="spellEnd"/>
      <w:r w:rsidRPr="007F5D9F">
        <w:rPr>
          <w:rFonts w:ascii="Arial" w:hAnsi="Arial" w:cs="Arial"/>
          <w:sz w:val="48"/>
          <w:szCs w:val="48"/>
          <w:lang w:val="pt-BR"/>
        </w:rPr>
        <w:t xml:space="preserve"> EOL </w:t>
      </w:r>
      <w:proofErr w:type="spellStart"/>
      <w:r w:rsidRPr="007F5D9F">
        <w:rPr>
          <w:rFonts w:ascii="Arial" w:hAnsi="Arial" w:cs="Arial"/>
          <w:sz w:val="48"/>
          <w:szCs w:val="48"/>
          <w:lang w:val="pt-BR"/>
        </w:rPr>
        <w:t>HDD’</w:t>
      </w:r>
      <w:r w:rsidR="00FD198B" w:rsidRPr="007F5D9F">
        <w:rPr>
          <w:rFonts w:ascii="Arial" w:hAnsi="Arial" w:cs="Arial"/>
          <w:sz w:val="48"/>
          <w:szCs w:val="48"/>
          <w:lang w:val="pt-BR"/>
        </w:rPr>
        <w:t>s</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NdFeB</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permanent</w:t>
      </w:r>
      <w:proofErr w:type="spellEnd"/>
      <w:r w:rsidRPr="007F5D9F">
        <w:rPr>
          <w:rFonts w:ascii="Arial" w:hAnsi="Arial" w:cs="Arial"/>
          <w:sz w:val="48"/>
          <w:szCs w:val="48"/>
          <w:lang w:val="pt-BR"/>
        </w:rPr>
        <w:t xml:space="preserve"> </w:t>
      </w:r>
      <w:proofErr w:type="spellStart"/>
      <w:r w:rsidRPr="007F5D9F">
        <w:rPr>
          <w:rFonts w:ascii="Arial" w:hAnsi="Arial" w:cs="Arial"/>
          <w:sz w:val="48"/>
          <w:szCs w:val="48"/>
          <w:lang w:val="pt-BR"/>
        </w:rPr>
        <w:t>magnet</w:t>
      </w:r>
      <w:proofErr w:type="spellEnd"/>
    </w:p>
    <w:p w14:paraId="0152100C" w14:textId="443E5A40" w:rsidR="00E5312B" w:rsidRPr="007F5D9F" w:rsidRDefault="00E5312B" w:rsidP="00B12E71">
      <w:pPr>
        <w:rPr>
          <w:lang w:val="pt-BR"/>
        </w:rPr>
      </w:pPr>
    </w:p>
    <w:p w14:paraId="27192471" w14:textId="0A97C42B" w:rsidR="00E5312B" w:rsidRPr="007F5D9F" w:rsidRDefault="00E5312B" w:rsidP="00B12E71">
      <w:pPr>
        <w:rPr>
          <w:lang w:val="pt-BR"/>
        </w:rPr>
      </w:pPr>
    </w:p>
    <w:p w14:paraId="7B4D532D" w14:textId="607CCFF8" w:rsidR="00E5312B" w:rsidRPr="007F5D9F" w:rsidRDefault="00E5312B" w:rsidP="00B12E71">
      <w:pPr>
        <w:rPr>
          <w:lang w:val="pt-BR"/>
        </w:rPr>
      </w:pPr>
    </w:p>
    <w:p w14:paraId="2F434937" w14:textId="435CA0F1" w:rsidR="00E5312B" w:rsidRPr="007F5D9F" w:rsidRDefault="00E5312B" w:rsidP="00B12E71">
      <w:pPr>
        <w:rPr>
          <w:lang w:val="pt-BR"/>
        </w:rPr>
      </w:pPr>
    </w:p>
    <w:p w14:paraId="173FFA72" w14:textId="77777777" w:rsidR="00B2062C" w:rsidRPr="007F5D9F" w:rsidRDefault="00B2062C" w:rsidP="00B12E71">
      <w:pPr>
        <w:rPr>
          <w:lang w:val="pt-BR"/>
        </w:rPr>
      </w:pPr>
    </w:p>
    <w:p w14:paraId="4FFB96DA" w14:textId="1A154B39" w:rsidR="00E5312B" w:rsidRPr="0003012C" w:rsidRDefault="00E5312B" w:rsidP="00B12E71">
      <w:pPr>
        <w:rPr>
          <w:rFonts w:ascii="Arial" w:hAnsi="Arial" w:cs="Arial"/>
          <w:sz w:val="32"/>
          <w:szCs w:val="32"/>
          <w:lang w:val="en-US"/>
        </w:rPr>
      </w:pPr>
      <w:r w:rsidRPr="0003012C">
        <w:rPr>
          <w:rFonts w:ascii="Arial" w:hAnsi="Arial" w:cs="Arial"/>
          <w:sz w:val="32"/>
          <w:szCs w:val="32"/>
          <w:lang w:val="en-US"/>
        </w:rPr>
        <w:t>Master’s thesis</w:t>
      </w:r>
      <w:r w:rsidR="006C51D8">
        <w:rPr>
          <w:rFonts w:ascii="Arial" w:hAnsi="Arial" w:cs="Arial"/>
          <w:sz w:val="32"/>
          <w:szCs w:val="32"/>
          <w:lang w:val="en-US"/>
        </w:rPr>
        <w:t xml:space="preserve"> in Circular Economy</w:t>
      </w:r>
    </w:p>
    <w:p w14:paraId="78CB8924" w14:textId="33591693" w:rsidR="00E5312B" w:rsidRDefault="00E5312B" w:rsidP="00B12E71">
      <w:pPr>
        <w:rPr>
          <w:lang w:val="en-US"/>
        </w:rPr>
      </w:pPr>
    </w:p>
    <w:p w14:paraId="7BC3DFD6" w14:textId="38AD5656" w:rsidR="00E5312B" w:rsidRPr="0003012C" w:rsidRDefault="00E5312B" w:rsidP="00B12E71">
      <w:pPr>
        <w:rPr>
          <w:rFonts w:ascii="Arial" w:hAnsi="Arial" w:cs="Arial"/>
          <w:lang w:val="en-US"/>
        </w:rPr>
      </w:pPr>
      <w:r w:rsidRPr="0003012C">
        <w:rPr>
          <w:rFonts w:ascii="Arial" w:hAnsi="Arial" w:cs="Arial"/>
          <w:lang w:val="en-US"/>
        </w:rPr>
        <w:t>Leiden, July 2021</w:t>
      </w:r>
    </w:p>
    <w:p w14:paraId="6CD5EAAB" w14:textId="6598A29F" w:rsidR="00E5312B" w:rsidRPr="0003012C" w:rsidRDefault="00E5312B" w:rsidP="00B12E71">
      <w:pPr>
        <w:rPr>
          <w:rFonts w:ascii="Arial" w:hAnsi="Arial" w:cs="Arial"/>
          <w:lang w:val="en-US"/>
        </w:rPr>
      </w:pPr>
    </w:p>
    <w:p w14:paraId="2BA39B62" w14:textId="2260B1F0" w:rsidR="00E5312B" w:rsidRPr="0003012C" w:rsidRDefault="00E5312B" w:rsidP="00B12E71">
      <w:pPr>
        <w:rPr>
          <w:rFonts w:ascii="Arial" w:hAnsi="Arial" w:cs="Arial"/>
          <w:lang w:val="en-US"/>
        </w:rPr>
      </w:pPr>
      <w:r w:rsidRPr="0003012C">
        <w:rPr>
          <w:rFonts w:ascii="Arial" w:hAnsi="Arial" w:cs="Arial"/>
          <w:lang w:val="en-US"/>
        </w:rPr>
        <w:t>Supervisor</w:t>
      </w:r>
      <w:r w:rsidR="0003012C">
        <w:rPr>
          <w:rFonts w:ascii="Arial" w:hAnsi="Arial" w:cs="Arial"/>
          <w:lang w:val="en-US"/>
        </w:rPr>
        <w:t>s</w:t>
      </w:r>
      <w:r w:rsidRPr="0003012C">
        <w:rPr>
          <w:rFonts w:ascii="Arial" w:hAnsi="Arial" w:cs="Arial"/>
          <w:lang w:val="en-US"/>
        </w:rPr>
        <w:t xml:space="preserve">: Benjamin Sprecher and </w:t>
      </w:r>
      <w:proofErr w:type="spellStart"/>
      <w:r w:rsidRPr="0003012C">
        <w:rPr>
          <w:rFonts w:ascii="Arial" w:hAnsi="Arial" w:cs="Arial"/>
          <w:lang w:val="en-US"/>
        </w:rPr>
        <w:t>Shoshan</w:t>
      </w:r>
      <w:proofErr w:type="spellEnd"/>
      <w:r w:rsidRPr="0003012C">
        <w:rPr>
          <w:rFonts w:ascii="Arial" w:hAnsi="Arial" w:cs="Arial"/>
          <w:lang w:val="en-US"/>
        </w:rPr>
        <w:t xml:space="preserve"> </w:t>
      </w:r>
      <w:proofErr w:type="spellStart"/>
      <w:r w:rsidRPr="0003012C">
        <w:rPr>
          <w:rFonts w:ascii="Arial" w:hAnsi="Arial" w:cs="Arial"/>
          <w:lang w:val="en-US"/>
        </w:rPr>
        <w:t>Abrahami</w:t>
      </w:r>
      <w:proofErr w:type="spellEnd"/>
    </w:p>
    <w:p w14:paraId="6E69336A" w14:textId="54E649CA" w:rsidR="00E5312B" w:rsidRDefault="00E5312B" w:rsidP="00B12E71">
      <w:pPr>
        <w:rPr>
          <w:lang w:val="en-US"/>
        </w:rPr>
      </w:pPr>
    </w:p>
    <w:p w14:paraId="21A9B3F5" w14:textId="06699539" w:rsidR="00E5312B" w:rsidRDefault="00E5312B" w:rsidP="00B12E71">
      <w:pPr>
        <w:rPr>
          <w:lang w:val="en-US"/>
        </w:rPr>
      </w:pPr>
    </w:p>
    <w:p w14:paraId="4876FBB9" w14:textId="17A3BC21" w:rsidR="00E5312B" w:rsidRDefault="00E5312B" w:rsidP="00B12E71">
      <w:pPr>
        <w:rPr>
          <w:lang w:val="en-US"/>
        </w:rPr>
      </w:pPr>
    </w:p>
    <w:p w14:paraId="7F75023F" w14:textId="02533AAC" w:rsidR="00E5312B" w:rsidRPr="0003012C" w:rsidRDefault="00E5312B" w:rsidP="00B12E71">
      <w:pPr>
        <w:rPr>
          <w:rFonts w:ascii="Arial" w:hAnsi="Arial" w:cs="Arial"/>
          <w:lang w:val="en-US"/>
        </w:rPr>
      </w:pPr>
      <w:r w:rsidRPr="0003012C">
        <w:rPr>
          <w:rFonts w:ascii="Arial" w:hAnsi="Arial" w:cs="Arial"/>
          <w:lang w:val="en-US"/>
        </w:rPr>
        <w:t>Leiden University</w:t>
      </w:r>
    </w:p>
    <w:p w14:paraId="4DFE9134" w14:textId="59D926A7" w:rsidR="00E5312B" w:rsidRPr="0003012C" w:rsidRDefault="00E5312B" w:rsidP="00B12E71">
      <w:pPr>
        <w:rPr>
          <w:rFonts w:ascii="Arial" w:hAnsi="Arial" w:cs="Arial"/>
          <w:lang w:val="en-US"/>
        </w:rPr>
      </w:pPr>
      <w:r w:rsidRPr="0003012C">
        <w:rPr>
          <w:rFonts w:ascii="Arial" w:hAnsi="Arial" w:cs="Arial"/>
          <w:lang w:val="en-US"/>
        </w:rPr>
        <w:t>Delft</w:t>
      </w:r>
      <w:r w:rsidR="00276369">
        <w:rPr>
          <w:rFonts w:ascii="Arial" w:hAnsi="Arial" w:cs="Arial"/>
          <w:lang w:val="en-US"/>
        </w:rPr>
        <w:t xml:space="preserve"> </w:t>
      </w:r>
      <w:r w:rsidRPr="0003012C">
        <w:rPr>
          <w:rFonts w:ascii="Arial" w:hAnsi="Arial" w:cs="Arial"/>
          <w:lang w:val="en-US"/>
        </w:rPr>
        <w:t>University</w:t>
      </w:r>
      <w:r w:rsidR="00276369">
        <w:rPr>
          <w:rFonts w:ascii="Arial" w:hAnsi="Arial" w:cs="Arial"/>
          <w:lang w:val="en-US"/>
        </w:rPr>
        <w:t xml:space="preserve"> of Technology</w:t>
      </w:r>
    </w:p>
    <w:p w14:paraId="7CBE4A44" w14:textId="77777777" w:rsidR="00E5312B" w:rsidRPr="0003012C" w:rsidRDefault="00E5312B" w:rsidP="00B12E71">
      <w:pPr>
        <w:rPr>
          <w:rFonts w:ascii="Arial" w:hAnsi="Arial" w:cs="Arial"/>
          <w:lang w:val="en-US"/>
        </w:rPr>
      </w:pPr>
      <w:r w:rsidRPr="0003012C">
        <w:rPr>
          <w:rFonts w:ascii="Arial" w:hAnsi="Arial" w:cs="Arial"/>
          <w:lang w:val="en-US"/>
        </w:rPr>
        <w:t>Faculty of Science</w:t>
      </w:r>
    </w:p>
    <w:p w14:paraId="19DF6992" w14:textId="13DB9B22" w:rsidR="00E5312B" w:rsidRPr="0003012C" w:rsidRDefault="00E5312B" w:rsidP="00B12E71">
      <w:pPr>
        <w:rPr>
          <w:rFonts w:ascii="Arial" w:hAnsi="Arial" w:cs="Arial"/>
          <w:lang w:val="en-US"/>
        </w:rPr>
      </w:pPr>
      <w:r w:rsidRPr="0003012C">
        <w:rPr>
          <w:rFonts w:ascii="Arial" w:hAnsi="Arial" w:cs="Arial"/>
          <w:lang w:val="en-US"/>
        </w:rPr>
        <w:t>Institute of Environmental Sciences at Leiden University</w:t>
      </w:r>
      <w:r w:rsidR="0074752D" w:rsidRPr="0003012C">
        <w:rPr>
          <w:rFonts w:ascii="Arial" w:hAnsi="Arial" w:cs="Arial"/>
          <w:lang w:val="en-US"/>
        </w:rPr>
        <w:t xml:space="preserve"> (CML)</w:t>
      </w:r>
    </w:p>
    <w:p w14:paraId="7E8FD3E8" w14:textId="6ADB11FC" w:rsidR="00E5312B" w:rsidRPr="0003012C" w:rsidRDefault="00E5312B" w:rsidP="00B12E71">
      <w:pPr>
        <w:rPr>
          <w:rFonts w:ascii="Arial" w:hAnsi="Arial" w:cs="Arial"/>
          <w:lang w:val="en-US"/>
        </w:rPr>
      </w:pPr>
      <w:r w:rsidRPr="0003012C">
        <w:rPr>
          <w:rFonts w:ascii="Arial" w:hAnsi="Arial" w:cs="Arial"/>
          <w:lang w:val="en-US"/>
        </w:rPr>
        <w:t>Department of Industrial Ecology</w:t>
      </w:r>
    </w:p>
    <w:p w14:paraId="714DD7F2" w14:textId="5262523A" w:rsidR="0074752D" w:rsidRDefault="0074752D" w:rsidP="00B12E71">
      <w:pPr>
        <w:rPr>
          <w:lang w:val="en-US"/>
        </w:rPr>
      </w:pPr>
    </w:p>
    <w:p w14:paraId="20F969E4" w14:textId="77777777" w:rsidR="0074752D" w:rsidRDefault="0074752D" w:rsidP="00B12E71">
      <w:pPr>
        <w:rPr>
          <w:lang w:val="en-US"/>
        </w:rPr>
      </w:pPr>
    </w:p>
    <w:p w14:paraId="6FC1CDEB" w14:textId="1B601C1C" w:rsidR="00E5312B" w:rsidRDefault="00E5312B" w:rsidP="00B12E71">
      <w:pPr>
        <w:rPr>
          <w:lang w:val="en-US"/>
        </w:rPr>
      </w:pPr>
    </w:p>
    <w:p w14:paraId="385BEF22" w14:textId="41E2F6F7" w:rsidR="00AA4293" w:rsidRPr="007F5D9F" w:rsidRDefault="0074752D" w:rsidP="003B2933">
      <w:pPr>
        <w:rPr>
          <w:lang w:val="en-US"/>
        </w:rPr>
        <w:sectPr w:rsidR="00AA4293" w:rsidRPr="007F5D9F" w:rsidSect="00E323F8">
          <w:footerReference w:type="even" r:id="rId8"/>
          <w:footerReference w:type="default" r:id="rId9"/>
          <w:pgSz w:w="11906" w:h="16838"/>
          <w:pgMar w:top="1418" w:right="1418" w:bottom="1418" w:left="1418" w:header="709" w:footer="709" w:gutter="0"/>
          <w:cols w:space="708"/>
          <w:docGrid w:linePitch="360"/>
        </w:sectPr>
      </w:pPr>
      <w:r>
        <w:rPr>
          <w:noProof/>
          <w:lang w:val="en-US"/>
        </w:rPr>
        <w:drawing>
          <wp:inline distT="0" distB="0" distL="0" distR="0" wp14:anchorId="60E8CE3F" wp14:editId="58FB7B86">
            <wp:extent cx="1281430" cy="711908"/>
            <wp:effectExtent l="0" t="0" r="127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9021" cy="793903"/>
                    </a:xfrm>
                    <a:prstGeom prst="rect">
                      <a:avLst/>
                    </a:prstGeom>
                  </pic:spPr>
                </pic:pic>
              </a:graphicData>
            </a:graphic>
          </wp:inline>
        </w:drawing>
      </w:r>
      <w:r w:rsidR="00B2062C">
        <w:rPr>
          <w:lang w:val="en-US"/>
        </w:rPr>
        <w:t xml:space="preserve">    </w:t>
      </w:r>
      <w:r w:rsidR="003B2933" w:rsidRPr="003B2933">
        <w:rPr>
          <w:noProof/>
        </w:rPr>
        <w:drawing>
          <wp:inline distT="0" distB="0" distL="0" distR="0" wp14:anchorId="7CF46A0E" wp14:editId="6A2BE67C">
            <wp:extent cx="1008404" cy="701850"/>
            <wp:effectExtent l="0" t="0" r="0" b="0"/>
            <wp:docPr id="29" name="Picture 5">
              <a:extLst xmlns:a="http://schemas.openxmlformats.org/drawingml/2006/main">
                <a:ext uri="{FF2B5EF4-FFF2-40B4-BE49-F238E27FC236}">
                  <a16:creationId xmlns:a16="http://schemas.microsoft.com/office/drawing/2014/main" id="{774BB98F-8D65-8646-B0D8-1851CE6E7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74BB98F-8D65-8646-B0D8-1851CE6E79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40869" cy="724446"/>
                    </a:xfrm>
                    <a:prstGeom prst="rect">
                      <a:avLst/>
                    </a:prstGeom>
                  </pic:spPr>
                </pic:pic>
              </a:graphicData>
            </a:graphic>
          </wp:inline>
        </w:drawing>
      </w:r>
    </w:p>
    <w:p w14:paraId="19A5BDF2" w14:textId="699FF3E1" w:rsidR="00A00D9F" w:rsidRPr="007F5D9F" w:rsidRDefault="00A00D9F" w:rsidP="00F52B3F">
      <w:pPr>
        <w:spacing w:before="0" w:after="0" w:line="240" w:lineRule="auto"/>
        <w:contextualSpacing w:val="0"/>
        <w:jc w:val="left"/>
        <w:rPr>
          <w:lang w:val="en-US"/>
        </w:rPr>
        <w:sectPr w:rsidR="00A00D9F" w:rsidRPr="007F5D9F" w:rsidSect="00E323F8">
          <w:pgSz w:w="11906" w:h="16838"/>
          <w:pgMar w:top="1418" w:right="1418" w:bottom="1418" w:left="1418" w:header="709" w:footer="709" w:gutter="0"/>
          <w:cols w:space="708"/>
          <w:docGrid w:linePitch="360"/>
        </w:sectPr>
      </w:pPr>
    </w:p>
    <w:p w14:paraId="5A174E07" w14:textId="4A1B7008" w:rsidR="00F52B3F" w:rsidRPr="007F5D9F" w:rsidRDefault="00F52B3F" w:rsidP="00F52B3F">
      <w:pPr>
        <w:spacing w:before="0" w:after="0" w:line="240" w:lineRule="auto"/>
        <w:contextualSpacing w:val="0"/>
        <w:jc w:val="left"/>
        <w:rPr>
          <w:lang w:val="en-US"/>
        </w:rPr>
      </w:pPr>
      <w:r w:rsidRPr="007F5D9F">
        <w:rPr>
          <w:rFonts w:ascii="Arial" w:hAnsi="Arial" w:cs="Arial"/>
          <w:b/>
          <w:bCs/>
          <w:lang w:val="en-US"/>
        </w:rPr>
        <w:lastRenderedPageBreak/>
        <w:t>Abstract</w:t>
      </w:r>
    </w:p>
    <w:p w14:paraId="4B195243" w14:textId="77777777" w:rsidR="00F52B3F" w:rsidRPr="007F5D9F" w:rsidRDefault="00F52B3F" w:rsidP="00F52B3F">
      <w:pPr>
        <w:rPr>
          <w:lang w:val="en-US"/>
        </w:rPr>
      </w:pPr>
    </w:p>
    <w:p w14:paraId="2575A783" w14:textId="5DC2497D" w:rsidR="00F52B3F" w:rsidRDefault="00F52B3F" w:rsidP="00F52B3F">
      <w:pPr>
        <w:rPr>
          <w:lang w:val="en-US"/>
        </w:rPr>
      </w:pPr>
      <w:r w:rsidRPr="00A4301D">
        <w:rPr>
          <w:lang w:val="en-US"/>
        </w:rPr>
        <w:t>The rare-earth elements</w:t>
      </w:r>
      <w:r>
        <w:rPr>
          <w:lang w:val="en-US"/>
        </w:rPr>
        <w:t xml:space="preserve"> (REEs) </w:t>
      </w:r>
      <w:r w:rsidRPr="00A4301D">
        <w:rPr>
          <w:lang w:val="en-US"/>
        </w:rPr>
        <w:t xml:space="preserve">are Europe’s most critical raw-materials group due to the high supply dependency on the Chinese REEs near-monopoly. The </w:t>
      </w:r>
      <w:proofErr w:type="spellStart"/>
      <w:r w:rsidRPr="00A4301D">
        <w:rPr>
          <w:lang w:val="en-US"/>
        </w:rPr>
        <w:t>NdFeB</w:t>
      </w:r>
      <w:proofErr w:type="spellEnd"/>
      <w:r w:rsidRPr="00A4301D">
        <w:rPr>
          <w:lang w:val="en-US"/>
        </w:rPr>
        <w:t xml:space="preserve"> permanent magnet in EOL </w:t>
      </w:r>
      <w:r>
        <w:rPr>
          <w:lang w:val="en-US"/>
        </w:rPr>
        <w:t>hard disk drivers (</w:t>
      </w:r>
      <w:r w:rsidRPr="00A4301D">
        <w:rPr>
          <w:lang w:val="en-US"/>
        </w:rPr>
        <w:t>HDDs</w:t>
      </w:r>
      <w:r>
        <w:rPr>
          <w:lang w:val="en-US"/>
        </w:rPr>
        <w:t>)</w:t>
      </w:r>
      <w:r w:rsidRPr="00A4301D">
        <w:rPr>
          <w:lang w:val="en-US"/>
        </w:rPr>
        <w:t xml:space="preserve"> is a</w:t>
      </w:r>
      <w:r w:rsidR="00135221">
        <w:rPr>
          <w:lang w:val="en-US"/>
        </w:rPr>
        <w:t>n</w:t>
      </w:r>
      <w:r w:rsidRPr="00A4301D">
        <w:rPr>
          <w:lang w:val="en-US"/>
        </w:rPr>
        <w:t xml:space="preserve"> </w:t>
      </w:r>
      <w:r w:rsidR="00135221">
        <w:rPr>
          <w:lang w:val="en-US"/>
        </w:rPr>
        <w:t xml:space="preserve">actual </w:t>
      </w:r>
      <w:r w:rsidRPr="00A4301D">
        <w:rPr>
          <w:lang w:val="en-US"/>
        </w:rPr>
        <w:t xml:space="preserve">source of REEs. However, REEs recycling routes are still under development. Hydrometallurgical routes are attractive because they are versatile, but concerns arise regarding their chemical consumption and the implication to the environment. </w:t>
      </w:r>
      <w:r w:rsidRPr="00EF1BCD">
        <w:rPr>
          <w:lang w:val="en-US"/>
        </w:rPr>
        <w:t>An ex-ante environmental analysis supports the launch and consolidation of the route in an environmentally sound manner</w:t>
      </w:r>
      <w:r w:rsidR="00BC2EF0">
        <w:rPr>
          <w:lang w:val="en-US"/>
        </w:rPr>
        <w:t xml:space="preserve">. </w:t>
      </w:r>
      <w:r w:rsidRPr="00A4301D">
        <w:rPr>
          <w:lang w:val="en-US"/>
        </w:rPr>
        <w:t>This work aims to identify the environmental hotspots of a theoretical hydrometallurgical recycling route for REEs</w:t>
      </w:r>
      <w:r>
        <w:rPr>
          <w:lang w:val="en-US"/>
        </w:rPr>
        <w:t xml:space="preserve">, which </w:t>
      </w:r>
      <w:r w:rsidRPr="00A4301D">
        <w:rPr>
          <w:lang w:val="en-US"/>
        </w:rPr>
        <w:t>use</w:t>
      </w:r>
      <w:r>
        <w:rPr>
          <w:lang w:val="en-US"/>
        </w:rPr>
        <w:t>s</w:t>
      </w:r>
      <w:r w:rsidRPr="00A4301D">
        <w:rPr>
          <w:lang w:val="en-US"/>
        </w:rPr>
        <w:t xml:space="preserve"> acetic acid for leaching and oxalic acid for precipitation. The route also allows chemical recycling through a loop within it. The </w:t>
      </w:r>
      <w:proofErr w:type="gramStart"/>
      <w:r w:rsidRPr="00A4301D">
        <w:rPr>
          <w:lang w:val="en-US"/>
        </w:rPr>
        <w:t>ultimate goal</w:t>
      </w:r>
      <w:proofErr w:type="gramEnd"/>
      <w:r w:rsidRPr="00A4301D">
        <w:rPr>
          <w:lang w:val="en-US"/>
        </w:rPr>
        <w:t xml:space="preserve"> is to draw recommendations toward improving the environmental profile of the technology before it gets implemented. The evaluation is carried using the Life Cycle Assessment</w:t>
      </w:r>
      <w:r>
        <w:rPr>
          <w:lang w:val="en-US"/>
        </w:rPr>
        <w:t xml:space="preserve"> (LCA)</w:t>
      </w:r>
      <w:r w:rsidRPr="00A4301D">
        <w:rPr>
          <w:lang w:val="en-US"/>
        </w:rPr>
        <w:t xml:space="preserve"> methodology according to a dedicated framework for ex-ante analysis, including upscaling. The analysis highlights as hotspots the oxalic acid in the precipitation stage and the </w:t>
      </w:r>
      <w:r>
        <w:rPr>
          <w:lang w:val="en-US"/>
        </w:rPr>
        <w:t xml:space="preserve">direct dust emissions and its treatment </w:t>
      </w:r>
      <w:r w:rsidRPr="00A4301D">
        <w:rPr>
          <w:lang w:val="en-US"/>
        </w:rPr>
        <w:t xml:space="preserve">in the fragmentation of HDDs. Moreover, results indicate that acetic acid regeneration within the system is more burdensome than </w:t>
      </w:r>
      <w:r>
        <w:rPr>
          <w:lang w:val="en-US"/>
        </w:rPr>
        <w:t>use t</w:t>
      </w:r>
      <w:r w:rsidRPr="00A4301D">
        <w:rPr>
          <w:lang w:val="en-US"/>
        </w:rPr>
        <w:t>he chemical</w:t>
      </w:r>
      <w:r>
        <w:rPr>
          <w:lang w:val="en-US"/>
        </w:rPr>
        <w:t xml:space="preserve"> produced</w:t>
      </w:r>
      <w:r w:rsidRPr="00A4301D">
        <w:rPr>
          <w:lang w:val="en-US"/>
        </w:rPr>
        <w:t xml:space="preserve"> from raw materials. The premature assessment </w:t>
      </w:r>
      <w:r w:rsidR="00BC2EF0">
        <w:rPr>
          <w:lang w:val="en-US"/>
        </w:rPr>
        <w:t xml:space="preserve">also </w:t>
      </w:r>
      <w:r w:rsidRPr="00A4301D">
        <w:rPr>
          <w:lang w:val="en-US"/>
        </w:rPr>
        <w:t>indicates that the</w:t>
      </w:r>
      <w:r w:rsidR="00207401">
        <w:rPr>
          <w:lang w:val="en-US"/>
        </w:rPr>
        <w:t xml:space="preserve"> </w:t>
      </w:r>
      <w:r w:rsidRPr="00A4301D">
        <w:rPr>
          <w:lang w:val="en-US"/>
        </w:rPr>
        <w:t xml:space="preserve">environmental profile of the emerging technology is </w:t>
      </w:r>
      <w:r w:rsidR="00207401">
        <w:rPr>
          <w:lang w:val="en-US"/>
        </w:rPr>
        <w:t xml:space="preserve">potentially </w:t>
      </w:r>
      <w:r w:rsidRPr="00A4301D">
        <w:rPr>
          <w:lang w:val="en-US"/>
        </w:rPr>
        <w:t>inferior to the established primary production. A limitation of the model arises from the</w:t>
      </w:r>
      <w:r>
        <w:rPr>
          <w:lang w:val="en-US"/>
        </w:rPr>
        <w:t xml:space="preserve"> economic allocation for multifunctional processes due to the </w:t>
      </w:r>
      <w:r w:rsidRPr="00A4301D">
        <w:rPr>
          <w:lang w:val="en-US"/>
        </w:rPr>
        <w:t>approach</w:t>
      </w:r>
      <w:r>
        <w:rPr>
          <w:lang w:val="en-US"/>
        </w:rPr>
        <w:t xml:space="preserve"> developed </w:t>
      </w:r>
      <w:r w:rsidRPr="00A4301D">
        <w:rPr>
          <w:lang w:val="en-US"/>
        </w:rPr>
        <w:t>to stipulate the price of some co</w:t>
      </w:r>
      <w:r>
        <w:rPr>
          <w:lang w:val="en-US"/>
        </w:rPr>
        <w:t>-</w:t>
      </w:r>
      <w:r w:rsidRPr="00A4301D">
        <w:rPr>
          <w:lang w:val="en-US"/>
        </w:rPr>
        <w:t xml:space="preserve">products. </w:t>
      </w:r>
      <w:r>
        <w:rPr>
          <w:lang w:val="en-US"/>
        </w:rPr>
        <w:t>Overall, t</w:t>
      </w:r>
      <w:r w:rsidRPr="00A4301D">
        <w:rPr>
          <w:lang w:val="en-US"/>
        </w:rPr>
        <w:t>he uncertainties carried with the ex-ante LCA prevent any assertive declaration regarding the recycling route’s environmental performance. However, the exercise contributes to the problem-solution space. It gives directions to the next steps: better data collection</w:t>
      </w:r>
      <w:r>
        <w:rPr>
          <w:lang w:val="en-US"/>
        </w:rPr>
        <w:t xml:space="preserve"> for </w:t>
      </w:r>
      <w:r w:rsidR="00207401">
        <w:rPr>
          <w:lang w:val="en-US"/>
        </w:rPr>
        <w:t xml:space="preserve">the </w:t>
      </w:r>
      <w:r>
        <w:rPr>
          <w:lang w:val="en-US"/>
        </w:rPr>
        <w:t>RE recovery phase</w:t>
      </w:r>
      <w:r w:rsidRPr="00A4301D">
        <w:rPr>
          <w:lang w:val="en-US"/>
        </w:rPr>
        <w:t>, less dust production in the fragmentation phase, other means for precipitati</w:t>
      </w:r>
      <w:r w:rsidR="00D01984">
        <w:rPr>
          <w:lang w:val="en-US"/>
        </w:rPr>
        <w:t>on</w:t>
      </w:r>
      <w:r w:rsidRPr="00A4301D">
        <w:rPr>
          <w:lang w:val="en-US"/>
        </w:rPr>
        <w:t xml:space="preserve"> </w:t>
      </w:r>
      <w:r w:rsidR="00785D0A">
        <w:rPr>
          <w:lang w:val="en-US"/>
        </w:rPr>
        <w:t xml:space="preserve">of </w:t>
      </w:r>
      <w:r w:rsidRPr="00A4301D">
        <w:rPr>
          <w:lang w:val="en-US"/>
        </w:rPr>
        <w:t>REEs, and variation in the leaching solid-liquid ratio.</w:t>
      </w:r>
    </w:p>
    <w:p w14:paraId="2DA817E5" w14:textId="77777777" w:rsidR="00F52B3F" w:rsidRDefault="00F52B3F" w:rsidP="00F52B3F">
      <w:pPr>
        <w:rPr>
          <w:lang w:val="en-US"/>
        </w:rPr>
      </w:pPr>
    </w:p>
    <w:p w14:paraId="24A974B9" w14:textId="77777777" w:rsidR="00F52B3F" w:rsidRDefault="00F52B3F" w:rsidP="00F52B3F">
      <w:pPr>
        <w:rPr>
          <w:lang w:val="en-US"/>
        </w:rPr>
      </w:pPr>
      <w:r>
        <w:rPr>
          <w:lang w:val="en-US"/>
        </w:rPr>
        <w:t xml:space="preserve">Keywords: </w:t>
      </w:r>
      <w:proofErr w:type="spellStart"/>
      <w:r>
        <w:rPr>
          <w:lang w:val="en-US"/>
        </w:rPr>
        <w:t>NdFeB</w:t>
      </w:r>
      <w:proofErr w:type="spellEnd"/>
      <w:r>
        <w:rPr>
          <w:lang w:val="en-US"/>
        </w:rPr>
        <w:t xml:space="preserve"> permanent magnet, REEs, recycling, hydrometallurgy, weak acid, ex-ante LCA. </w:t>
      </w:r>
    </w:p>
    <w:p w14:paraId="1E310847" w14:textId="13EFB075" w:rsidR="00F52B3F" w:rsidRDefault="00F52B3F">
      <w:pPr>
        <w:spacing w:before="0" w:after="0" w:line="240" w:lineRule="auto"/>
        <w:contextualSpacing w:val="0"/>
        <w:jc w:val="left"/>
        <w:rPr>
          <w:lang w:val="en-US"/>
        </w:rPr>
      </w:pPr>
    </w:p>
    <w:p w14:paraId="50B6DDC9" w14:textId="2609947F" w:rsidR="00F52B3F" w:rsidRDefault="00F52B3F">
      <w:pPr>
        <w:spacing w:before="0" w:after="0" w:line="240" w:lineRule="auto"/>
        <w:contextualSpacing w:val="0"/>
        <w:jc w:val="left"/>
        <w:rPr>
          <w:lang w:val="en-US"/>
        </w:rPr>
      </w:pPr>
    </w:p>
    <w:p w14:paraId="5892A4C7" w14:textId="0CC83B91" w:rsidR="00BC2EF0" w:rsidRDefault="00BC2EF0">
      <w:pPr>
        <w:spacing w:before="0" w:after="0" w:line="240" w:lineRule="auto"/>
        <w:contextualSpacing w:val="0"/>
        <w:jc w:val="left"/>
        <w:rPr>
          <w:lang w:val="en-US"/>
        </w:rPr>
      </w:pPr>
    </w:p>
    <w:p w14:paraId="78A1D1E9" w14:textId="72FEC63C" w:rsidR="00BC2EF0" w:rsidRDefault="00BC2EF0">
      <w:pPr>
        <w:spacing w:before="0" w:after="0" w:line="240" w:lineRule="auto"/>
        <w:contextualSpacing w:val="0"/>
        <w:jc w:val="left"/>
        <w:rPr>
          <w:lang w:val="en-US"/>
        </w:rPr>
      </w:pPr>
    </w:p>
    <w:p w14:paraId="3A993B0F" w14:textId="237B8C09" w:rsidR="00BC2EF0" w:rsidRDefault="00BC2EF0">
      <w:pPr>
        <w:spacing w:before="0" w:after="0" w:line="240" w:lineRule="auto"/>
        <w:contextualSpacing w:val="0"/>
        <w:jc w:val="left"/>
        <w:rPr>
          <w:lang w:val="en-US"/>
        </w:rPr>
      </w:pPr>
      <w:r>
        <w:rPr>
          <w:lang w:val="en-US"/>
        </w:rPr>
        <w:br w:type="page"/>
      </w:r>
    </w:p>
    <w:p w14:paraId="55B80A16" w14:textId="77777777" w:rsidR="00BC2EF0" w:rsidRDefault="00BC2EF0">
      <w:pPr>
        <w:spacing w:before="0" w:after="0" w:line="240" w:lineRule="auto"/>
        <w:contextualSpacing w:val="0"/>
        <w:jc w:val="left"/>
        <w:rPr>
          <w:lang w:val="en-US"/>
        </w:rPr>
      </w:pPr>
    </w:p>
    <w:p w14:paraId="1BBC767D" w14:textId="77777777" w:rsidR="00B12E71" w:rsidRDefault="00B12E71" w:rsidP="00B12E71">
      <w:pPr>
        <w:rPr>
          <w:sz w:val="20"/>
          <w:szCs w:val="20"/>
          <w:lang w:val="en-US"/>
        </w:rPr>
      </w:pPr>
    </w:p>
    <w:p w14:paraId="0B85B1EF" w14:textId="763C7C88" w:rsidR="00B12E71" w:rsidRDefault="00B12E71" w:rsidP="00193420">
      <w:pPr>
        <w:rPr>
          <w:lang w:val="en-US"/>
        </w:rPr>
      </w:pPr>
    </w:p>
    <w:p w14:paraId="7782512D" w14:textId="2F81EDB8" w:rsidR="00DA5F21" w:rsidRDefault="00DA5F21" w:rsidP="00193420">
      <w:pPr>
        <w:rPr>
          <w:lang w:val="en-US"/>
        </w:rPr>
      </w:pPr>
    </w:p>
    <w:p w14:paraId="268976D9" w14:textId="77777777" w:rsidR="00DA5F21" w:rsidRDefault="00DA5F21">
      <w:pPr>
        <w:spacing w:before="0" w:after="0" w:line="240" w:lineRule="auto"/>
        <w:contextualSpacing w:val="0"/>
        <w:jc w:val="left"/>
        <w:rPr>
          <w:lang w:val="en-US"/>
        </w:rPr>
      </w:pPr>
      <w:r>
        <w:rPr>
          <w:lang w:val="en-US"/>
        </w:rPr>
        <w:br w:type="page"/>
      </w:r>
    </w:p>
    <w:p w14:paraId="58618040" w14:textId="0C7034A3" w:rsidR="00DA5F21" w:rsidRDefault="00DA5F21" w:rsidP="00193420">
      <w:pPr>
        <w:rPr>
          <w:rFonts w:ascii="Arial" w:hAnsi="Arial" w:cs="Arial"/>
          <w:b/>
          <w:bCs/>
          <w:lang w:val="en-US"/>
        </w:rPr>
      </w:pPr>
      <w:r w:rsidRPr="00523337">
        <w:rPr>
          <w:rFonts w:ascii="Arial" w:hAnsi="Arial" w:cs="Arial"/>
          <w:b/>
          <w:bCs/>
          <w:lang w:val="en-US"/>
        </w:rPr>
        <w:lastRenderedPageBreak/>
        <w:t>Acknowledgment</w:t>
      </w:r>
    </w:p>
    <w:p w14:paraId="47A000F2" w14:textId="60511DF0" w:rsidR="00C1018C" w:rsidRDefault="00C1018C" w:rsidP="00193420">
      <w:pPr>
        <w:rPr>
          <w:rFonts w:ascii="Arial" w:hAnsi="Arial" w:cs="Arial"/>
          <w:b/>
          <w:bCs/>
          <w:lang w:val="en-US"/>
        </w:rPr>
      </w:pPr>
    </w:p>
    <w:p w14:paraId="29EBB16E" w14:textId="2F10D6E3" w:rsidR="001410A3" w:rsidRPr="001410A3" w:rsidRDefault="001410A3" w:rsidP="001410A3">
      <w:pPr>
        <w:rPr>
          <w:lang w:val="en-US"/>
        </w:rPr>
      </w:pPr>
      <w:r w:rsidRPr="001410A3">
        <w:rPr>
          <w:lang w:val="en-US"/>
        </w:rPr>
        <w:t xml:space="preserve">Arrive at the end of this </w:t>
      </w:r>
      <w:proofErr w:type="gramStart"/>
      <w:r w:rsidRPr="001410A3">
        <w:rPr>
          <w:lang w:val="en-US"/>
        </w:rPr>
        <w:t>Master’s</w:t>
      </w:r>
      <w:proofErr w:type="gramEnd"/>
      <w:r w:rsidR="00E05B9B">
        <w:rPr>
          <w:lang w:val="en-US"/>
        </w:rPr>
        <w:t xml:space="preserve"> degree</w:t>
      </w:r>
      <w:r w:rsidRPr="001410A3">
        <w:rPr>
          <w:lang w:val="en-US"/>
        </w:rPr>
        <w:t xml:space="preserve"> journey was not simple, starting with flights from my small hometown in Northeast Brazil until my first destin</w:t>
      </w:r>
      <w:r w:rsidR="00A80D1A">
        <w:rPr>
          <w:lang w:val="en-US"/>
        </w:rPr>
        <w:t>ation</w:t>
      </w:r>
      <w:r w:rsidRPr="001410A3">
        <w:rPr>
          <w:lang w:val="en-US"/>
        </w:rPr>
        <w:t>, central Norway. Jokes apart, I must acknowledge all involved in this adventure: Heaven, family, friends, and professors. Finally, I close this cycle with a loaded bag: science, knowledge, friendship, strength, self-confidence, gratitude, and... “</w:t>
      </w:r>
      <w:proofErr w:type="gramStart"/>
      <w:r w:rsidRPr="001410A3">
        <w:rPr>
          <w:lang w:val="en-US"/>
        </w:rPr>
        <w:t>wanting</w:t>
      </w:r>
      <w:proofErr w:type="gramEnd"/>
      <w:r w:rsidRPr="001410A3">
        <w:rPr>
          <w:lang w:val="en-US"/>
        </w:rPr>
        <w:t xml:space="preserve"> more.” </w:t>
      </w:r>
    </w:p>
    <w:p w14:paraId="520295FD" w14:textId="77777777" w:rsidR="001410A3" w:rsidRPr="001410A3" w:rsidRDefault="001410A3" w:rsidP="001410A3">
      <w:pPr>
        <w:rPr>
          <w:lang w:val="en-US"/>
        </w:rPr>
      </w:pPr>
    </w:p>
    <w:p w14:paraId="7BFE715E" w14:textId="77777777" w:rsidR="00A80D1A" w:rsidRDefault="001410A3" w:rsidP="001410A3">
      <w:pPr>
        <w:rPr>
          <w:lang w:val="en-US"/>
        </w:rPr>
      </w:pPr>
      <w:r w:rsidRPr="001410A3">
        <w:rPr>
          <w:lang w:val="en-US"/>
        </w:rPr>
        <w:t xml:space="preserve">I want to thank my heavenly Father and Mother for bringing me up here. During the easy and hard times, they are there, lighting the way. All honor and glory to them, always! </w:t>
      </w:r>
    </w:p>
    <w:p w14:paraId="7B2713EC" w14:textId="77777777" w:rsidR="00A80D1A" w:rsidRDefault="001410A3" w:rsidP="001410A3">
      <w:pPr>
        <w:rPr>
          <w:lang w:val="en-US"/>
        </w:rPr>
      </w:pPr>
      <w:r w:rsidRPr="001410A3">
        <w:rPr>
          <w:lang w:val="en-US"/>
        </w:rPr>
        <w:t xml:space="preserve">Thank you to my parents and brother for all your love and support. My family is my gold mine. I love you! </w:t>
      </w:r>
    </w:p>
    <w:p w14:paraId="62706F7C" w14:textId="77777777" w:rsidR="00A80D1A" w:rsidRDefault="001410A3" w:rsidP="001410A3">
      <w:pPr>
        <w:rPr>
          <w:lang w:val="en-US"/>
        </w:rPr>
      </w:pPr>
      <w:r w:rsidRPr="001410A3">
        <w:rPr>
          <w:lang w:val="en-US"/>
        </w:rPr>
        <w:t xml:space="preserve">Thank you to my Brazilian professors, Monica </w:t>
      </w:r>
      <w:proofErr w:type="gramStart"/>
      <w:r w:rsidRPr="001410A3">
        <w:rPr>
          <w:lang w:val="en-US"/>
        </w:rPr>
        <w:t>Carvalho</w:t>
      </w:r>
      <w:proofErr w:type="gramEnd"/>
      <w:r w:rsidRPr="001410A3">
        <w:rPr>
          <w:lang w:val="en-US"/>
        </w:rPr>
        <w:t xml:space="preserve"> and José Mauricio </w:t>
      </w:r>
      <w:proofErr w:type="spellStart"/>
      <w:r w:rsidRPr="001410A3">
        <w:rPr>
          <w:lang w:val="en-US"/>
        </w:rPr>
        <w:t>Gurgel</w:t>
      </w:r>
      <w:proofErr w:type="spellEnd"/>
      <w:r w:rsidRPr="001410A3">
        <w:rPr>
          <w:lang w:val="en-US"/>
        </w:rPr>
        <w:t xml:space="preserve">, for being part of this endeavor. </w:t>
      </w:r>
    </w:p>
    <w:p w14:paraId="3D251344" w14:textId="77777777" w:rsidR="00A80D1A" w:rsidRDefault="001410A3" w:rsidP="001410A3">
      <w:pPr>
        <w:rPr>
          <w:lang w:val="en-US"/>
        </w:rPr>
      </w:pPr>
      <w:r w:rsidRPr="001410A3">
        <w:rPr>
          <w:lang w:val="en-US"/>
        </w:rPr>
        <w:t xml:space="preserve">Thank you to my hometown friends for prayers and good wishes. A particular thanks to the friends I made in Trondheim, especially those from St. Olav Cathedral and Father Paul </w:t>
      </w:r>
      <w:proofErr w:type="spellStart"/>
      <w:r w:rsidRPr="001410A3">
        <w:rPr>
          <w:lang w:val="en-US"/>
        </w:rPr>
        <w:t>Opata</w:t>
      </w:r>
      <w:proofErr w:type="spellEnd"/>
      <w:r w:rsidRPr="001410A3">
        <w:rPr>
          <w:lang w:val="en-US"/>
        </w:rPr>
        <w:t xml:space="preserve"> that always made the church our home away from home. This was priceless! </w:t>
      </w:r>
    </w:p>
    <w:p w14:paraId="4840DA42" w14:textId="29A64CFF" w:rsidR="001410A3" w:rsidRPr="001410A3" w:rsidRDefault="001410A3" w:rsidP="001410A3">
      <w:pPr>
        <w:rPr>
          <w:lang w:val="en-US"/>
        </w:rPr>
      </w:pPr>
      <w:r w:rsidRPr="001410A3">
        <w:rPr>
          <w:lang w:val="en-US"/>
        </w:rPr>
        <w:t xml:space="preserve">Gratitude to the CIRCLE people, especially to the friends </w:t>
      </w:r>
      <w:proofErr w:type="spellStart"/>
      <w:r w:rsidRPr="001410A3">
        <w:rPr>
          <w:lang w:val="en-US"/>
        </w:rPr>
        <w:t>Desireé</w:t>
      </w:r>
      <w:proofErr w:type="spellEnd"/>
      <w:r w:rsidRPr="001410A3">
        <w:rPr>
          <w:lang w:val="en-US"/>
        </w:rPr>
        <w:t xml:space="preserve"> and Jared. The warm reception and delicious food in the freezing Norwegian weather will never be forgotten! While in the Dutch land, my big thanks go to the CML Ph.D. candidate Brenda </w:t>
      </w:r>
      <w:proofErr w:type="spellStart"/>
      <w:r w:rsidRPr="001410A3">
        <w:rPr>
          <w:lang w:val="en-US"/>
        </w:rPr>
        <w:t>Xicotencatl</w:t>
      </w:r>
      <w:proofErr w:type="spellEnd"/>
      <w:r w:rsidRPr="001410A3">
        <w:rPr>
          <w:lang w:val="en-US"/>
        </w:rPr>
        <w:t xml:space="preserve">. The great discussions and support throughout the thesis project brought me here. I </w:t>
      </w:r>
      <w:r w:rsidR="008C60CA">
        <w:rPr>
          <w:lang w:val="en-US"/>
        </w:rPr>
        <w:t>appreciat</w:t>
      </w:r>
      <w:r w:rsidR="008A461A">
        <w:rPr>
          <w:lang w:val="en-US"/>
        </w:rPr>
        <w:t>ed</w:t>
      </w:r>
      <w:r w:rsidRPr="001410A3">
        <w:rPr>
          <w:lang w:val="en-US"/>
        </w:rPr>
        <w:t xml:space="preserve"> all knowledge shared</w:t>
      </w:r>
      <w:r w:rsidR="008A461A">
        <w:rPr>
          <w:lang w:val="en-US"/>
        </w:rPr>
        <w:t>!</w:t>
      </w:r>
      <w:r w:rsidRPr="001410A3">
        <w:rPr>
          <w:lang w:val="en-US"/>
        </w:rPr>
        <w:t xml:space="preserve"> </w:t>
      </w:r>
    </w:p>
    <w:p w14:paraId="7B01FD86" w14:textId="77777777" w:rsidR="001410A3" w:rsidRPr="001410A3" w:rsidRDefault="001410A3" w:rsidP="001410A3">
      <w:pPr>
        <w:rPr>
          <w:lang w:val="en-US"/>
        </w:rPr>
      </w:pPr>
    </w:p>
    <w:p w14:paraId="6431AC39" w14:textId="2ADA89F1" w:rsidR="007E4CBF" w:rsidRDefault="001410A3" w:rsidP="001410A3">
      <w:pPr>
        <w:rPr>
          <w:rFonts w:ascii="Arial" w:hAnsi="Arial" w:cs="Arial"/>
          <w:b/>
          <w:bCs/>
          <w:sz w:val="28"/>
          <w:szCs w:val="28"/>
          <w:lang w:val="en-US"/>
        </w:rPr>
      </w:pPr>
      <w:r w:rsidRPr="001410A3">
        <w:rPr>
          <w:lang w:val="en-US"/>
        </w:rPr>
        <w:t>I should like to leave with the words of 2 Timothy 4:7-8</w:t>
      </w:r>
      <w:r>
        <w:rPr>
          <w:lang w:val="en-US"/>
        </w:rPr>
        <w:t xml:space="preserve"> </w:t>
      </w:r>
      <w:r w:rsidRPr="001410A3">
        <w:rPr>
          <w:lang w:val="en-US"/>
        </w:rPr>
        <w:t>“I have fought the good fight, I have finished the race, I have kept the faith. Now there is in store for me the crown of righteousness, which the Lord, the righteous Judge, will award to me on that day—and not only to me, but also to all who have longed for his appearing.”</w:t>
      </w:r>
      <w:r w:rsidR="001C714E">
        <w:rPr>
          <w:lang w:val="en-US"/>
        </w:rPr>
        <w:t xml:space="preserve"> </w:t>
      </w:r>
      <w:r w:rsidR="001C714E" w:rsidRPr="001C714E">
        <w:rPr>
          <w:lang w:val="en-US"/>
        </w:rPr>
        <w:t>I am looking forward to what is to come, and I am enthusiastic about applying the knowledge gathered and experience to make our society a better place to live. Here I go</w:t>
      </w:r>
      <w:r w:rsidRPr="001410A3">
        <w:rPr>
          <w:lang w:val="en-US"/>
        </w:rPr>
        <w:t>!</w:t>
      </w:r>
    </w:p>
    <w:p w14:paraId="4DDA1D11" w14:textId="74A0B56A" w:rsidR="007E4CBF" w:rsidRDefault="007E4CBF" w:rsidP="00193420">
      <w:pPr>
        <w:rPr>
          <w:rFonts w:ascii="Arial" w:hAnsi="Arial" w:cs="Arial"/>
          <w:b/>
          <w:bCs/>
          <w:sz w:val="28"/>
          <w:szCs w:val="28"/>
          <w:lang w:val="en-US"/>
        </w:rPr>
      </w:pPr>
    </w:p>
    <w:p w14:paraId="06B1F8C1" w14:textId="790D5D30" w:rsidR="007E4CBF" w:rsidRPr="00AA4293" w:rsidRDefault="007E4CBF" w:rsidP="00AA4293">
      <w:pPr>
        <w:spacing w:before="0" w:after="0" w:line="240" w:lineRule="auto"/>
        <w:contextualSpacing w:val="0"/>
        <w:jc w:val="left"/>
        <w:rPr>
          <w:rFonts w:ascii="Arial" w:hAnsi="Arial" w:cs="Arial"/>
          <w:b/>
          <w:bCs/>
          <w:sz w:val="28"/>
          <w:szCs w:val="28"/>
          <w:lang w:val="en-US"/>
        </w:rPr>
      </w:pPr>
      <w:r>
        <w:rPr>
          <w:rFonts w:ascii="Arial" w:hAnsi="Arial" w:cs="Arial"/>
          <w:b/>
          <w:bCs/>
          <w:sz w:val="28"/>
          <w:szCs w:val="28"/>
          <w:lang w:val="en-US"/>
        </w:rPr>
        <w:br w:type="page"/>
      </w:r>
    </w:p>
    <w:p w14:paraId="365D7190" w14:textId="77777777" w:rsidR="00B12E71" w:rsidRDefault="00B12E71">
      <w:pPr>
        <w:spacing w:before="0" w:after="0" w:line="240" w:lineRule="auto"/>
        <w:contextualSpacing w:val="0"/>
        <w:jc w:val="left"/>
        <w:rPr>
          <w:rFonts w:asciiTheme="minorHAnsi" w:hAnsiTheme="minorHAnsi"/>
          <w:sz w:val="20"/>
          <w:szCs w:val="20"/>
          <w:lang w:val="en-US"/>
        </w:rPr>
      </w:pPr>
      <w:r>
        <w:rPr>
          <w:rFonts w:asciiTheme="minorHAnsi" w:hAnsiTheme="minorHAnsi"/>
          <w:b/>
          <w:bCs/>
          <w:lang w:val="en-US"/>
        </w:rPr>
        <w:lastRenderedPageBreak/>
        <w:br w:type="page"/>
      </w:r>
    </w:p>
    <w:p w14:paraId="1DF3E633" w14:textId="0CAC071A" w:rsidR="00F31D03" w:rsidRDefault="00F31D03" w:rsidP="00163215">
      <w:pPr>
        <w:pStyle w:val="TOC1"/>
        <w:tabs>
          <w:tab w:val="right" w:leader="dot" w:pos="9060"/>
        </w:tabs>
        <w:rPr>
          <w:rFonts w:cs="Arial"/>
          <w:sz w:val="24"/>
          <w:szCs w:val="24"/>
          <w:lang w:val="en-US"/>
        </w:rPr>
      </w:pPr>
      <w:r w:rsidRPr="00523337">
        <w:rPr>
          <w:rFonts w:cs="Arial"/>
          <w:sz w:val="24"/>
          <w:szCs w:val="24"/>
          <w:lang w:val="en-US"/>
        </w:rPr>
        <w:lastRenderedPageBreak/>
        <w:t>T</w:t>
      </w:r>
      <w:r w:rsidR="00CE3E11" w:rsidRPr="00523337">
        <w:rPr>
          <w:rFonts w:cs="Arial"/>
          <w:sz w:val="24"/>
          <w:szCs w:val="24"/>
          <w:lang w:val="en-US"/>
        </w:rPr>
        <w:t>able of Content</w:t>
      </w:r>
    </w:p>
    <w:p w14:paraId="3E99233F" w14:textId="77777777" w:rsidR="00163215" w:rsidRPr="00163215" w:rsidRDefault="00163215" w:rsidP="00163215">
      <w:pPr>
        <w:rPr>
          <w:lang w:val="en-US"/>
        </w:rPr>
      </w:pPr>
    </w:p>
    <w:p w14:paraId="22B4C975" w14:textId="17AE7FB5" w:rsidR="009F3854" w:rsidRDefault="007C5FAA">
      <w:pPr>
        <w:pStyle w:val="TOC1"/>
        <w:tabs>
          <w:tab w:val="right" w:leader="dot" w:pos="9060"/>
        </w:tabs>
        <w:rPr>
          <w:rFonts w:asciiTheme="minorHAnsi" w:eastAsiaTheme="minorEastAsia" w:hAnsiTheme="minorHAnsi" w:cstheme="minorBidi"/>
          <w:b w:val="0"/>
          <w:bCs w:val="0"/>
          <w:noProof/>
          <w:sz w:val="24"/>
          <w:szCs w:val="24"/>
        </w:rPr>
      </w:pPr>
      <w:r>
        <w:rPr>
          <w:rFonts w:asciiTheme="minorHAnsi" w:hAnsiTheme="minorHAnsi"/>
          <w:lang w:val="en-US"/>
        </w:rPr>
        <w:fldChar w:fldCharType="begin"/>
      </w:r>
      <w:r>
        <w:rPr>
          <w:rFonts w:asciiTheme="minorHAnsi" w:hAnsiTheme="minorHAnsi"/>
          <w:lang w:val="en-US"/>
        </w:rPr>
        <w:instrText xml:space="preserve"> TOC \h \z \t "Heading 1,2,Heading 2,3,Heading 3,4,Heading 4,5,Heading 5,6,Heading 6,7,Title,1" </w:instrText>
      </w:r>
      <w:r>
        <w:rPr>
          <w:rFonts w:asciiTheme="minorHAnsi" w:hAnsiTheme="minorHAnsi"/>
          <w:lang w:val="en-US"/>
        </w:rPr>
        <w:fldChar w:fldCharType="separate"/>
      </w:r>
      <w:hyperlink w:anchor="_Toc76752253" w:history="1">
        <w:r w:rsidR="009F3854" w:rsidRPr="006944A1">
          <w:rPr>
            <w:rStyle w:val="Hyperlink"/>
            <w:rFonts w:eastAsiaTheme="majorEastAsia"/>
            <w:noProof/>
            <w:lang w:val="en-US"/>
          </w:rPr>
          <w:t>List of figures</w:t>
        </w:r>
        <w:r w:rsidR="009F3854">
          <w:rPr>
            <w:noProof/>
            <w:webHidden/>
          </w:rPr>
          <w:tab/>
        </w:r>
        <w:r w:rsidR="009F3854">
          <w:rPr>
            <w:noProof/>
            <w:webHidden/>
          </w:rPr>
          <w:fldChar w:fldCharType="begin"/>
        </w:r>
        <w:r w:rsidR="009F3854">
          <w:rPr>
            <w:noProof/>
            <w:webHidden/>
          </w:rPr>
          <w:instrText xml:space="preserve"> PAGEREF _Toc76752253 \h </w:instrText>
        </w:r>
        <w:r w:rsidR="009F3854">
          <w:rPr>
            <w:noProof/>
            <w:webHidden/>
          </w:rPr>
        </w:r>
        <w:r w:rsidR="009F3854">
          <w:rPr>
            <w:noProof/>
            <w:webHidden/>
          </w:rPr>
          <w:fldChar w:fldCharType="separate"/>
        </w:r>
        <w:r w:rsidR="008A599C">
          <w:rPr>
            <w:noProof/>
            <w:webHidden/>
          </w:rPr>
          <w:t>ix</w:t>
        </w:r>
        <w:r w:rsidR="009F3854">
          <w:rPr>
            <w:noProof/>
            <w:webHidden/>
          </w:rPr>
          <w:fldChar w:fldCharType="end"/>
        </w:r>
      </w:hyperlink>
    </w:p>
    <w:p w14:paraId="0CA15E5B" w14:textId="7EEA34DD" w:rsidR="009F3854" w:rsidRDefault="00BE45E3">
      <w:pPr>
        <w:pStyle w:val="TOC1"/>
        <w:tabs>
          <w:tab w:val="right" w:leader="dot" w:pos="9060"/>
        </w:tabs>
        <w:rPr>
          <w:rFonts w:asciiTheme="minorHAnsi" w:eastAsiaTheme="minorEastAsia" w:hAnsiTheme="minorHAnsi" w:cstheme="minorBidi"/>
          <w:b w:val="0"/>
          <w:bCs w:val="0"/>
          <w:noProof/>
          <w:sz w:val="24"/>
          <w:szCs w:val="24"/>
        </w:rPr>
      </w:pPr>
      <w:hyperlink w:anchor="_Toc76752254" w:history="1">
        <w:r w:rsidR="009F3854" w:rsidRPr="006944A1">
          <w:rPr>
            <w:rStyle w:val="Hyperlink"/>
            <w:rFonts w:eastAsiaTheme="majorEastAsia"/>
            <w:noProof/>
            <w:lang w:val="en-US"/>
          </w:rPr>
          <w:t>List of tables</w:t>
        </w:r>
        <w:r w:rsidR="009F3854">
          <w:rPr>
            <w:noProof/>
            <w:webHidden/>
          </w:rPr>
          <w:tab/>
        </w:r>
        <w:r w:rsidR="009F3854">
          <w:rPr>
            <w:noProof/>
            <w:webHidden/>
          </w:rPr>
          <w:fldChar w:fldCharType="begin"/>
        </w:r>
        <w:r w:rsidR="009F3854">
          <w:rPr>
            <w:noProof/>
            <w:webHidden/>
          </w:rPr>
          <w:instrText xml:space="preserve"> PAGEREF _Toc76752254 \h </w:instrText>
        </w:r>
        <w:r w:rsidR="009F3854">
          <w:rPr>
            <w:noProof/>
            <w:webHidden/>
          </w:rPr>
        </w:r>
        <w:r w:rsidR="009F3854">
          <w:rPr>
            <w:noProof/>
            <w:webHidden/>
          </w:rPr>
          <w:fldChar w:fldCharType="separate"/>
        </w:r>
        <w:r w:rsidR="008A599C">
          <w:rPr>
            <w:noProof/>
            <w:webHidden/>
          </w:rPr>
          <w:t>x</w:t>
        </w:r>
        <w:r w:rsidR="009F3854">
          <w:rPr>
            <w:noProof/>
            <w:webHidden/>
          </w:rPr>
          <w:fldChar w:fldCharType="end"/>
        </w:r>
      </w:hyperlink>
    </w:p>
    <w:p w14:paraId="25AD7C29" w14:textId="1F532C48" w:rsidR="009F3854" w:rsidRDefault="00BE45E3">
      <w:pPr>
        <w:pStyle w:val="TOC1"/>
        <w:tabs>
          <w:tab w:val="right" w:leader="dot" w:pos="9060"/>
        </w:tabs>
        <w:rPr>
          <w:rFonts w:asciiTheme="minorHAnsi" w:eastAsiaTheme="minorEastAsia" w:hAnsiTheme="minorHAnsi" w:cstheme="minorBidi"/>
          <w:b w:val="0"/>
          <w:bCs w:val="0"/>
          <w:noProof/>
          <w:sz w:val="24"/>
          <w:szCs w:val="24"/>
        </w:rPr>
      </w:pPr>
      <w:hyperlink w:anchor="_Toc76752255" w:history="1">
        <w:r w:rsidR="009F3854" w:rsidRPr="006944A1">
          <w:rPr>
            <w:rStyle w:val="Hyperlink"/>
            <w:rFonts w:eastAsiaTheme="majorEastAsia"/>
            <w:noProof/>
            <w:lang w:val="en-US"/>
          </w:rPr>
          <w:t>List of abbreviations and acronyms</w:t>
        </w:r>
        <w:r w:rsidR="009F3854">
          <w:rPr>
            <w:noProof/>
            <w:webHidden/>
          </w:rPr>
          <w:tab/>
        </w:r>
        <w:r w:rsidR="009F3854">
          <w:rPr>
            <w:noProof/>
            <w:webHidden/>
          </w:rPr>
          <w:fldChar w:fldCharType="begin"/>
        </w:r>
        <w:r w:rsidR="009F3854">
          <w:rPr>
            <w:noProof/>
            <w:webHidden/>
          </w:rPr>
          <w:instrText xml:space="preserve"> PAGEREF _Toc76752255 \h </w:instrText>
        </w:r>
        <w:r w:rsidR="009F3854">
          <w:rPr>
            <w:noProof/>
            <w:webHidden/>
          </w:rPr>
        </w:r>
        <w:r w:rsidR="009F3854">
          <w:rPr>
            <w:noProof/>
            <w:webHidden/>
          </w:rPr>
          <w:fldChar w:fldCharType="separate"/>
        </w:r>
        <w:r w:rsidR="008A599C">
          <w:rPr>
            <w:noProof/>
            <w:webHidden/>
          </w:rPr>
          <w:t>xi</w:t>
        </w:r>
        <w:r w:rsidR="009F3854">
          <w:rPr>
            <w:noProof/>
            <w:webHidden/>
          </w:rPr>
          <w:fldChar w:fldCharType="end"/>
        </w:r>
      </w:hyperlink>
    </w:p>
    <w:p w14:paraId="0B810617" w14:textId="4D39CD6F" w:rsidR="009F3854" w:rsidRDefault="00BE45E3">
      <w:pPr>
        <w:pStyle w:val="TOC1"/>
        <w:tabs>
          <w:tab w:val="right" w:leader="dot" w:pos="9060"/>
        </w:tabs>
        <w:rPr>
          <w:rFonts w:asciiTheme="minorHAnsi" w:eastAsiaTheme="minorEastAsia" w:hAnsiTheme="minorHAnsi" w:cstheme="minorBidi"/>
          <w:b w:val="0"/>
          <w:bCs w:val="0"/>
          <w:noProof/>
          <w:sz w:val="24"/>
          <w:szCs w:val="24"/>
        </w:rPr>
      </w:pPr>
      <w:hyperlink w:anchor="_Toc76752256" w:history="1">
        <w:r w:rsidR="009F3854" w:rsidRPr="006944A1">
          <w:rPr>
            <w:rStyle w:val="Hyperlink"/>
            <w:rFonts w:eastAsiaTheme="majorEastAsia"/>
            <w:noProof/>
            <w:lang w:val="en-US"/>
          </w:rPr>
          <w:t>Executive summary</w:t>
        </w:r>
        <w:r w:rsidR="009F3854">
          <w:rPr>
            <w:noProof/>
            <w:webHidden/>
          </w:rPr>
          <w:tab/>
        </w:r>
        <w:r w:rsidR="009F3854">
          <w:rPr>
            <w:noProof/>
            <w:webHidden/>
          </w:rPr>
          <w:fldChar w:fldCharType="begin"/>
        </w:r>
        <w:r w:rsidR="009F3854">
          <w:rPr>
            <w:noProof/>
            <w:webHidden/>
          </w:rPr>
          <w:instrText xml:space="preserve"> PAGEREF _Toc76752256 \h </w:instrText>
        </w:r>
        <w:r w:rsidR="009F3854">
          <w:rPr>
            <w:noProof/>
            <w:webHidden/>
          </w:rPr>
        </w:r>
        <w:r w:rsidR="009F3854">
          <w:rPr>
            <w:noProof/>
            <w:webHidden/>
          </w:rPr>
          <w:fldChar w:fldCharType="separate"/>
        </w:r>
        <w:r w:rsidR="008A599C">
          <w:rPr>
            <w:noProof/>
            <w:webHidden/>
          </w:rPr>
          <w:t>xii</w:t>
        </w:r>
        <w:r w:rsidR="009F3854">
          <w:rPr>
            <w:noProof/>
            <w:webHidden/>
          </w:rPr>
          <w:fldChar w:fldCharType="end"/>
        </w:r>
      </w:hyperlink>
    </w:p>
    <w:p w14:paraId="6FD367FC" w14:textId="2878E79B"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57" w:history="1">
        <w:r w:rsidR="009F3854" w:rsidRPr="006944A1">
          <w:rPr>
            <w:rStyle w:val="Hyperlink"/>
            <w:rFonts w:eastAsiaTheme="majorEastAsia"/>
            <w:noProof/>
          </w:rPr>
          <w:t>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Introduction</w:t>
        </w:r>
        <w:r w:rsidR="009F3854">
          <w:rPr>
            <w:noProof/>
            <w:webHidden/>
          </w:rPr>
          <w:tab/>
        </w:r>
        <w:r w:rsidR="009F3854">
          <w:rPr>
            <w:noProof/>
            <w:webHidden/>
          </w:rPr>
          <w:fldChar w:fldCharType="begin"/>
        </w:r>
        <w:r w:rsidR="009F3854">
          <w:rPr>
            <w:noProof/>
            <w:webHidden/>
          </w:rPr>
          <w:instrText xml:space="preserve"> PAGEREF _Toc76752257 \h </w:instrText>
        </w:r>
        <w:r w:rsidR="009F3854">
          <w:rPr>
            <w:noProof/>
            <w:webHidden/>
          </w:rPr>
        </w:r>
        <w:r w:rsidR="009F3854">
          <w:rPr>
            <w:noProof/>
            <w:webHidden/>
          </w:rPr>
          <w:fldChar w:fldCharType="separate"/>
        </w:r>
        <w:r w:rsidR="008A599C">
          <w:rPr>
            <w:noProof/>
            <w:webHidden/>
          </w:rPr>
          <w:t>1</w:t>
        </w:r>
        <w:r w:rsidR="009F3854">
          <w:rPr>
            <w:noProof/>
            <w:webHidden/>
          </w:rPr>
          <w:fldChar w:fldCharType="end"/>
        </w:r>
      </w:hyperlink>
    </w:p>
    <w:p w14:paraId="1C492144" w14:textId="42C45066"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58" w:history="1">
        <w:r w:rsidR="009F3854" w:rsidRPr="006944A1">
          <w:rPr>
            <w:rStyle w:val="Hyperlink"/>
            <w:rFonts w:eastAsiaTheme="majorEastAsia"/>
            <w:noProof/>
          </w:rPr>
          <w:t>1.1</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Research objective and research question</w:t>
        </w:r>
        <w:r w:rsidR="009F3854">
          <w:rPr>
            <w:noProof/>
            <w:webHidden/>
          </w:rPr>
          <w:tab/>
        </w:r>
        <w:r w:rsidR="009F3854">
          <w:rPr>
            <w:noProof/>
            <w:webHidden/>
          </w:rPr>
          <w:fldChar w:fldCharType="begin"/>
        </w:r>
        <w:r w:rsidR="009F3854">
          <w:rPr>
            <w:noProof/>
            <w:webHidden/>
          </w:rPr>
          <w:instrText xml:space="preserve"> PAGEREF _Toc76752258 \h </w:instrText>
        </w:r>
        <w:r w:rsidR="009F3854">
          <w:rPr>
            <w:noProof/>
            <w:webHidden/>
          </w:rPr>
        </w:r>
        <w:r w:rsidR="009F3854">
          <w:rPr>
            <w:noProof/>
            <w:webHidden/>
          </w:rPr>
          <w:fldChar w:fldCharType="separate"/>
        </w:r>
        <w:r w:rsidR="008A599C">
          <w:rPr>
            <w:noProof/>
            <w:webHidden/>
          </w:rPr>
          <w:t>6</w:t>
        </w:r>
        <w:r w:rsidR="009F3854">
          <w:rPr>
            <w:noProof/>
            <w:webHidden/>
          </w:rPr>
          <w:fldChar w:fldCharType="end"/>
        </w:r>
      </w:hyperlink>
    </w:p>
    <w:p w14:paraId="3C8DE4C7" w14:textId="444F7A23"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59" w:history="1">
        <w:r w:rsidR="009F3854" w:rsidRPr="006944A1">
          <w:rPr>
            <w:rStyle w:val="Hyperlink"/>
            <w:rFonts w:eastAsiaTheme="majorEastAsia"/>
            <w:noProof/>
          </w:rPr>
          <w:t>1.2</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Case study description</w:t>
        </w:r>
        <w:r w:rsidR="009F3854">
          <w:rPr>
            <w:noProof/>
            <w:webHidden/>
          </w:rPr>
          <w:tab/>
        </w:r>
        <w:r w:rsidR="009F3854">
          <w:rPr>
            <w:noProof/>
            <w:webHidden/>
          </w:rPr>
          <w:fldChar w:fldCharType="begin"/>
        </w:r>
        <w:r w:rsidR="009F3854">
          <w:rPr>
            <w:noProof/>
            <w:webHidden/>
          </w:rPr>
          <w:instrText xml:space="preserve"> PAGEREF _Toc76752259 \h </w:instrText>
        </w:r>
        <w:r w:rsidR="009F3854">
          <w:rPr>
            <w:noProof/>
            <w:webHidden/>
          </w:rPr>
        </w:r>
        <w:r w:rsidR="009F3854">
          <w:rPr>
            <w:noProof/>
            <w:webHidden/>
          </w:rPr>
          <w:fldChar w:fldCharType="separate"/>
        </w:r>
        <w:r w:rsidR="008A599C">
          <w:rPr>
            <w:noProof/>
            <w:webHidden/>
          </w:rPr>
          <w:t>8</w:t>
        </w:r>
        <w:r w:rsidR="009F3854">
          <w:rPr>
            <w:noProof/>
            <w:webHidden/>
          </w:rPr>
          <w:fldChar w:fldCharType="end"/>
        </w:r>
      </w:hyperlink>
    </w:p>
    <w:p w14:paraId="2A8E6D2D" w14:textId="56FE6AA8"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60" w:history="1">
        <w:r w:rsidR="009F3854" w:rsidRPr="006944A1">
          <w:rPr>
            <w:rStyle w:val="Hyperlink"/>
            <w:rFonts w:eastAsiaTheme="majorEastAsia"/>
            <w:noProof/>
          </w:rPr>
          <w:t>1.3</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Outline of report</w:t>
        </w:r>
        <w:r w:rsidR="009F3854">
          <w:rPr>
            <w:noProof/>
            <w:webHidden/>
          </w:rPr>
          <w:tab/>
        </w:r>
        <w:r w:rsidR="009F3854">
          <w:rPr>
            <w:noProof/>
            <w:webHidden/>
          </w:rPr>
          <w:fldChar w:fldCharType="begin"/>
        </w:r>
        <w:r w:rsidR="009F3854">
          <w:rPr>
            <w:noProof/>
            <w:webHidden/>
          </w:rPr>
          <w:instrText xml:space="preserve"> PAGEREF _Toc76752260 \h </w:instrText>
        </w:r>
        <w:r w:rsidR="009F3854">
          <w:rPr>
            <w:noProof/>
            <w:webHidden/>
          </w:rPr>
        </w:r>
        <w:r w:rsidR="009F3854">
          <w:rPr>
            <w:noProof/>
            <w:webHidden/>
          </w:rPr>
          <w:fldChar w:fldCharType="separate"/>
        </w:r>
        <w:r w:rsidR="008A599C">
          <w:rPr>
            <w:noProof/>
            <w:webHidden/>
          </w:rPr>
          <w:t>10</w:t>
        </w:r>
        <w:r w:rsidR="009F3854">
          <w:rPr>
            <w:noProof/>
            <w:webHidden/>
          </w:rPr>
          <w:fldChar w:fldCharType="end"/>
        </w:r>
      </w:hyperlink>
    </w:p>
    <w:p w14:paraId="34FF2ABE" w14:textId="7306F18E"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61" w:history="1">
        <w:r w:rsidR="009F3854" w:rsidRPr="006944A1">
          <w:rPr>
            <w:rStyle w:val="Hyperlink"/>
            <w:rFonts w:eastAsiaTheme="majorEastAsia"/>
            <w:noProof/>
            <w:highlight w:val="lightGray"/>
          </w:rPr>
          <w:t>2</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Literature review</w:t>
        </w:r>
        <w:r w:rsidR="009F3854">
          <w:rPr>
            <w:noProof/>
            <w:webHidden/>
          </w:rPr>
          <w:tab/>
        </w:r>
        <w:r w:rsidR="009F3854">
          <w:rPr>
            <w:noProof/>
            <w:webHidden/>
          </w:rPr>
          <w:fldChar w:fldCharType="begin"/>
        </w:r>
        <w:r w:rsidR="009F3854">
          <w:rPr>
            <w:noProof/>
            <w:webHidden/>
          </w:rPr>
          <w:instrText xml:space="preserve"> PAGEREF _Toc76752261 \h </w:instrText>
        </w:r>
        <w:r w:rsidR="009F3854">
          <w:rPr>
            <w:noProof/>
            <w:webHidden/>
          </w:rPr>
        </w:r>
        <w:r w:rsidR="009F3854">
          <w:rPr>
            <w:noProof/>
            <w:webHidden/>
          </w:rPr>
          <w:fldChar w:fldCharType="separate"/>
        </w:r>
        <w:r w:rsidR="008A599C">
          <w:rPr>
            <w:noProof/>
            <w:webHidden/>
          </w:rPr>
          <w:t>11</w:t>
        </w:r>
        <w:r w:rsidR="009F3854">
          <w:rPr>
            <w:noProof/>
            <w:webHidden/>
          </w:rPr>
          <w:fldChar w:fldCharType="end"/>
        </w:r>
      </w:hyperlink>
    </w:p>
    <w:p w14:paraId="3C179B3B" w14:textId="164D3814"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62" w:history="1">
        <w:r w:rsidR="009F3854" w:rsidRPr="006944A1">
          <w:rPr>
            <w:rStyle w:val="Hyperlink"/>
            <w:rFonts w:eastAsiaTheme="majorEastAsia"/>
            <w:noProof/>
          </w:rPr>
          <w:t>2.1</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Recycling methods for REEs</w:t>
        </w:r>
        <w:r w:rsidR="009F3854">
          <w:rPr>
            <w:noProof/>
            <w:webHidden/>
          </w:rPr>
          <w:tab/>
        </w:r>
        <w:r w:rsidR="009F3854">
          <w:rPr>
            <w:noProof/>
            <w:webHidden/>
          </w:rPr>
          <w:fldChar w:fldCharType="begin"/>
        </w:r>
        <w:r w:rsidR="009F3854">
          <w:rPr>
            <w:noProof/>
            <w:webHidden/>
          </w:rPr>
          <w:instrText xml:space="preserve"> PAGEREF _Toc76752262 \h </w:instrText>
        </w:r>
        <w:r w:rsidR="009F3854">
          <w:rPr>
            <w:noProof/>
            <w:webHidden/>
          </w:rPr>
        </w:r>
        <w:r w:rsidR="009F3854">
          <w:rPr>
            <w:noProof/>
            <w:webHidden/>
          </w:rPr>
          <w:fldChar w:fldCharType="separate"/>
        </w:r>
        <w:r w:rsidR="008A599C">
          <w:rPr>
            <w:noProof/>
            <w:webHidden/>
          </w:rPr>
          <w:t>11</w:t>
        </w:r>
        <w:r w:rsidR="009F3854">
          <w:rPr>
            <w:noProof/>
            <w:webHidden/>
          </w:rPr>
          <w:fldChar w:fldCharType="end"/>
        </w:r>
      </w:hyperlink>
    </w:p>
    <w:p w14:paraId="70AB08F6" w14:textId="6628CED9" w:rsidR="009F3854" w:rsidRDefault="00BE45E3">
      <w:pPr>
        <w:pStyle w:val="TOC4"/>
        <w:tabs>
          <w:tab w:val="left" w:pos="1680"/>
          <w:tab w:val="right" w:leader="dot" w:pos="9060"/>
        </w:tabs>
        <w:rPr>
          <w:rFonts w:asciiTheme="minorHAnsi" w:eastAsiaTheme="minorEastAsia" w:hAnsiTheme="minorHAnsi" w:cstheme="minorBidi"/>
          <w:b w:val="0"/>
          <w:noProof/>
          <w:sz w:val="24"/>
          <w:szCs w:val="24"/>
        </w:rPr>
      </w:pPr>
      <w:hyperlink w:anchor="_Toc76752263" w:history="1">
        <w:r w:rsidR="009F3854" w:rsidRPr="006944A1">
          <w:rPr>
            <w:rStyle w:val="Hyperlink"/>
            <w:rFonts w:eastAsiaTheme="majorEastAsia"/>
            <w:noProof/>
          </w:rPr>
          <w:t>2.1.1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Hydrometallurgy for REEs recovery</w:t>
        </w:r>
        <w:r w:rsidR="009F3854">
          <w:rPr>
            <w:noProof/>
            <w:webHidden/>
          </w:rPr>
          <w:tab/>
        </w:r>
        <w:r w:rsidR="009F3854">
          <w:rPr>
            <w:noProof/>
            <w:webHidden/>
          </w:rPr>
          <w:fldChar w:fldCharType="begin"/>
        </w:r>
        <w:r w:rsidR="009F3854">
          <w:rPr>
            <w:noProof/>
            <w:webHidden/>
          </w:rPr>
          <w:instrText xml:space="preserve"> PAGEREF _Toc76752263 \h </w:instrText>
        </w:r>
        <w:r w:rsidR="009F3854">
          <w:rPr>
            <w:noProof/>
            <w:webHidden/>
          </w:rPr>
        </w:r>
        <w:r w:rsidR="009F3854">
          <w:rPr>
            <w:noProof/>
            <w:webHidden/>
          </w:rPr>
          <w:fldChar w:fldCharType="separate"/>
        </w:r>
        <w:r w:rsidR="008A599C">
          <w:rPr>
            <w:noProof/>
            <w:webHidden/>
          </w:rPr>
          <w:t>16</w:t>
        </w:r>
        <w:r w:rsidR="009F3854">
          <w:rPr>
            <w:noProof/>
            <w:webHidden/>
          </w:rPr>
          <w:fldChar w:fldCharType="end"/>
        </w:r>
      </w:hyperlink>
    </w:p>
    <w:p w14:paraId="6C83C019" w14:textId="4CBB4EE0"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64" w:history="1">
        <w:r w:rsidR="009F3854" w:rsidRPr="006944A1">
          <w:rPr>
            <w:rStyle w:val="Hyperlink"/>
            <w:rFonts w:eastAsiaTheme="majorEastAsia"/>
            <w:noProof/>
          </w:rPr>
          <w:t>2.2</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Ex-ante Life Cycle Assessment (LCA)</w:t>
        </w:r>
        <w:r w:rsidR="009F3854">
          <w:rPr>
            <w:noProof/>
            <w:webHidden/>
          </w:rPr>
          <w:tab/>
        </w:r>
        <w:r w:rsidR="009F3854">
          <w:rPr>
            <w:noProof/>
            <w:webHidden/>
          </w:rPr>
          <w:fldChar w:fldCharType="begin"/>
        </w:r>
        <w:r w:rsidR="009F3854">
          <w:rPr>
            <w:noProof/>
            <w:webHidden/>
          </w:rPr>
          <w:instrText xml:space="preserve"> PAGEREF _Toc76752264 \h </w:instrText>
        </w:r>
        <w:r w:rsidR="009F3854">
          <w:rPr>
            <w:noProof/>
            <w:webHidden/>
          </w:rPr>
        </w:r>
        <w:r w:rsidR="009F3854">
          <w:rPr>
            <w:noProof/>
            <w:webHidden/>
          </w:rPr>
          <w:fldChar w:fldCharType="separate"/>
        </w:r>
        <w:r w:rsidR="008A599C">
          <w:rPr>
            <w:noProof/>
            <w:webHidden/>
          </w:rPr>
          <w:t>20</w:t>
        </w:r>
        <w:r w:rsidR="009F3854">
          <w:rPr>
            <w:noProof/>
            <w:webHidden/>
          </w:rPr>
          <w:fldChar w:fldCharType="end"/>
        </w:r>
      </w:hyperlink>
    </w:p>
    <w:p w14:paraId="156D6D4E" w14:textId="08BAB5B2"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65" w:history="1">
        <w:r w:rsidR="009F3854" w:rsidRPr="006944A1">
          <w:rPr>
            <w:rStyle w:val="Hyperlink"/>
            <w:rFonts w:eastAsiaTheme="majorEastAsia"/>
            <w:noProof/>
          </w:rPr>
          <w:t>3</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Methodology</w:t>
        </w:r>
        <w:r w:rsidR="009F3854">
          <w:rPr>
            <w:noProof/>
            <w:webHidden/>
          </w:rPr>
          <w:tab/>
        </w:r>
        <w:r w:rsidR="009F3854">
          <w:rPr>
            <w:noProof/>
            <w:webHidden/>
          </w:rPr>
          <w:fldChar w:fldCharType="begin"/>
        </w:r>
        <w:r w:rsidR="009F3854">
          <w:rPr>
            <w:noProof/>
            <w:webHidden/>
          </w:rPr>
          <w:instrText xml:space="preserve"> PAGEREF _Toc76752265 \h </w:instrText>
        </w:r>
        <w:r w:rsidR="009F3854">
          <w:rPr>
            <w:noProof/>
            <w:webHidden/>
          </w:rPr>
        </w:r>
        <w:r w:rsidR="009F3854">
          <w:rPr>
            <w:noProof/>
            <w:webHidden/>
          </w:rPr>
          <w:fldChar w:fldCharType="separate"/>
        </w:r>
        <w:r w:rsidR="008A599C">
          <w:rPr>
            <w:noProof/>
            <w:webHidden/>
          </w:rPr>
          <w:t>26</w:t>
        </w:r>
        <w:r w:rsidR="009F3854">
          <w:rPr>
            <w:noProof/>
            <w:webHidden/>
          </w:rPr>
          <w:fldChar w:fldCharType="end"/>
        </w:r>
      </w:hyperlink>
    </w:p>
    <w:p w14:paraId="2207044F" w14:textId="36FED94D"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66" w:history="1">
        <w:r w:rsidR="009F3854" w:rsidRPr="006944A1">
          <w:rPr>
            <w:rStyle w:val="Hyperlink"/>
            <w:rFonts w:eastAsiaTheme="majorEastAsia"/>
            <w:noProof/>
          </w:rPr>
          <w:t>3.1</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Projected technology scenario definition</w:t>
        </w:r>
        <w:r w:rsidR="009F3854">
          <w:rPr>
            <w:noProof/>
            <w:webHidden/>
          </w:rPr>
          <w:tab/>
        </w:r>
        <w:r w:rsidR="009F3854">
          <w:rPr>
            <w:noProof/>
            <w:webHidden/>
          </w:rPr>
          <w:fldChar w:fldCharType="begin"/>
        </w:r>
        <w:r w:rsidR="009F3854">
          <w:rPr>
            <w:noProof/>
            <w:webHidden/>
          </w:rPr>
          <w:instrText xml:space="preserve"> PAGEREF _Toc76752266 \h </w:instrText>
        </w:r>
        <w:r w:rsidR="009F3854">
          <w:rPr>
            <w:noProof/>
            <w:webHidden/>
          </w:rPr>
        </w:r>
        <w:r w:rsidR="009F3854">
          <w:rPr>
            <w:noProof/>
            <w:webHidden/>
          </w:rPr>
          <w:fldChar w:fldCharType="separate"/>
        </w:r>
        <w:r w:rsidR="008A599C">
          <w:rPr>
            <w:noProof/>
            <w:webHidden/>
          </w:rPr>
          <w:t>26</w:t>
        </w:r>
        <w:r w:rsidR="009F3854">
          <w:rPr>
            <w:noProof/>
            <w:webHidden/>
          </w:rPr>
          <w:fldChar w:fldCharType="end"/>
        </w:r>
      </w:hyperlink>
    </w:p>
    <w:p w14:paraId="023CFC4E" w14:textId="0BB252EE" w:rsidR="009F3854" w:rsidRDefault="00BE45E3">
      <w:pPr>
        <w:pStyle w:val="TOC4"/>
        <w:tabs>
          <w:tab w:val="left" w:pos="1680"/>
          <w:tab w:val="right" w:leader="dot" w:pos="9060"/>
        </w:tabs>
        <w:rPr>
          <w:rFonts w:asciiTheme="minorHAnsi" w:eastAsiaTheme="minorEastAsia" w:hAnsiTheme="minorHAnsi" w:cstheme="minorBidi"/>
          <w:b w:val="0"/>
          <w:noProof/>
          <w:sz w:val="24"/>
          <w:szCs w:val="24"/>
        </w:rPr>
      </w:pPr>
      <w:hyperlink w:anchor="_Toc76752267" w:history="1">
        <w:r w:rsidR="009F3854" w:rsidRPr="006944A1">
          <w:rPr>
            <w:rStyle w:val="Hyperlink"/>
            <w:rFonts w:eastAsiaTheme="majorEastAsia"/>
            <w:noProof/>
          </w:rPr>
          <w:t>3.1.1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Plant’s processes’ operations and installations</w:t>
        </w:r>
        <w:r w:rsidR="009F3854">
          <w:rPr>
            <w:noProof/>
            <w:webHidden/>
          </w:rPr>
          <w:tab/>
        </w:r>
        <w:r w:rsidR="009F3854">
          <w:rPr>
            <w:noProof/>
            <w:webHidden/>
          </w:rPr>
          <w:fldChar w:fldCharType="begin"/>
        </w:r>
        <w:r w:rsidR="009F3854">
          <w:rPr>
            <w:noProof/>
            <w:webHidden/>
          </w:rPr>
          <w:instrText xml:space="preserve"> PAGEREF _Toc76752267 \h </w:instrText>
        </w:r>
        <w:r w:rsidR="009F3854">
          <w:rPr>
            <w:noProof/>
            <w:webHidden/>
          </w:rPr>
        </w:r>
        <w:r w:rsidR="009F3854">
          <w:rPr>
            <w:noProof/>
            <w:webHidden/>
          </w:rPr>
          <w:fldChar w:fldCharType="separate"/>
        </w:r>
        <w:r w:rsidR="008A599C">
          <w:rPr>
            <w:noProof/>
            <w:webHidden/>
          </w:rPr>
          <w:t>28</w:t>
        </w:r>
        <w:r w:rsidR="009F3854">
          <w:rPr>
            <w:noProof/>
            <w:webHidden/>
          </w:rPr>
          <w:fldChar w:fldCharType="end"/>
        </w:r>
      </w:hyperlink>
    </w:p>
    <w:p w14:paraId="78A7F940" w14:textId="50F538EE"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68" w:history="1">
        <w:r w:rsidR="009F3854" w:rsidRPr="006944A1">
          <w:rPr>
            <w:rStyle w:val="Hyperlink"/>
            <w:rFonts w:eastAsiaTheme="majorEastAsia"/>
            <w:noProof/>
          </w:rPr>
          <w:t>3.2</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LCA</w:t>
        </w:r>
        <w:r w:rsidR="009F3854">
          <w:rPr>
            <w:noProof/>
            <w:webHidden/>
          </w:rPr>
          <w:tab/>
        </w:r>
        <w:r w:rsidR="009F3854">
          <w:rPr>
            <w:noProof/>
            <w:webHidden/>
          </w:rPr>
          <w:fldChar w:fldCharType="begin"/>
        </w:r>
        <w:r w:rsidR="009F3854">
          <w:rPr>
            <w:noProof/>
            <w:webHidden/>
          </w:rPr>
          <w:instrText xml:space="preserve"> PAGEREF _Toc76752268 \h </w:instrText>
        </w:r>
        <w:r w:rsidR="009F3854">
          <w:rPr>
            <w:noProof/>
            <w:webHidden/>
          </w:rPr>
        </w:r>
        <w:r w:rsidR="009F3854">
          <w:rPr>
            <w:noProof/>
            <w:webHidden/>
          </w:rPr>
          <w:fldChar w:fldCharType="separate"/>
        </w:r>
        <w:r w:rsidR="008A599C">
          <w:rPr>
            <w:noProof/>
            <w:webHidden/>
          </w:rPr>
          <w:t>32</w:t>
        </w:r>
        <w:r w:rsidR="009F3854">
          <w:rPr>
            <w:noProof/>
            <w:webHidden/>
          </w:rPr>
          <w:fldChar w:fldCharType="end"/>
        </w:r>
      </w:hyperlink>
    </w:p>
    <w:p w14:paraId="5F11FFF1" w14:textId="7B917469" w:rsidR="009F3854" w:rsidRDefault="00BE45E3">
      <w:pPr>
        <w:pStyle w:val="TOC4"/>
        <w:tabs>
          <w:tab w:val="left" w:pos="1680"/>
          <w:tab w:val="right" w:leader="dot" w:pos="9060"/>
        </w:tabs>
        <w:rPr>
          <w:rFonts w:asciiTheme="minorHAnsi" w:eastAsiaTheme="minorEastAsia" w:hAnsiTheme="minorHAnsi" w:cstheme="minorBidi"/>
          <w:b w:val="0"/>
          <w:noProof/>
          <w:sz w:val="24"/>
          <w:szCs w:val="24"/>
        </w:rPr>
      </w:pPr>
      <w:hyperlink w:anchor="_Toc76752269" w:history="1">
        <w:r w:rsidR="009F3854" w:rsidRPr="006944A1">
          <w:rPr>
            <w:rStyle w:val="Hyperlink"/>
            <w:rFonts w:eastAsiaTheme="majorEastAsia"/>
            <w:noProof/>
          </w:rPr>
          <w:t>3.2.1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Oxalic acid production</w:t>
        </w:r>
        <w:r w:rsidR="009F3854">
          <w:rPr>
            <w:noProof/>
            <w:webHidden/>
          </w:rPr>
          <w:tab/>
        </w:r>
        <w:r w:rsidR="009F3854">
          <w:rPr>
            <w:noProof/>
            <w:webHidden/>
          </w:rPr>
          <w:fldChar w:fldCharType="begin"/>
        </w:r>
        <w:r w:rsidR="009F3854">
          <w:rPr>
            <w:noProof/>
            <w:webHidden/>
          </w:rPr>
          <w:instrText xml:space="preserve"> PAGEREF _Toc76752269 \h </w:instrText>
        </w:r>
        <w:r w:rsidR="009F3854">
          <w:rPr>
            <w:noProof/>
            <w:webHidden/>
          </w:rPr>
        </w:r>
        <w:r w:rsidR="009F3854">
          <w:rPr>
            <w:noProof/>
            <w:webHidden/>
          </w:rPr>
          <w:fldChar w:fldCharType="separate"/>
        </w:r>
        <w:r w:rsidR="008A599C">
          <w:rPr>
            <w:noProof/>
            <w:webHidden/>
          </w:rPr>
          <w:t>32</w:t>
        </w:r>
        <w:r w:rsidR="009F3854">
          <w:rPr>
            <w:noProof/>
            <w:webHidden/>
          </w:rPr>
          <w:fldChar w:fldCharType="end"/>
        </w:r>
      </w:hyperlink>
    </w:p>
    <w:p w14:paraId="50949C7D" w14:textId="34C4D0F7" w:rsidR="009F3854" w:rsidRDefault="00BE45E3">
      <w:pPr>
        <w:pStyle w:val="TOC4"/>
        <w:tabs>
          <w:tab w:val="left" w:pos="1680"/>
          <w:tab w:val="right" w:leader="dot" w:pos="9060"/>
        </w:tabs>
        <w:rPr>
          <w:rFonts w:asciiTheme="minorHAnsi" w:eastAsiaTheme="minorEastAsia" w:hAnsiTheme="minorHAnsi" w:cstheme="minorBidi"/>
          <w:b w:val="0"/>
          <w:noProof/>
          <w:sz w:val="24"/>
          <w:szCs w:val="24"/>
        </w:rPr>
      </w:pPr>
      <w:hyperlink w:anchor="_Toc76752270" w:history="1">
        <w:r w:rsidR="009F3854" w:rsidRPr="006944A1">
          <w:rPr>
            <w:rStyle w:val="Hyperlink"/>
            <w:rFonts w:eastAsiaTheme="majorEastAsia"/>
            <w:noProof/>
          </w:rPr>
          <w:t>3.2.2</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Primary production</w:t>
        </w:r>
        <w:r w:rsidR="009F3854">
          <w:rPr>
            <w:noProof/>
            <w:webHidden/>
          </w:rPr>
          <w:tab/>
        </w:r>
        <w:r w:rsidR="009F3854">
          <w:rPr>
            <w:noProof/>
            <w:webHidden/>
          </w:rPr>
          <w:fldChar w:fldCharType="begin"/>
        </w:r>
        <w:r w:rsidR="009F3854">
          <w:rPr>
            <w:noProof/>
            <w:webHidden/>
          </w:rPr>
          <w:instrText xml:space="preserve"> PAGEREF _Toc76752270 \h </w:instrText>
        </w:r>
        <w:r w:rsidR="009F3854">
          <w:rPr>
            <w:noProof/>
            <w:webHidden/>
          </w:rPr>
        </w:r>
        <w:r w:rsidR="009F3854">
          <w:rPr>
            <w:noProof/>
            <w:webHidden/>
          </w:rPr>
          <w:fldChar w:fldCharType="separate"/>
        </w:r>
        <w:r w:rsidR="008A599C">
          <w:rPr>
            <w:noProof/>
            <w:webHidden/>
          </w:rPr>
          <w:t>32</w:t>
        </w:r>
        <w:r w:rsidR="009F3854">
          <w:rPr>
            <w:noProof/>
            <w:webHidden/>
          </w:rPr>
          <w:fldChar w:fldCharType="end"/>
        </w:r>
      </w:hyperlink>
    </w:p>
    <w:p w14:paraId="70443C60" w14:textId="381EF855" w:rsidR="009F3854" w:rsidRDefault="00BE45E3">
      <w:pPr>
        <w:pStyle w:val="TOC4"/>
        <w:tabs>
          <w:tab w:val="left" w:pos="1680"/>
          <w:tab w:val="right" w:leader="dot" w:pos="9060"/>
        </w:tabs>
        <w:rPr>
          <w:rFonts w:asciiTheme="minorHAnsi" w:eastAsiaTheme="minorEastAsia" w:hAnsiTheme="minorHAnsi" w:cstheme="minorBidi"/>
          <w:b w:val="0"/>
          <w:noProof/>
          <w:sz w:val="24"/>
          <w:szCs w:val="24"/>
        </w:rPr>
      </w:pPr>
      <w:hyperlink w:anchor="_Toc76752271" w:history="1">
        <w:r w:rsidR="009F3854" w:rsidRPr="006944A1">
          <w:rPr>
            <w:rStyle w:val="Hyperlink"/>
            <w:rFonts w:eastAsiaTheme="majorEastAsia"/>
            <w:noProof/>
          </w:rPr>
          <w:t>3.2.3</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Recycling route</w:t>
        </w:r>
        <w:r w:rsidR="009F3854">
          <w:rPr>
            <w:noProof/>
            <w:webHidden/>
          </w:rPr>
          <w:tab/>
        </w:r>
        <w:r w:rsidR="009F3854">
          <w:rPr>
            <w:noProof/>
            <w:webHidden/>
          </w:rPr>
          <w:fldChar w:fldCharType="begin"/>
        </w:r>
        <w:r w:rsidR="009F3854">
          <w:rPr>
            <w:noProof/>
            <w:webHidden/>
          </w:rPr>
          <w:instrText xml:space="preserve"> PAGEREF _Toc76752271 \h </w:instrText>
        </w:r>
        <w:r w:rsidR="009F3854">
          <w:rPr>
            <w:noProof/>
            <w:webHidden/>
          </w:rPr>
        </w:r>
        <w:r w:rsidR="009F3854">
          <w:rPr>
            <w:noProof/>
            <w:webHidden/>
          </w:rPr>
          <w:fldChar w:fldCharType="separate"/>
        </w:r>
        <w:r w:rsidR="008A599C">
          <w:rPr>
            <w:noProof/>
            <w:webHidden/>
          </w:rPr>
          <w:t>34</w:t>
        </w:r>
        <w:r w:rsidR="009F3854">
          <w:rPr>
            <w:noProof/>
            <w:webHidden/>
          </w:rPr>
          <w:fldChar w:fldCharType="end"/>
        </w:r>
      </w:hyperlink>
    </w:p>
    <w:p w14:paraId="04CD2E55" w14:textId="6041BE64" w:rsidR="009F3854" w:rsidRDefault="00BE45E3">
      <w:pPr>
        <w:pStyle w:val="TOC5"/>
        <w:tabs>
          <w:tab w:val="left" w:pos="1920"/>
          <w:tab w:val="right" w:leader="dot" w:pos="9060"/>
        </w:tabs>
        <w:rPr>
          <w:rFonts w:asciiTheme="minorHAnsi" w:eastAsiaTheme="minorEastAsia" w:hAnsiTheme="minorHAnsi" w:cstheme="minorBidi"/>
          <w:b w:val="0"/>
          <w:noProof/>
          <w:sz w:val="24"/>
          <w:szCs w:val="24"/>
        </w:rPr>
      </w:pPr>
      <w:hyperlink w:anchor="_Toc76752272" w:history="1">
        <w:r w:rsidR="009F3854" w:rsidRPr="006944A1">
          <w:rPr>
            <w:rStyle w:val="Hyperlink"/>
            <w:rFonts w:eastAsiaTheme="majorEastAsia"/>
            <w:noProof/>
          </w:rPr>
          <w:t>3.2.3.1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Goal definition</w:t>
        </w:r>
        <w:r w:rsidR="009F3854">
          <w:rPr>
            <w:noProof/>
            <w:webHidden/>
          </w:rPr>
          <w:tab/>
        </w:r>
        <w:r w:rsidR="009F3854">
          <w:rPr>
            <w:noProof/>
            <w:webHidden/>
          </w:rPr>
          <w:fldChar w:fldCharType="begin"/>
        </w:r>
        <w:r w:rsidR="009F3854">
          <w:rPr>
            <w:noProof/>
            <w:webHidden/>
          </w:rPr>
          <w:instrText xml:space="preserve"> PAGEREF _Toc76752272 \h </w:instrText>
        </w:r>
        <w:r w:rsidR="009F3854">
          <w:rPr>
            <w:noProof/>
            <w:webHidden/>
          </w:rPr>
        </w:r>
        <w:r w:rsidR="009F3854">
          <w:rPr>
            <w:noProof/>
            <w:webHidden/>
          </w:rPr>
          <w:fldChar w:fldCharType="separate"/>
        </w:r>
        <w:r w:rsidR="008A599C">
          <w:rPr>
            <w:noProof/>
            <w:webHidden/>
          </w:rPr>
          <w:t>34</w:t>
        </w:r>
        <w:r w:rsidR="009F3854">
          <w:rPr>
            <w:noProof/>
            <w:webHidden/>
          </w:rPr>
          <w:fldChar w:fldCharType="end"/>
        </w:r>
      </w:hyperlink>
    </w:p>
    <w:p w14:paraId="4E77254E" w14:textId="071AE3D3" w:rsidR="009F3854" w:rsidRDefault="00BE45E3">
      <w:pPr>
        <w:pStyle w:val="TOC5"/>
        <w:tabs>
          <w:tab w:val="left" w:pos="1920"/>
          <w:tab w:val="right" w:leader="dot" w:pos="9060"/>
        </w:tabs>
        <w:rPr>
          <w:rFonts w:asciiTheme="minorHAnsi" w:eastAsiaTheme="minorEastAsia" w:hAnsiTheme="minorHAnsi" w:cstheme="minorBidi"/>
          <w:b w:val="0"/>
          <w:noProof/>
          <w:sz w:val="24"/>
          <w:szCs w:val="24"/>
        </w:rPr>
      </w:pPr>
      <w:hyperlink w:anchor="_Toc76752273" w:history="1">
        <w:r w:rsidR="009F3854" w:rsidRPr="006944A1">
          <w:rPr>
            <w:rStyle w:val="Hyperlink"/>
            <w:rFonts w:eastAsiaTheme="majorEastAsia"/>
            <w:noProof/>
          </w:rPr>
          <w:t>3.2.3.2</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Scope, function, and functional unit definition</w:t>
        </w:r>
        <w:r w:rsidR="009F3854">
          <w:rPr>
            <w:noProof/>
            <w:webHidden/>
          </w:rPr>
          <w:tab/>
        </w:r>
        <w:r w:rsidR="009F3854">
          <w:rPr>
            <w:noProof/>
            <w:webHidden/>
          </w:rPr>
          <w:fldChar w:fldCharType="begin"/>
        </w:r>
        <w:r w:rsidR="009F3854">
          <w:rPr>
            <w:noProof/>
            <w:webHidden/>
          </w:rPr>
          <w:instrText xml:space="preserve"> PAGEREF _Toc76752273 \h </w:instrText>
        </w:r>
        <w:r w:rsidR="009F3854">
          <w:rPr>
            <w:noProof/>
            <w:webHidden/>
          </w:rPr>
        </w:r>
        <w:r w:rsidR="009F3854">
          <w:rPr>
            <w:noProof/>
            <w:webHidden/>
          </w:rPr>
          <w:fldChar w:fldCharType="separate"/>
        </w:r>
        <w:r w:rsidR="008A599C">
          <w:rPr>
            <w:noProof/>
            <w:webHidden/>
          </w:rPr>
          <w:t>35</w:t>
        </w:r>
        <w:r w:rsidR="009F3854">
          <w:rPr>
            <w:noProof/>
            <w:webHidden/>
          </w:rPr>
          <w:fldChar w:fldCharType="end"/>
        </w:r>
      </w:hyperlink>
    </w:p>
    <w:p w14:paraId="4BDF048A" w14:textId="30B78C94" w:rsidR="009F3854" w:rsidRDefault="00BE45E3">
      <w:pPr>
        <w:pStyle w:val="TOC5"/>
        <w:tabs>
          <w:tab w:val="left" w:pos="1920"/>
          <w:tab w:val="right" w:leader="dot" w:pos="9060"/>
        </w:tabs>
        <w:rPr>
          <w:rFonts w:asciiTheme="minorHAnsi" w:eastAsiaTheme="minorEastAsia" w:hAnsiTheme="minorHAnsi" w:cstheme="minorBidi"/>
          <w:b w:val="0"/>
          <w:noProof/>
          <w:sz w:val="24"/>
          <w:szCs w:val="24"/>
        </w:rPr>
      </w:pPr>
      <w:hyperlink w:anchor="_Toc76752274" w:history="1">
        <w:r w:rsidR="009F3854" w:rsidRPr="006944A1">
          <w:rPr>
            <w:rStyle w:val="Hyperlink"/>
            <w:rFonts w:eastAsiaTheme="majorEastAsia"/>
            <w:noProof/>
          </w:rPr>
          <w:t>3.2.3.3</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Inventory Analysis</w:t>
        </w:r>
        <w:r w:rsidR="009F3854">
          <w:rPr>
            <w:noProof/>
            <w:webHidden/>
          </w:rPr>
          <w:tab/>
        </w:r>
        <w:r w:rsidR="009F3854">
          <w:rPr>
            <w:noProof/>
            <w:webHidden/>
          </w:rPr>
          <w:fldChar w:fldCharType="begin"/>
        </w:r>
        <w:r w:rsidR="009F3854">
          <w:rPr>
            <w:noProof/>
            <w:webHidden/>
          </w:rPr>
          <w:instrText xml:space="preserve"> PAGEREF _Toc76752274 \h </w:instrText>
        </w:r>
        <w:r w:rsidR="009F3854">
          <w:rPr>
            <w:noProof/>
            <w:webHidden/>
          </w:rPr>
        </w:r>
        <w:r w:rsidR="009F3854">
          <w:rPr>
            <w:noProof/>
            <w:webHidden/>
          </w:rPr>
          <w:fldChar w:fldCharType="separate"/>
        </w:r>
        <w:r w:rsidR="008A599C">
          <w:rPr>
            <w:noProof/>
            <w:webHidden/>
          </w:rPr>
          <w:t>36</w:t>
        </w:r>
        <w:r w:rsidR="009F3854">
          <w:rPr>
            <w:noProof/>
            <w:webHidden/>
          </w:rPr>
          <w:fldChar w:fldCharType="end"/>
        </w:r>
      </w:hyperlink>
    </w:p>
    <w:p w14:paraId="45BE0EDB" w14:textId="3541D26B" w:rsidR="009F3854" w:rsidRDefault="00BE45E3">
      <w:pPr>
        <w:pStyle w:val="TOC6"/>
        <w:tabs>
          <w:tab w:val="left" w:pos="2214"/>
          <w:tab w:val="right" w:leader="dot" w:pos="9060"/>
        </w:tabs>
        <w:rPr>
          <w:rFonts w:asciiTheme="minorHAnsi" w:eastAsiaTheme="minorEastAsia" w:hAnsiTheme="minorHAnsi" w:cstheme="minorBidi"/>
          <w:b w:val="0"/>
          <w:noProof/>
          <w:sz w:val="24"/>
          <w:szCs w:val="24"/>
        </w:rPr>
      </w:pPr>
      <w:hyperlink w:anchor="_Toc76752275" w:history="1">
        <w:r w:rsidR="009F3854" w:rsidRPr="006944A1">
          <w:rPr>
            <w:rStyle w:val="Hyperlink"/>
            <w:rFonts w:eastAsiaTheme="majorEastAsia"/>
            <w:noProof/>
          </w:rPr>
          <w:t>3.2.3.3.1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System boundaries</w:t>
        </w:r>
        <w:r w:rsidR="009F3854">
          <w:rPr>
            <w:noProof/>
            <w:webHidden/>
          </w:rPr>
          <w:tab/>
        </w:r>
        <w:r w:rsidR="009F3854">
          <w:rPr>
            <w:noProof/>
            <w:webHidden/>
          </w:rPr>
          <w:fldChar w:fldCharType="begin"/>
        </w:r>
        <w:r w:rsidR="009F3854">
          <w:rPr>
            <w:noProof/>
            <w:webHidden/>
          </w:rPr>
          <w:instrText xml:space="preserve"> PAGEREF _Toc76752275 \h </w:instrText>
        </w:r>
        <w:r w:rsidR="009F3854">
          <w:rPr>
            <w:noProof/>
            <w:webHidden/>
          </w:rPr>
        </w:r>
        <w:r w:rsidR="009F3854">
          <w:rPr>
            <w:noProof/>
            <w:webHidden/>
          </w:rPr>
          <w:fldChar w:fldCharType="separate"/>
        </w:r>
        <w:r w:rsidR="008A599C">
          <w:rPr>
            <w:noProof/>
            <w:webHidden/>
          </w:rPr>
          <w:t>36</w:t>
        </w:r>
        <w:r w:rsidR="009F3854">
          <w:rPr>
            <w:noProof/>
            <w:webHidden/>
          </w:rPr>
          <w:fldChar w:fldCharType="end"/>
        </w:r>
      </w:hyperlink>
    </w:p>
    <w:p w14:paraId="274CB08A" w14:textId="7437B204" w:rsidR="009F3854" w:rsidRDefault="00BE45E3">
      <w:pPr>
        <w:pStyle w:val="TOC6"/>
        <w:tabs>
          <w:tab w:val="left" w:pos="2214"/>
          <w:tab w:val="right" w:leader="dot" w:pos="9060"/>
        </w:tabs>
        <w:rPr>
          <w:rFonts w:asciiTheme="minorHAnsi" w:eastAsiaTheme="minorEastAsia" w:hAnsiTheme="minorHAnsi" w:cstheme="minorBidi"/>
          <w:b w:val="0"/>
          <w:noProof/>
          <w:sz w:val="24"/>
          <w:szCs w:val="24"/>
        </w:rPr>
      </w:pPr>
      <w:hyperlink w:anchor="_Toc76752276" w:history="1">
        <w:r w:rsidR="009F3854" w:rsidRPr="006944A1">
          <w:rPr>
            <w:rStyle w:val="Hyperlink"/>
            <w:rFonts w:eastAsiaTheme="majorEastAsia"/>
            <w:noProof/>
          </w:rPr>
          <w:t>3.2.3.3.2</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Data</w:t>
        </w:r>
        <w:r w:rsidR="009F3854">
          <w:rPr>
            <w:noProof/>
            <w:webHidden/>
          </w:rPr>
          <w:tab/>
        </w:r>
        <w:r w:rsidR="009F3854">
          <w:rPr>
            <w:noProof/>
            <w:webHidden/>
          </w:rPr>
          <w:fldChar w:fldCharType="begin"/>
        </w:r>
        <w:r w:rsidR="009F3854">
          <w:rPr>
            <w:noProof/>
            <w:webHidden/>
          </w:rPr>
          <w:instrText xml:space="preserve"> PAGEREF _Toc76752276 \h </w:instrText>
        </w:r>
        <w:r w:rsidR="009F3854">
          <w:rPr>
            <w:noProof/>
            <w:webHidden/>
          </w:rPr>
        </w:r>
        <w:r w:rsidR="009F3854">
          <w:rPr>
            <w:noProof/>
            <w:webHidden/>
          </w:rPr>
          <w:fldChar w:fldCharType="separate"/>
        </w:r>
        <w:r w:rsidR="008A599C">
          <w:rPr>
            <w:noProof/>
            <w:webHidden/>
          </w:rPr>
          <w:t>39</w:t>
        </w:r>
        <w:r w:rsidR="009F3854">
          <w:rPr>
            <w:noProof/>
            <w:webHidden/>
          </w:rPr>
          <w:fldChar w:fldCharType="end"/>
        </w:r>
      </w:hyperlink>
    </w:p>
    <w:p w14:paraId="441D74D3" w14:textId="169BBBFA" w:rsidR="009F3854" w:rsidRDefault="00BE45E3">
      <w:pPr>
        <w:pStyle w:val="TOC6"/>
        <w:tabs>
          <w:tab w:val="left" w:pos="2214"/>
          <w:tab w:val="right" w:leader="dot" w:pos="9060"/>
        </w:tabs>
        <w:rPr>
          <w:rFonts w:asciiTheme="minorHAnsi" w:eastAsiaTheme="minorEastAsia" w:hAnsiTheme="minorHAnsi" w:cstheme="minorBidi"/>
          <w:b w:val="0"/>
          <w:noProof/>
          <w:sz w:val="24"/>
          <w:szCs w:val="24"/>
        </w:rPr>
      </w:pPr>
      <w:hyperlink w:anchor="_Toc76752277" w:history="1">
        <w:r w:rsidR="009F3854" w:rsidRPr="006944A1">
          <w:rPr>
            <w:rStyle w:val="Hyperlink"/>
            <w:rFonts w:eastAsiaTheme="majorEastAsia"/>
            <w:noProof/>
          </w:rPr>
          <w:t>3.2.3.3.3</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Multifunctionality and allocation</w:t>
        </w:r>
        <w:r w:rsidR="009F3854">
          <w:rPr>
            <w:noProof/>
            <w:webHidden/>
          </w:rPr>
          <w:tab/>
        </w:r>
        <w:r w:rsidR="009F3854">
          <w:rPr>
            <w:noProof/>
            <w:webHidden/>
          </w:rPr>
          <w:fldChar w:fldCharType="begin"/>
        </w:r>
        <w:r w:rsidR="009F3854">
          <w:rPr>
            <w:noProof/>
            <w:webHidden/>
          </w:rPr>
          <w:instrText xml:space="preserve"> PAGEREF _Toc76752277 \h </w:instrText>
        </w:r>
        <w:r w:rsidR="009F3854">
          <w:rPr>
            <w:noProof/>
            <w:webHidden/>
          </w:rPr>
        </w:r>
        <w:r w:rsidR="009F3854">
          <w:rPr>
            <w:noProof/>
            <w:webHidden/>
          </w:rPr>
          <w:fldChar w:fldCharType="separate"/>
        </w:r>
        <w:r w:rsidR="008A599C">
          <w:rPr>
            <w:noProof/>
            <w:webHidden/>
          </w:rPr>
          <w:t>40</w:t>
        </w:r>
        <w:r w:rsidR="009F3854">
          <w:rPr>
            <w:noProof/>
            <w:webHidden/>
          </w:rPr>
          <w:fldChar w:fldCharType="end"/>
        </w:r>
      </w:hyperlink>
    </w:p>
    <w:p w14:paraId="3917A290" w14:textId="28F3E988" w:rsidR="009F3854" w:rsidRDefault="00BE45E3">
      <w:pPr>
        <w:pStyle w:val="TOC5"/>
        <w:tabs>
          <w:tab w:val="left" w:pos="1920"/>
          <w:tab w:val="right" w:leader="dot" w:pos="9060"/>
        </w:tabs>
        <w:rPr>
          <w:rFonts w:asciiTheme="minorHAnsi" w:eastAsiaTheme="minorEastAsia" w:hAnsiTheme="minorHAnsi" w:cstheme="minorBidi"/>
          <w:b w:val="0"/>
          <w:noProof/>
          <w:sz w:val="24"/>
          <w:szCs w:val="24"/>
        </w:rPr>
      </w:pPr>
      <w:hyperlink w:anchor="_Toc76752278" w:history="1">
        <w:r w:rsidR="009F3854" w:rsidRPr="006944A1">
          <w:rPr>
            <w:rStyle w:val="Hyperlink"/>
            <w:rFonts w:eastAsiaTheme="majorEastAsia"/>
            <w:noProof/>
          </w:rPr>
          <w:t>3.2.3.4</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Impact Assessment</w:t>
        </w:r>
        <w:r w:rsidR="009F3854">
          <w:rPr>
            <w:noProof/>
            <w:webHidden/>
          </w:rPr>
          <w:tab/>
        </w:r>
        <w:r w:rsidR="009F3854">
          <w:rPr>
            <w:noProof/>
            <w:webHidden/>
          </w:rPr>
          <w:fldChar w:fldCharType="begin"/>
        </w:r>
        <w:r w:rsidR="009F3854">
          <w:rPr>
            <w:noProof/>
            <w:webHidden/>
          </w:rPr>
          <w:instrText xml:space="preserve"> PAGEREF _Toc76752278 \h </w:instrText>
        </w:r>
        <w:r w:rsidR="009F3854">
          <w:rPr>
            <w:noProof/>
            <w:webHidden/>
          </w:rPr>
        </w:r>
        <w:r w:rsidR="009F3854">
          <w:rPr>
            <w:noProof/>
            <w:webHidden/>
          </w:rPr>
          <w:fldChar w:fldCharType="separate"/>
        </w:r>
        <w:r w:rsidR="008A599C">
          <w:rPr>
            <w:noProof/>
            <w:webHidden/>
          </w:rPr>
          <w:t>42</w:t>
        </w:r>
        <w:r w:rsidR="009F3854">
          <w:rPr>
            <w:noProof/>
            <w:webHidden/>
          </w:rPr>
          <w:fldChar w:fldCharType="end"/>
        </w:r>
      </w:hyperlink>
    </w:p>
    <w:p w14:paraId="5AC434F8" w14:textId="53DDD81F" w:rsidR="009F3854" w:rsidRDefault="00BE45E3">
      <w:pPr>
        <w:pStyle w:val="TOC6"/>
        <w:tabs>
          <w:tab w:val="left" w:pos="2214"/>
          <w:tab w:val="right" w:leader="dot" w:pos="9060"/>
        </w:tabs>
        <w:rPr>
          <w:rFonts w:asciiTheme="minorHAnsi" w:eastAsiaTheme="minorEastAsia" w:hAnsiTheme="minorHAnsi" w:cstheme="minorBidi"/>
          <w:b w:val="0"/>
          <w:noProof/>
          <w:sz w:val="24"/>
          <w:szCs w:val="24"/>
        </w:rPr>
      </w:pPr>
      <w:hyperlink w:anchor="_Toc76752279" w:history="1">
        <w:r w:rsidR="009F3854" w:rsidRPr="006944A1">
          <w:rPr>
            <w:rStyle w:val="Hyperlink"/>
            <w:rFonts w:eastAsiaTheme="majorEastAsia"/>
            <w:noProof/>
          </w:rPr>
          <w:t>3.2.3.4.1</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Classification, characterization, and normalization</w:t>
        </w:r>
        <w:r w:rsidR="009F3854">
          <w:rPr>
            <w:noProof/>
            <w:webHidden/>
          </w:rPr>
          <w:tab/>
        </w:r>
        <w:r w:rsidR="009F3854">
          <w:rPr>
            <w:noProof/>
            <w:webHidden/>
          </w:rPr>
          <w:fldChar w:fldCharType="begin"/>
        </w:r>
        <w:r w:rsidR="009F3854">
          <w:rPr>
            <w:noProof/>
            <w:webHidden/>
          </w:rPr>
          <w:instrText xml:space="preserve"> PAGEREF _Toc76752279 \h </w:instrText>
        </w:r>
        <w:r w:rsidR="009F3854">
          <w:rPr>
            <w:noProof/>
            <w:webHidden/>
          </w:rPr>
        </w:r>
        <w:r w:rsidR="009F3854">
          <w:rPr>
            <w:noProof/>
            <w:webHidden/>
          </w:rPr>
          <w:fldChar w:fldCharType="separate"/>
        </w:r>
        <w:r w:rsidR="008A599C">
          <w:rPr>
            <w:noProof/>
            <w:webHidden/>
          </w:rPr>
          <w:t>42</w:t>
        </w:r>
        <w:r w:rsidR="009F3854">
          <w:rPr>
            <w:noProof/>
            <w:webHidden/>
          </w:rPr>
          <w:fldChar w:fldCharType="end"/>
        </w:r>
      </w:hyperlink>
    </w:p>
    <w:p w14:paraId="3430F2F3" w14:textId="6396573A" w:rsidR="009F3854" w:rsidRDefault="00BE45E3">
      <w:pPr>
        <w:pStyle w:val="TOC5"/>
        <w:tabs>
          <w:tab w:val="left" w:pos="1920"/>
          <w:tab w:val="right" w:leader="dot" w:pos="9060"/>
        </w:tabs>
        <w:rPr>
          <w:rFonts w:asciiTheme="minorHAnsi" w:eastAsiaTheme="minorEastAsia" w:hAnsiTheme="minorHAnsi" w:cstheme="minorBidi"/>
          <w:b w:val="0"/>
          <w:noProof/>
          <w:sz w:val="24"/>
          <w:szCs w:val="24"/>
        </w:rPr>
      </w:pPr>
      <w:hyperlink w:anchor="_Toc76752280" w:history="1">
        <w:r w:rsidR="009F3854" w:rsidRPr="006944A1">
          <w:rPr>
            <w:rStyle w:val="Hyperlink"/>
            <w:rFonts w:eastAsiaTheme="majorEastAsia"/>
            <w:noProof/>
          </w:rPr>
          <w:t>3.2.3.5</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Interpretation</w:t>
        </w:r>
        <w:r w:rsidR="009F3854">
          <w:rPr>
            <w:noProof/>
            <w:webHidden/>
          </w:rPr>
          <w:tab/>
        </w:r>
        <w:r w:rsidR="009F3854">
          <w:rPr>
            <w:noProof/>
            <w:webHidden/>
          </w:rPr>
          <w:fldChar w:fldCharType="begin"/>
        </w:r>
        <w:r w:rsidR="009F3854">
          <w:rPr>
            <w:noProof/>
            <w:webHidden/>
          </w:rPr>
          <w:instrText xml:space="preserve"> PAGEREF _Toc76752280 \h </w:instrText>
        </w:r>
        <w:r w:rsidR="009F3854">
          <w:rPr>
            <w:noProof/>
            <w:webHidden/>
          </w:rPr>
        </w:r>
        <w:r w:rsidR="009F3854">
          <w:rPr>
            <w:noProof/>
            <w:webHidden/>
          </w:rPr>
          <w:fldChar w:fldCharType="separate"/>
        </w:r>
        <w:r w:rsidR="008A599C">
          <w:rPr>
            <w:noProof/>
            <w:webHidden/>
          </w:rPr>
          <w:t>44</w:t>
        </w:r>
        <w:r w:rsidR="009F3854">
          <w:rPr>
            <w:noProof/>
            <w:webHidden/>
          </w:rPr>
          <w:fldChar w:fldCharType="end"/>
        </w:r>
      </w:hyperlink>
    </w:p>
    <w:p w14:paraId="54E51A7C" w14:textId="3F006ABA"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81" w:history="1">
        <w:r w:rsidR="009F3854" w:rsidRPr="006944A1">
          <w:rPr>
            <w:rStyle w:val="Hyperlink"/>
            <w:rFonts w:eastAsiaTheme="majorEastAsia"/>
            <w:noProof/>
          </w:rPr>
          <w:t>4</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Results</w:t>
        </w:r>
        <w:r w:rsidR="009F3854">
          <w:rPr>
            <w:noProof/>
            <w:webHidden/>
          </w:rPr>
          <w:tab/>
        </w:r>
        <w:r w:rsidR="009F3854">
          <w:rPr>
            <w:noProof/>
            <w:webHidden/>
          </w:rPr>
          <w:fldChar w:fldCharType="begin"/>
        </w:r>
        <w:r w:rsidR="009F3854">
          <w:rPr>
            <w:noProof/>
            <w:webHidden/>
          </w:rPr>
          <w:instrText xml:space="preserve"> PAGEREF _Toc76752281 \h </w:instrText>
        </w:r>
        <w:r w:rsidR="009F3854">
          <w:rPr>
            <w:noProof/>
            <w:webHidden/>
          </w:rPr>
        </w:r>
        <w:r w:rsidR="009F3854">
          <w:rPr>
            <w:noProof/>
            <w:webHidden/>
          </w:rPr>
          <w:fldChar w:fldCharType="separate"/>
        </w:r>
        <w:r w:rsidR="008A599C">
          <w:rPr>
            <w:noProof/>
            <w:webHidden/>
          </w:rPr>
          <w:t>45</w:t>
        </w:r>
        <w:r w:rsidR="009F3854">
          <w:rPr>
            <w:noProof/>
            <w:webHidden/>
          </w:rPr>
          <w:fldChar w:fldCharType="end"/>
        </w:r>
      </w:hyperlink>
    </w:p>
    <w:p w14:paraId="7435E873" w14:textId="702D3ACC"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2" w:history="1">
        <w:r w:rsidR="009F3854" w:rsidRPr="006944A1">
          <w:rPr>
            <w:rStyle w:val="Hyperlink"/>
            <w:rFonts w:eastAsiaTheme="majorEastAsia"/>
            <w:noProof/>
          </w:rPr>
          <w:t>4.1</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Characterization results</w:t>
        </w:r>
        <w:r w:rsidR="009F3854">
          <w:rPr>
            <w:noProof/>
            <w:webHidden/>
          </w:rPr>
          <w:tab/>
        </w:r>
        <w:r w:rsidR="009F3854">
          <w:rPr>
            <w:noProof/>
            <w:webHidden/>
          </w:rPr>
          <w:fldChar w:fldCharType="begin"/>
        </w:r>
        <w:r w:rsidR="009F3854">
          <w:rPr>
            <w:noProof/>
            <w:webHidden/>
          </w:rPr>
          <w:instrText xml:space="preserve"> PAGEREF _Toc76752282 \h </w:instrText>
        </w:r>
        <w:r w:rsidR="009F3854">
          <w:rPr>
            <w:noProof/>
            <w:webHidden/>
          </w:rPr>
        </w:r>
        <w:r w:rsidR="009F3854">
          <w:rPr>
            <w:noProof/>
            <w:webHidden/>
          </w:rPr>
          <w:fldChar w:fldCharType="separate"/>
        </w:r>
        <w:r w:rsidR="008A599C">
          <w:rPr>
            <w:noProof/>
            <w:webHidden/>
          </w:rPr>
          <w:t>45</w:t>
        </w:r>
        <w:r w:rsidR="009F3854">
          <w:rPr>
            <w:noProof/>
            <w:webHidden/>
          </w:rPr>
          <w:fldChar w:fldCharType="end"/>
        </w:r>
      </w:hyperlink>
    </w:p>
    <w:p w14:paraId="53238913" w14:textId="28F3F3EF"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3" w:history="1">
        <w:r w:rsidR="009F3854" w:rsidRPr="006944A1">
          <w:rPr>
            <w:rStyle w:val="Hyperlink"/>
            <w:rFonts w:eastAsiaTheme="majorEastAsia"/>
            <w:noProof/>
          </w:rPr>
          <w:t>4.2</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Normalization results</w:t>
        </w:r>
        <w:r w:rsidR="009F3854">
          <w:rPr>
            <w:noProof/>
            <w:webHidden/>
          </w:rPr>
          <w:tab/>
        </w:r>
        <w:r w:rsidR="009F3854">
          <w:rPr>
            <w:noProof/>
            <w:webHidden/>
          </w:rPr>
          <w:fldChar w:fldCharType="begin"/>
        </w:r>
        <w:r w:rsidR="009F3854">
          <w:rPr>
            <w:noProof/>
            <w:webHidden/>
          </w:rPr>
          <w:instrText xml:space="preserve"> PAGEREF _Toc76752283 \h </w:instrText>
        </w:r>
        <w:r w:rsidR="009F3854">
          <w:rPr>
            <w:noProof/>
            <w:webHidden/>
          </w:rPr>
        </w:r>
        <w:r w:rsidR="009F3854">
          <w:rPr>
            <w:noProof/>
            <w:webHidden/>
          </w:rPr>
          <w:fldChar w:fldCharType="separate"/>
        </w:r>
        <w:r w:rsidR="008A599C">
          <w:rPr>
            <w:noProof/>
            <w:webHidden/>
          </w:rPr>
          <w:t>46</w:t>
        </w:r>
        <w:r w:rsidR="009F3854">
          <w:rPr>
            <w:noProof/>
            <w:webHidden/>
          </w:rPr>
          <w:fldChar w:fldCharType="end"/>
        </w:r>
      </w:hyperlink>
    </w:p>
    <w:p w14:paraId="154E7D24" w14:textId="52B6362D"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4" w:history="1">
        <w:r w:rsidR="009F3854" w:rsidRPr="006944A1">
          <w:rPr>
            <w:rStyle w:val="Hyperlink"/>
            <w:rFonts w:eastAsiaTheme="majorEastAsia"/>
            <w:noProof/>
          </w:rPr>
          <w:t>4.3</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Completeness check</w:t>
        </w:r>
        <w:r w:rsidR="009F3854">
          <w:rPr>
            <w:noProof/>
            <w:webHidden/>
          </w:rPr>
          <w:tab/>
        </w:r>
        <w:r w:rsidR="009F3854">
          <w:rPr>
            <w:noProof/>
            <w:webHidden/>
          </w:rPr>
          <w:fldChar w:fldCharType="begin"/>
        </w:r>
        <w:r w:rsidR="009F3854">
          <w:rPr>
            <w:noProof/>
            <w:webHidden/>
          </w:rPr>
          <w:instrText xml:space="preserve"> PAGEREF _Toc76752284 \h </w:instrText>
        </w:r>
        <w:r w:rsidR="009F3854">
          <w:rPr>
            <w:noProof/>
            <w:webHidden/>
          </w:rPr>
        </w:r>
        <w:r w:rsidR="009F3854">
          <w:rPr>
            <w:noProof/>
            <w:webHidden/>
          </w:rPr>
          <w:fldChar w:fldCharType="separate"/>
        </w:r>
        <w:r w:rsidR="008A599C">
          <w:rPr>
            <w:noProof/>
            <w:webHidden/>
          </w:rPr>
          <w:t>47</w:t>
        </w:r>
        <w:r w:rsidR="009F3854">
          <w:rPr>
            <w:noProof/>
            <w:webHidden/>
          </w:rPr>
          <w:fldChar w:fldCharType="end"/>
        </w:r>
      </w:hyperlink>
    </w:p>
    <w:p w14:paraId="7F237C61" w14:textId="70C65FBE"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5" w:history="1">
        <w:r w:rsidR="009F3854" w:rsidRPr="006944A1">
          <w:rPr>
            <w:rStyle w:val="Hyperlink"/>
            <w:rFonts w:eastAsiaTheme="majorEastAsia"/>
            <w:noProof/>
          </w:rPr>
          <w:t>4.4</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Consistency check</w:t>
        </w:r>
        <w:r w:rsidR="009F3854">
          <w:rPr>
            <w:noProof/>
            <w:webHidden/>
          </w:rPr>
          <w:tab/>
        </w:r>
        <w:r w:rsidR="009F3854">
          <w:rPr>
            <w:noProof/>
            <w:webHidden/>
          </w:rPr>
          <w:fldChar w:fldCharType="begin"/>
        </w:r>
        <w:r w:rsidR="009F3854">
          <w:rPr>
            <w:noProof/>
            <w:webHidden/>
          </w:rPr>
          <w:instrText xml:space="preserve"> PAGEREF _Toc76752285 \h </w:instrText>
        </w:r>
        <w:r w:rsidR="009F3854">
          <w:rPr>
            <w:noProof/>
            <w:webHidden/>
          </w:rPr>
        </w:r>
        <w:r w:rsidR="009F3854">
          <w:rPr>
            <w:noProof/>
            <w:webHidden/>
          </w:rPr>
          <w:fldChar w:fldCharType="separate"/>
        </w:r>
        <w:r w:rsidR="008A599C">
          <w:rPr>
            <w:noProof/>
            <w:webHidden/>
          </w:rPr>
          <w:t>48</w:t>
        </w:r>
        <w:r w:rsidR="009F3854">
          <w:rPr>
            <w:noProof/>
            <w:webHidden/>
          </w:rPr>
          <w:fldChar w:fldCharType="end"/>
        </w:r>
      </w:hyperlink>
    </w:p>
    <w:p w14:paraId="0F679F2F" w14:textId="0660071A"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6" w:history="1">
        <w:r w:rsidR="009F3854" w:rsidRPr="006944A1">
          <w:rPr>
            <w:rStyle w:val="Hyperlink"/>
            <w:rFonts w:eastAsiaTheme="majorEastAsia"/>
            <w:noProof/>
          </w:rPr>
          <w:t>4.5</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Contribution analysis</w:t>
        </w:r>
        <w:r w:rsidR="009F3854">
          <w:rPr>
            <w:noProof/>
            <w:webHidden/>
          </w:rPr>
          <w:tab/>
        </w:r>
        <w:r w:rsidR="009F3854">
          <w:rPr>
            <w:noProof/>
            <w:webHidden/>
          </w:rPr>
          <w:fldChar w:fldCharType="begin"/>
        </w:r>
        <w:r w:rsidR="009F3854">
          <w:rPr>
            <w:noProof/>
            <w:webHidden/>
          </w:rPr>
          <w:instrText xml:space="preserve"> PAGEREF _Toc76752286 \h </w:instrText>
        </w:r>
        <w:r w:rsidR="009F3854">
          <w:rPr>
            <w:noProof/>
            <w:webHidden/>
          </w:rPr>
        </w:r>
        <w:r w:rsidR="009F3854">
          <w:rPr>
            <w:noProof/>
            <w:webHidden/>
          </w:rPr>
          <w:fldChar w:fldCharType="separate"/>
        </w:r>
        <w:r w:rsidR="008A599C">
          <w:rPr>
            <w:noProof/>
            <w:webHidden/>
          </w:rPr>
          <w:t>48</w:t>
        </w:r>
        <w:r w:rsidR="009F3854">
          <w:rPr>
            <w:noProof/>
            <w:webHidden/>
          </w:rPr>
          <w:fldChar w:fldCharType="end"/>
        </w:r>
      </w:hyperlink>
    </w:p>
    <w:p w14:paraId="155290FD" w14:textId="6E63F688"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7" w:history="1">
        <w:r w:rsidR="009F3854" w:rsidRPr="006944A1">
          <w:rPr>
            <w:rStyle w:val="Hyperlink"/>
            <w:rFonts w:eastAsiaTheme="majorEastAsia"/>
            <w:noProof/>
          </w:rPr>
          <w:t>4.6</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Sensitivity test</w:t>
        </w:r>
        <w:r w:rsidR="009F3854">
          <w:rPr>
            <w:noProof/>
            <w:webHidden/>
          </w:rPr>
          <w:tab/>
        </w:r>
        <w:r w:rsidR="009F3854">
          <w:rPr>
            <w:noProof/>
            <w:webHidden/>
          </w:rPr>
          <w:fldChar w:fldCharType="begin"/>
        </w:r>
        <w:r w:rsidR="009F3854">
          <w:rPr>
            <w:noProof/>
            <w:webHidden/>
          </w:rPr>
          <w:instrText xml:space="preserve"> PAGEREF _Toc76752287 \h </w:instrText>
        </w:r>
        <w:r w:rsidR="009F3854">
          <w:rPr>
            <w:noProof/>
            <w:webHidden/>
          </w:rPr>
        </w:r>
        <w:r w:rsidR="009F3854">
          <w:rPr>
            <w:noProof/>
            <w:webHidden/>
          </w:rPr>
          <w:fldChar w:fldCharType="separate"/>
        </w:r>
        <w:r w:rsidR="008A599C">
          <w:rPr>
            <w:noProof/>
            <w:webHidden/>
          </w:rPr>
          <w:t>54</w:t>
        </w:r>
        <w:r w:rsidR="009F3854">
          <w:rPr>
            <w:noProof/>
            <w:webHidden/>
          </w:rPr>
          <w:fldChar w:fldCharType="end"/>
        </w:r>
      </w:hyperlink>
    </w:p>
    <w:p w14:paraId="1B90F542" w14:textId="06DB8E2B" w:rsidR="009F3854" w:rsidRDefault="00BE45E3">
      <w:pPr>
        <w:pStyle w:val="TOC3"/>
        <w:tabs>
          <w:tab w:val="left" w:pos="1196"/>
          <w:tab w:val="right" w:leader="dot" w:pos="9060"/>
        </w:tabs>
        <w:rPr>
          <w:rFonts w:asciiTheme="minorHAnsi" w:eastAsiaTheme="minorEastAsia" w:hAnsiTheme="minorHAnsi" w:cstheme="minorBidi"/>
          <w:b w:val="0"/>
          <w:iCs w:val="0"/>
          <w:noProof/>
          <w:sz w:val="24"/>
          <w:szCs w:val="24"/>
        </w:rPr>
      </w:pPr>
      <w:hyperlink w:anchor="_Toc76752288" w:history="1">
        <w:r w:rsidR="009F3854" w:rsidRPr="006944A1">
          <w:rPr>
            <w:rStyle w:val="Hyperlink"/>
            <w:rFonts w:eastAsiaTheme="majorEastAsia"/>
            <w:noProof/>
          </w:rPr>
          <w:t>4.7</w:t>
        </w:r>
        <w:r w:rsidR="009F3854">
          <w:rPr>
            <w:rFonts w:asciiTheme="minorHAnsi" w:eastAsiaTheme="minorEastAsia" w:hAnsiTheme="minorHAnsi" w:cstheme="minorBidi"/>
            <w:b w:val="0"/>
            <w:iCs w:val="0"/>
            <w:noProof/>
            <w:sz w:val="24"/>
            <w:szCs w:val="24"/>
          </w:rPr>
          <w:tab/>
        </w:r>
        <w:r w:rsidR="009F3854" w:rsidRPr="006944A1">
          <w:rPr>
            <w:rStyle w:val="Hyperlink"/>
            <w:rFonts w:eastAsiaTheme="majorEastAsia"/>
            <w:noProof/>
          </w:rPr>
          <w:t>Comparative analysis</w:t>
        </w:r>
        <w:r w:rsidR="009F3854">
          <w:rPr>
            <w:noProof/>
            <w:webHidden/>
          </w:rPr>
          <w:tab/>
        </w:r>
        <w:r w:rsidR="009F3854">
          <w:rPr>
            <w:noProof/>
            <w:webHidden/>
          </w:rPr>
          <w:fldChar w:fldCharType="begin"/>
        </w:r>
        <w:r w:rsidR="009F3854">
          <w:rPr>
            <w:noProof/>
            <w:webHidden/>
          </w:rPr>
          <w:instrText xml:space="preserve"> PAGEREF _Toc76752288 \h </w:instrText>
        </w:r>
        <w:r w:rsidR="009F3854">
          <w:rPr>
            <w:noProof/>
            <w:webHidden/>
          </w:rPr>
        </w:r>
        <w:r w:rsidR="009F3854">
          <w:rPr>
            <w:noProof/>
            <w:webHidden/>
          </w:rPr>
          <w:fldChar w:fldCharType="separate"/>
        </w:r>
        <w:r w:rsidR="008A599C">
          <w:rPr>
            <w:noProof/>
            <w:webHidden/>
          </w:rPr>
          <w:t>56</w:t>
        </w:r>
        <w:r w:rsidR="009F3854">
          <w:rPr>
            <w:noProof/>
            <w:webHidden/>
          </w:rPr>
          <w:fldChar w:fldCharType="end"/>
        </w:r>
      </w:hyperlink>
    </w:p>
    <w:p w14:paraId="231D930F" w14:textId="39EB6ADF"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89" w:history="1">
        <w:r w:rsidR="009F3854" w:rsidRPr="006944A1">
          <w:rPr>
            <w:rStyle w:val="Hyperlink"/>
            <w:rFonts w:eastAsiaTheme="majorEastAsia"/>
            <w:noProof/>
          </w:rPr>
          <w:t>5</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Discussion of results</w:t>
        </w:r>
        <w:r w:rsidR="009F3854">
          <w:rPr>
            <w:noProof/>
            <w:webHidden/>
          </w:rPr>
          <w:tab/>
        </w:r>
        <w:r w:rsidR="009F3854">
          <w:rPr>
            <w:noProof/>
            <w:webHidden/>
          </w:rPr>
          <w:fldChar w:fldCharType="begin"/>
        </w:r>
        <w:r w:rsidR="009F3854">
          <w:rPr>
            <w:noProof/>
            <w:webHidden/>
          </w:rPr>
          <w:instrText xml:space="preserve"> PAGEREF _Toc76752289 \h </w:instrText>
        </w:r>
        <w:r w:rsidR="009F3854">
          <w:rPr>
            <w:noProof/>
            <w:webHidden/>
          </w:rPr>
        </w:r>
        <w:r w:rsidR="009F3854">
          <w:rPr>
            <w:noProof/>
            <w:webHidden/>
          </w:rPr>
          <w:fldChar w:fldCharType="separate"/>
        </w:r>
        <w:r w:rsidR="008A599C">
          <w:rPr>
            <w:noProof/>
            <w:webHidden/>
          </w:rPr>
          <w:t>60</w:t>
        </w:r>
        <w:r w:rsidR="009F3854">
          <w:rPr>
            <w:noProof/>
            <w:webHidden/>
          </w:rPr>
          <w:fldChar w:fldCharType="end"/>
        </w:r>
      </w:hyperlink>
    </w:p>
    <w:p w14:paraId="409F7520" w14:textId="5F069EDE"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90" w:history="1">
        <w:r w:rsidR="009F3854" w:rsidRPr="006944A1">
          <w:rPr>
            <w:rStyle w:val="Hyperlink"/>
            <w:rFonts w:eastAsiaTheme="majorEastAsia"/>
            <w:noProof/>
          </w:rPr>
          <w:t>6</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Conclusions and recommendations</w:t>
        </w:r>
        <w:r w:rsidR="009F3854">
          <w:rPr>
            <w:noProof/>
            <w:webHidden/>
          </w:rPr>
          <w:tab/>
        </w:r>
        <w:r w:rsidR="009F3854">
          <w:rPr>
            <w:noProof/>
            <w:webHidden/>
          </w:rPr>
          <w:fldChar w:fldCharType="begin"/>
        </w:r>
        <w:r w:rsidR="009F3854">
          <w:rPr>
            <w:noProof/>
            <w:webHidden/>
          </w:rPr>
          <w:instrText xml:space="preserve"> PAGEREF _Toc76752290 \h </w:instrText>
        </w:r>
        <w:r w:rsidR="009F3854">
          <w:rPr>
            <w:noProof/>
            <w:webHidden/>
          </w:rPr>
        </w:r>
        <w:r w:rsidR="009F3854">
          <w:rPr>
            <w:noProof/>
            <w:webHidden/>
          </w:rPr>
          <w:fldChar w:fldCharType="separate"/>
        </w:r>
        <w:r w:rsidR="008A599C">
          <w:rPr>
            <w:noProof/>
            <w:webHidden/>
          </w:rPr>
          <w:t>65</w:t>
        </w:r>
        <w:r w:rsidR="009F3854">
          <w:rPr>
            <w:noProof/>
            <w:webHidden/>
          </w:rPr>
          <w:fldChar w:fldCharType="end"/>
        </w:r>
      </w:hyperlink>
    </w:p>
    <w:p w14:paraId="405D1BD3" w14:textId="5BA0B91C"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91" w:history="1">
        <w:r w:rsidR="009F3854" w:rsidRPr="006944A1">
          <w:rPr>
            <w:rStyle w:val="Hyperlink"/>
            <w:rFonts w:eastAsiaTheme="majorEastAsia"/>
            <w:noProof/>
          </w:rPr>
          <w:t>7</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Suggestion for future research</w:t>
        </w:r>
        <w:r w:rsidR="009F3854">
          <w:rPr>
            <w:noProof/>
            <w:webHidden/>
          </w:rPr>
          <w:tab/>
        </w:r>
        <w:r w:rsidR="009F3854">
          <w:rPr>
            <w:noProof/>
            <w:webHidden/>
          </w:rPr>
          <w:fldChar w:fldCharType="begin"/>
        </w:r>
        <w:r w:rsidR="009F3854">
          <w:rPr>
            <w:noProof/>
            <w:webHidden/>
          </w:rPr>
          <w:instrText xml:space="preserve"> PAGEREF _Toc76752291 \h </w:instrText>
        </w:r>
        <w:r w:rsidR="009F3854">
          <w:rPr>
            <w:noProof/>
            <w:webHidden/>
          </w:rPr>
        </w:r>
        <w:r w:rsidR="009F3854">
          <w:rPr>
            <w:noProof/>
            <w:webHidden/>
          </w:rPr>
          <w:fldChar w:fldCharType="separate"/>
        </w:r>
        <w:r w:rsidR="008A599C">
          <w:rPr>
            <w:noProof/>
            <w:webHidden/>
          </w:rPr>
          <w:t>67</w:t>
        </w:r>
        <w:r w:rsidR="009F3854">
          <w:rPr>
            <w:noProof/>
            <w:webHidden/>
          </w:rPr>
          <w:fldChar w:fldCharType="end"/>
        </w:r>
      </w:hyperlink>
    </w:p>
    <w:p w14:paraId="4F014744" w14:textId="456ECBAA" w:rsidR="009F3854" w:rsidRDefault="00BE45E3">
      <w:pPr>
        <w:pStyle w:val="TOC2"/>
        <w:tabs>
          <w:tab w:val="left" w:pos="482"/>
          <w:tab w:val="right" w:leader="dot" w:pos="9060"/>
        </w:tabs>
        <w:rPr>
          <w:rFonts w:asciiTheme="minorHAnsi" w:eastAsiaTheme="minorEastAsia" w:hAnsiTheme="minorHAnsi" w:cstheme="minorBidi"/>
          <w:b w:val="0"/>
          <w:noProof/>
          <w:sz w:val="24"/>
          <w:szCs w:val="24"/>
        </w:rPr>
      </w:pPr>
      <w:hyperlink w:anchor="_Toc76752292" w:history="1">
        <w:r w:rsidR="009F3854" w:rsidRPr="006944A1">
          <w:rPr>
            <w:rStyle w:val="Hyperlink"/>
            <w:rFonts w:eastAsiaTheme="majorEastAsia"/>
            <w:noProof/>
          </w:rPr>
          <w:t>8</w:t>
        </w:r>
        <w:r w:rsidR="009F3854">
          <w:rPr>
            <w:rFonts w:asciiTheme="minorHAnsi" w:eastAsiaTheme="minorEastAsia" w:hAnsiTheme="minorHAnsi" w:cstheme="minorBidi"/>
            <w:b w:val="0"/>
            <w:noProof/>
            <w:sz w:val="24"/>
            <w:szCs w:val="24"/>
          </w:rPr>
          <w:tab/>
        </w:r>
        <w:r w:rsidR="009F3854" w:rsidRPr="006944A1">
          <w:rPr>
            <w:rStyle w:val="Hyperlink"/>
            <w:rFonts w:eastAsiaTheme="majorEastAsia"/>
            <w:noProof/>
          </w:rPr>
          <w:t>References</w:t>
        </w:r>
        <w:r w:rsidR="009F3854">
          <w:rPr>
            <w:noProof/>
            <w:webHidden/>
          </w:rPr>
          <w:tab/>
        </w:r>
        <w:r w:rsidR="009F3854">
          <w:rPr>
            <w:noProof/>
            <w:webHidden/>
          </w:rPr>
          <w:fldChar w:fldCharType="begin"/>
        </w:r>
        <w:r w:rsidR="009F3854">
          <w:rPr>
            <w:noProof/>
            <w:webHidden/>
          </w:rPr>
          <w:instrText xml:space="preserve"> PAGEREF _Toc76752292 \h </w:instrText>
        </w:r>
        <w:r w:rsidR="009F3854">
          <w:rPr>
            <w:noProof/>
            <w:webHidden/>
          </w:rPr>
        </w:r>
        <w:r w:rsidR="009F3854">
          <w:rPr>
            <w:noProof/>
            <w:webHidden/>
          </w:rPr>
          <w:fldChar w:fldCharType="separate"/>
        </w:r>
        <w:r w:rsidR="008A599C">
          <w:rPr>
            <w:noProof/>
            <w:webHidden/>
          </w:rPr>
          <w:t>68</w:t>
        </w:r>
        <w:r w:rsidR="009F3854">
          <w:rPr>
            <w:noProof/>
            <w:webHidden/>
          </w:rPr>
          <w:fldChar w:fldCharType="end"/>
        </w:r>
      </w:hyperlink>
    </w:p>
    <w:p w14:paraId="7F17DED4" w14:textId="56A4950F" w:rsidR="009F3854" w:rsidRDefault="00BE45E3">
      <w:pPr>
        <w:pStyle w:val="TOC7"/>
        <w:tabs>
          <w:tab w:val="right" w:leader="dot" w:pos="9060"/>
        </w:tabs>
        <w:rPr>
          <w:rFonts w:asciiTheme="minorHAnsi" w:eastAsiaTheme="minorEastAsia" w:hAnsiTheme="minorHAnsi" w:cstheme="minorBidi"/>
          <w:b w:val="0"/>
          <w:noProof/>
          <w:sz w:val="24"/>
          <w:szCs w:val="24"/>
        </w:rPr>
      </w:pPr>
      <w:hyperlink w:anchor="_Toc76752293" w:history="1">
        <w:r w:rsidR="009F3854" w:rsidRPr="006944A1">
          <w:rPr>
            <w:rStyle w:val="Hyperlink"/>
            <w:rFonts w:eastAsiaTheme="majorEastAsia"/>
            <w:noProof/>
          </w:rPr>
          <w:t>Appendix A</w:t>
        </w:r>
        <w:r w:rsidR="009F3854">
          <w:rPr>
            <w:noProof/>
            <w:webHidden/>
          </w:rPr>
          <w:tab/>
        </w:r>
        <w:r w:rsidR="009F3854">
          <w:rPr>
            <w:noProof/>
            <w:webHidden/>
          </w:rPr>
          <w:fldChar w:fldCharType="begin"/>
        </w:r>
        <w:r w:rsidR="009F3854">
          <w:rPr>
            <w:noProof/>
            <w:webHidden/>
          </w:rPr>
          <w:instrText xml:space="preserve"> PAGEREF _Toc76752293 \h </w:instrText>
        </w:r>
        <w:r w:rsidR="009F3854">
          <w:rPr>
            <w:noProof/>
            <w:webHidden/>
          </w:rPr>
        </w:r>
        <w:r w:rsidR="009F3854">
          <w:rPr>
            <w:noProof/>
            <w:webHidden/>
          </w:rPr>
          <w:fldChar w:fldCharType="separate"/>
        </w:r>
        <w:r w:rsidR="008A599C">
          <w:rPr>
            <w:noProof/>
            <w:webHidden/>
          </w:rPr>
          <w:t>76</w:t>
        </w:r>
        <w:r w:rsidR="009F3854">
          <w:rPr>
            <w:noProof/>
            <w:webHidden/>
          </w:rPr>
          <w:fldChar w:fldCharType="end"/>
        </w:r>
      </w:hyperlink>
    </w:p>
    <w:p w14:paraId="51CC7721" w14:textId="63F12D23" w:rsidR="009F3854" w:rsidRDefault="00BE45E3">
      <w:pPr>
        <w:pStyle w:val="TOC7"/>
        <w:tabs>
          <w:tab w:val="right" w:leader="dot" w:pos="9060"/>
        </w:tabs>
        <w:rPr>
          <w:rFonts w:asciiTheme="minorHAnsi" w:eastAsiaTheme="minorEastAsia" w:hAnsiTheme="minorHAnsi" w:cstheme="minorBidi"/>
          <w:b w:val="0"/>
          <w:noProof/>
          <w:sz w:val="24"/>
          <w:szCs w:val="24"/>
        </w:rPr>
      </w:pPr>
      <w:hyperlink w:anchor="_Toc76752294" w:history="1">
        <w:r w:rsidR="009F3854" w:rsidRPr="006944A1">
          <w:rPr>
            <w:rStyle w:val="Hyperlink"/>
            <w:rFonts w:eastAsiaTheme="majorEastAsia"/>
            <w:noProof/>
          </w:rPr>
          <w:t>Appendix B</w:t>
        </w:r>
        <w:r w:rsidR="009F3854">
          <w:rPr>
            <w:noProof/>
            <w:webHidden/>
          </w:rPr>
          <w:tab/>
        </w:r>
        <w:r w:rsidR="009F3854">
          <w:rPr>
            <w:noProof/>
            <w:webHidden/>
          </w:rPr>
          <w:fldChar w:fldCharType="begin"/>
        </w:r>
        <w:r w:rsidR="009F3854">
          <w:rPr>
            <w:noProof/>
            <w:webHidden/>
          </w:rPr>
          <w:instrText xml:space="preserve"> PAGEREF _Toc76752294 \h </w:instrText>
        </w:r>
        <w:r w:rsidR="009F3854">
          <w:rPr>
            <w:noProof/>
            <w:webHidden/>
          </w:rPr>
        </w:r>
        <w:r w:rsidR="009F3854">
          <w:rPr>
            <w:noProof/>
            <w:webHidden/>
          </w:rPr>
          <w:fldChar w:fldCharType="separate"/>
        </w:r>
        <w:r w:rsidR="008A599C">
          <w:rPr>
            <w:noProof/>
            <w:webHidden/>
          </w:rPr>
          <w:t>88</w:t>
        </w:r>
        <w:r w:rsidR="009F3854">
          <w:rPr>
            <w:noProof/>
            <w:webHidden/>
          </w:rPr>
          <w:fldChar w:fldCharType="end"/>
        </w:r>
      </w:hyperlink>
    </w:p>
    <w:p w14:paraId="2C03209B" w14:textId="45BBC587" w:rsidR="009F3854" w:rsidRDefault="00BE45E3">
      <w:pPr>
        <w:pStyle w:val="TOC7"/>
        <w:tabs>
          <w:tab w:val="right" w:leader="dot" w:pos="9060"/>
        </w:tabs>
        <w:rPr>
          <w:rFonts w:asciiTheme="minorHAnsi" w:eastAsiaTheme="minorEastAsia" w:hAnsiTheme="minorHAnsi" w:cstheme="minorBidi"/>
          <w:b w:val="0"/>
          <w:noProof/>
          <w:sz w:val="24"/>
          <w:szCs w:val="24"/>
        </w:rPr>
      </w:pPr>
      <w:hyperlink w:anchor="_Toc76752295" w:history="1">
        <w:r w:rsidR="009F3854" w:rsidRPr="006944A1">
          <w:rPr>
            <w:rStyle w:val="Hyperlink"/>
            <w:rFonts w:eastAsiaTheme="majorEastAsia"/>
            <w:noProof/>
          </w:rPr>
          <w:t>Appendix C</w:t>
        </w:r>
        <w:r w:rsidR="009F3854">
          <w:rPr>
            <w:noProof/>
            <w:webHidden/>
          </w:rPr>
          <w:tab/>
        </w:r>
        <w:r w:rsidR="009F3854">
          <w:rPr>
            <w:noProof/>
            <w:webHidden/>
          </w:rPr>
          <w:fldChar w:fldCharType="begin"/>
        </w:r>
        <w:r w:rsidR="009F3854">
          <w:rPr>
            <w:noProof/>
            <w:webHidden/>
          </w:rPr>
          <w:instrText xml:space="preserve"> PAGEREF _Toc76752295 \h </w:instrText>
        </w:r>
        <w:r w:rsidR="009F3854">
          <w:rPr>
            <w:noProof/>
            <w:webHidden/>
          </w:rPr>
        </w:r>
        <w:r w:rsidR="009F3854">
          <w:rPr>
            <w:noProof/>
            <w:webHidden/>
          </w:rPr>
          <w:fldChar w:fldCharType="separate"/>
        </w:r>
        <w:r w:rsidR="008A599C">
          <w:rPr>
            <w:noProof/>
            <w:webHidden/>
          </w:rPr>
          <w:t>89</w:t>
        </w:r>
        <w:r w:rsidR="009F3854">
          <w:rPr>
            <w:noProof/>
            <w:webHidden/>
          </w:rPr>
          <w:fldChar w:fldCharType="end"/>
        </w:r>
      </w:hyperlink>
    </w:p>
    <w:p w14:paraId="0F069834" w14:textId="01B9E30D" w:rsidR="009F3854" w:rsidRDefault="00BE45E3">
      <w:pPr>
        <w:pStyle w:val="TOC7"/>
        <w:tabs>
          <w:tab w:val="right" w:leader="dot" w:pos="9060"/>
        </w:tabs>
        <w:rPr>
          <w:rFonts w:asciiTheme="minorHAnsi" w:eastAsiaTheme="minorEastAsia" w:hAnsiTheme="minorHAnsi" w:cstheme="minorBidi"/>
          <w:b w:val="0"/>
          <w:noProof/>
          <w:sz w:val="24"/>
          <w:szCs w:val="24"/>
        </w:rPr>
      </w:pPr>
      <w:hyperlink w:anchor="_Toc76752296" w:history="1">
        <w:r w:rsidR="009F3854" w:rsidRPr="006944A1">
          <w:rPr>
            <w:rStyle w:val="Hyperlink"/>
            <w:rFonts w:eastAsiaTheme="majorEastAsia"/>
            <w:noProof/>
          </w:rPr>
          <w:t>Appendix D</w:t>
        </w:r>
        <w:r w:rsidR="009F3854">
          <w:rPr>
            <w:noProof/>
            <w:webHidden/>
          </w:rPr>
          <w:tab/>
        </w:r>
        <w:r w:rsidR="009F3854">
          <w:rPr>
            <w:noProof/>
            <w:webHidden/>
          </w:rPr>
          <w:fldChar w:fldCharType="begin"/>
        </w:r>
        <w:r w:rsidR="009F3854">
          <w:rPr>
            <w:noProof/>
            <w:webHidden/>
          </w:rPr>
          <w:instrText xml:space="preserve"> PAGEREF _Toc76752296 \h </w:instrText>
        </w:r>
        <w:r w:rsidR="009F3854">
          <w:rPr>
            <w:noProof/>
            <w:webHidden/>
          </w:rPr>
        </w:r>
        <w:r w:rsidR="009F3854">
          <w:rPr>
            <w:noProof/>
            <w:webHidden/>
          </w:rPr>
          <w:fldChar w:fldCharType="separate"/>
        </w:r>
        <w:r w:rsidR="008A599C">
          <w:rPr>
            <w:noProof/>
            <w:webHidden/>
          </w:rPr>
          <w:t>99</w:t>
        </w:r>
        <w:r w:rsidR="009F3854">
          <w:rPr>
            <w:noProof/>
            <w:webHidden/>
          </w:rPr>
          <w:fldChar w:fldCharType="end"/>
        </w:r>
      </w:hyperlink>
    </w:p>
    <w:p w14:paraId="0B09B7B8" w14:textId="33A5DF8A" w:rsidR="009F3854" w:rsidRDefault="00BE45E3">
      <w:pPr>
        <w:pStyle w:val="TOC7"/>
        <w:tabs>
          <w:tab w:val="right" w:leader="dot" w:pos="9060"/>
        </w:tabs>
        <w:rPr>
          <w:rFonts w:asciiTheme="minorHAnsi" w:eastAsiaTheme="minorEastAsia" w:hAnsiTheme="minorHAnsi" w:cstheme="minorBidi"/>
          <w:b w:val="0"/>
          <w:noProof/>
          <w:sz w:val="24"/>
          <w:szCs w:val="24"/>
        </w:rPr>
      </w:pPr>
      <w:hyperlink w:anchor="_Toc76752297" w:history="1">
        <w:r w:rsidR="009F3854" w:rsidRPr="006944A1">
          <w:rPr>
            <w:rStyle w:val="Hyperlink"/>
            <w:rFonts w:eastAsiaTheme="majorEastAsia"/>
            <w:noProof/>
          </w:rPr>
          <w:t>Appendix E</w:t>
        </w:r>
        <w:r w:rsidR="009F3854">
          <w:rPr>
            <w:noProof/>
            <w:webHidden/>
          </w:rPr>
          <w:tab/>
        </w:r>
        <w:r w:rsidR="009F3854">
          <w:rPr>
            <w:noProof/>
            <w:webHidden/>
          </w:rPr>
          <w:fldChar w:fldCharType="begin"/>
        </w:r>
        <w:r w:rsidR="009F3854">
          <w:rPr>
            <w:noProof/>
            <w:webHidden/>
          </w:rPr>
          <w:instrText xml:space="preserve"> PAGEREF _Toc76752297 \h </w:instrText>
        </w:r>
        <w:r w:rsidR="009F3854">
          <w:rPr>
            <w:noProof/>
            <w:webHidden/>
          </w:rPr>
        </w:r>
        <w:r w:rsidR="009F3854">
          <w:rPr>
            <w:noProof/>
            <w:webHidden/>
          </w:rPr>
          <w:fldChar w:fldCharType="separate"/>
        </w:r>
        <w:r w:rsidR="008A599C">
          <w:rPr>
            <w:noProof/>
            <w:webHidden/>
          </w:rPr>
          <w:t>109</w:t>
        </w:r>
        <w:r w:rsidR="009F3854">
          <w:rPr>
            <w:noProof/>
            <w:webHidden/>
          </w:rPr>
          <w:fldChar w:fldCharType="end"/>
        </w:r>
      </w:hyperlink>
    </w:p>
    <w:p w14:paraId="60A4D462" w14:textId="0ED9C37F" w:rsidR="00E323F8" w:rsidRDefault="007C5FAA" w:rsidP="009A215A">
      <w:pPr>
        <w:rPr>
          <w:lang w:val="en-US"/>
        </w:rPr>
      </w:pPr>
      <w:r>
        <w:rPr>
          <w:rFonts w:asciiTheme="minorHAnsi" w:hAnsiTheme="minorHAnsi"/>
          <w:sz w:val="20"/>
          <w:szCs w:val="20"/>
          <w:lang w:val="en-US"/>
        </w:rPr>
        <w:fldChar w:fldCharType="end"/>
      </w:r>
    </w:p>
    <w:p w14:paraId="67A05D5D" w14:textId="77777777" w:rsidR="00E323F8" w:rsidRDefault="00E323F8" w:rsidP="009A215A">
      <w:pPr>
        <w:rPr>
          <w:lang w:val="en-US"/>
        </w:rPr>
      </w:pPr>
    </w:p>
    <w:p w14:paraId="0AE298F1" w14:textId="2F8083FE" w:rsidR="002E5A7C" w:rsidRDefault="00E323F8" w:rsidP="003F65A1">
      <w:pPr>
        <w:spacing w:line="240" w:lineRule="auto"/>
        <w:jc w:val="left"/>
        <w:rPr>
          <w:lang w:val="en-US"/>
        </w:rPr>
      </w:pPr>
      <w:r>
        <w:rPr>
          <w:lang w:val="en-US"/>
        </w:rPr>
        <w:br w:type="page"/>
      </w:r>
    </w:p>
    <w:p w14:paraId="29F50D80" w14:textId="58AFBEF8" w:rsidR="00910907" w:rsidRDefault="00910907" w:rsidP="00A42E55">
      <w:pPr>
        <w:pStyle w:val="Title"/>
        <w:rPr>
          <w:lang w:val="en-US"/>
        </w:rPr>
      </w:pPr>
      <w:bookmarkStart w:id="0" w:name="_Toc76752253"/>
      <w:r>
        <w:rPr>
          <w:lang w:val="en-US"/>
        </w:rPr>
        <w:lastRenderedPageBreak/>
        <w:t>List of figures</w:t>
      </w:r>
      <w:bookmarkEnd w:id="0"/>
    </w:p>
    <w:p w14:paraId="29FE4191" w14:textId="77777777" w:rsidR="00F31D03" w:rsidRPr="00F31D03" w:rsidRDefault="00F31D03" w:rsidP="00F31D03">
      <w:pPr>
        <w:rPr>
          <w:lang w:val="en-US"/>
        </w:rPr>
      </w:pPr>
    </w:p>
    <w:p w14:paraId="01567443" w14:textId="78D5C7A3" w:rsidR="00B727F2" w:rsidRDefault="00F662D0">
      <w:pPr>
        <w:pStyle w:val="TableofFigures"/>
        <w:tabs>
          <w:tab w:val="right" w:leader="dot" w:pos="9060"/>
        </w:tabs>
        <w:rPr>
          <w:rFonts w:asciiTheme="minorHAnsi" w:eastAsiaTheme="minorEastAsia" w:hAnsiTheme="minorHAnsi" w:cstheme="minorBidi"/>
          <w:noProof/>
        </w:rPr>
      </w:pPr>
      <w:r>
        <w:rPr>
          <w:lang w:val="en-US"/>
        </w:rPr>
        <w:fldChar w:fldCharType="begin"/>
      </w:r>
      <w:r>
        <w:rPr>
          <w:lang w:val="en-US"/>
        </w:rPr>
        <w:instrText xml:space="preserve"> TOC \h \z \c "Figure" </w:instrText>
      </w:r>
      <w:r>
        <w:rPr>
          <w:lang w:val="en-US"/>
        </w:rPr>
        <w:fldChar w:fldCharType="separate"/>
      </w:r>
      <w:hyperlink w:anchor="_Toc76729600" w:history="1">
        <w:r w:rsidR="00B727F2" w:rsidRPr="003F0B8D">
          <w:rPr>
            <w:rStyle w:val="Hyperlink"/>
            <w:noProof/>
          </w:rPr>
          <w:t>Figure 1.1</w:t>
        </w:r>
        <w:r w:rsidR="00B727F2" w:rsidRPr="003F0B8D">
          <w:rPr>
            <w:rStyle w:val="Hyperlink"/>
            <w:noProof/>
            <w:lang w:val="en-US"/>
          </w:rPr>
          <w:t xml:space="preserve"> Raw materials supply strategy</w:t>
        </w:r>
        <w:r w:rsidR="00B727F2">
          <w:rPr>
            <w:noProof/>
            <w:webHidden/>
          </w:rPr>
          <w:tab/>
        </w:r>
        <w:r w:rsidR="00B727F2">
          <w:rPr>
            <w:noProof/>
            <w:webHidden/>
          </w:rPr>
          <w:fldChar w:fldCharType="begin"/>
        </w:r>
        <w:r w:rsidR="00B727F2">
          <w:rPr>
            <w:noProof/>
            <w:webHidden/>
          </w:rPr>
          <w:instrText xml:space="preserve"> PAGEREF _Toc76729600 \h </w:instrText>
        </w:r>
        <w:r w:rsidR="00B727F2">
          <w:rPr>
            <w:noProof/>
            <w:webHidden/>
          </w:rPr>
        </w:r>
        <w:r w:rsidR="00B727F2">
          <w:rPr>
            <w:noProof/>
            <w:webHidden/>
          </w:rPr>
          <w:fldChar w:fldCharType="separate"/>
        </w:r>
        <w:r w:rsidR="00DE64FD">
          <w:rPr>
            <w:noProof/>
            <w:webHidden/>
          </w:rPr>
          <w:t>2</w:t>
        </w:r>
        <w:r w:rsidR="00B727F2">
          <w:rPr>
            <w:noProof/>
            <w:webHidden/>
          </w:rPr>
          <w:fldChar w:fldCharType="end"/>
        </w:r>
      </w:hyperlink>
    </w:p>
    <w:p w14:paraId="6CB6D646" w14:textId="54A3848A" w:rsidR="00B727F2" w:rsidRDefault="00BE45E3">
      <w:pPr>
        <w:pStyle w:val="TableofFigures"/>
        <w:tabs>
          <w:tab w:val="right" w:leader="dot" w:pos="9060"/>
        </w:tabs>
        <w:rPr>
          <w:rFonts w:asciiTheme="minorHAnsi" w:eastAsiaTheme="minorEastAsia" w:hAnsiTheme="minorHAnsi" w:cstheme="minorBidi"/>
          <w:noProof/>
        </w:rPr>
      </w:pPr>
      <w:hyperlink w:anchor="_Toc76729601" w:history="1">
        <w:r w:rsidR="00B727F2" w:rsidRPr="003F0B8D">
          <w:rPr>
            <w:rStyle w:val="Hyperlink"/>
            <w:noProof/>
          </w:rPr>
          <w:t xml:space="preserve">Figure </w:t>
        </w:r>
        <w:r w:rsidR="0097290B">
          <w:rPr>
            <w:rStyle w:val="Hyperlink"/>
            <w:noProof/>
            <w:lang w:val="en-US"/>
          </w:rPr>
          <w:t>1</w:t>
        </w:r>
        <w:r w:rsidR="00B727F2" w:rsidRPr="003F0B8D">
          <w:rPr>
            <w:rStyle w:val="Hyperlink"/>
            <w:noProof/>
          </w:rPr>
          <w:t>.</w:t>
        </w:r>
        <w:r w:rsidR="0097290B">
          <w:rPr>
            <w:rStyle w:val="Hyperlink"/>
            <w:noProof/>
            <w:lang w:val="en-US"/>
          </w:rPr>
          <w:t>2</w:t>
        </w:r>
        <w:r w:rsidR="00B727F2" w:rsidRPr="003F0B8D">
          <w:rPr>
            <w:rStyle w:val="Hyperlink"/>
            <w:noProof/>
            <w:lang w:val="en-US"/>
          </w:rPr>
          <w:t xml:space="preserve"> Hydrometallurgical recycling route for REE recovery applied to this</w:t>
        </w:r>
        <w:r w:rsidR="00B727F2">
          <w:rPr>
            <w:rStyle w:val="Hyperlink"/>
            <w:noProof/>
            <w:lang w:val="en-US"/>
          </w:rPr>
          <w:t xml:space="preserve"> work</w:t>
        </w:r>
        <w:r w:rsidR="00B727F2">
          <w:rPr>
            <w:noProof/>
            <w:webHidden/>
          </w:rPr>
          <w:tab/>
        </w:r>
        <w:r w:rsidR="00B727F2">
          <w:rPr>
            <w:noProof/>
            <w:webHidden/>
          </w:rPr>
          <w:fldChar w:fldCharType="begin"/>
        </w:r>
        <w:r w:rsidR="00B727F2">
          <w:rPr>
            <w:noProof/>
            <w:webHidden/>
          </w:rPr>
          <w:instrText xml:space="preserve"> PAGEREF _Toc76729601 \h </w:instrText>
        </w:r>
        <w:r w:rsidR="00B727F2">
          <w:rPr>
            <w:noProof/>
            <w:webHidden/>
          </w:rPr>
        </w:r>
        <w:r w:rsidR="00B727F2">
          <w:rPr>
            <w:noProof/>
            <w:webHidden/>
          </w:rPr>
          <w:fldChar w:fldCharType="separate"/>
        </w:r>
        <w:r w:rsidR="00DE64FD">
          <w:rPr>
            <w:noProof/>
            <w:webHidden/>
          </w:rPr>
          <w:t>8</w:t>
        </w:r>
        <w:r w:rsidR="00B727F2">
          <w:rPr>
            <w:noProof/>
            <w:webHidden/>
          </w:rPr>
          <w:fldChar w:fldCharType="end"/>
        </w:r>
      </w:hyperlink>
    </w:p>
    <w:p w14:paraId="3D473484" w14:textId="17A55B43" w:rsidR="00B727F2" w:rsidRDefault="00BE45E3">
      <w:pPr>
        <w:pStyle w:val="TableofFigures"/>
        <w:tabs>
          <w:tab w:val="right" w:leader="dot" w:pos="9060"/>
        </w:tabs>
        <w:rPr>
          <w:rFonts w:asciiTheme="minorHAnsi" w:eastAsiaTheme="minorEastAsia" w:hAnsiTheme="minorHAnsi" w:cstheme="minorBidi"/>
          <w:noProof/>
        </w:rPr>
      </w:pPr>
      <w:hyperlink w:anchor="_Toc76729602" w:history="1">
        <w:r w:rsidR="00B727F2" w:rsidRPr="003F0B8D">
          <w:rPr>
            <w:rStyle w:val="Hyperlink"/>
            <w:noProof/>
          </w:rPr>
          <w:t xml:space="preserve">Figure </w:t>
        </w:r>
        <w:r w:rsidR="00322740">
          <w:rPr>
            <w:rStyle w:val="Hyperlink"/>
            <w:noProof/>
            <w:lang w:val="en-US"/>
          </w:rPr>
          <w:t>2</w:t>
        </w:r>
        <w:r w:rsidR="00B727F2" w:rsidRPr="003F0B8D">
          <w:rPr>
            <w:rStyle w:val="Hyperlink"/>
            <w:noProof/>
          </w:rPr>
          <w:t>.1</w:t>
        </w:r>
        <w:r w:rsidR="00B727F2" w:rsidRPr="003F0B8D">
          <w:rPr>
            <w:rStyle w:val="Hyperlink"/>
            <w:noProof/>
            <w:lang w:val="en-US"/>
          </w:rPr>
          <w:t xml:space="preserve"> TRL level on the top vs. MRL on the bottom</w:t>
        </w:r>
        <w:r w:rsidR="00B727F2">
          <w:rPr>
            <w:noProof/>
            <w:webHidden/>
          </w:rPr>
          <w:tab/>
        </w:r>
        <w:r w:rsidR="00B727F2">
          <w:rPr>
            <w:noProof/>
            <w:webHidden/>
          </w:rPr>
          <w:fldChar w:fldCharType="begin"/>
        </w:r>
        <w:r w:rsidR="00B727F2">
          <w:rPr>
            <w:noProof/>
            <w:webHidden/>
          </w:rPr>
          <w:instrText xml:space="preserve"> PAGEREF _Toc76729602 \h </w:instrText>
        </w:r>
        <w:r w:rsidR="00B727F2">
          <w:rPr>
            <w:noProof/>
            <w:webHidden/>
          </w:rPr>
        </w:r>
        <w:r w:rsidR="00B727F2">
          <w:rPr>
            <w:noProof/>
            <w:webHidden/>
          </w:rPr>
          <w:fldChar w:fldCharType="separate"/>
        </w:r>
        <w:r w:rsidR="00DE64FD">
          <w:rPr>
            <w:noProof/>
            <w:webHidden/>
          </w:rPr>
          <w:t>21</w:t>
        </w:r>
        <w:r w:rsidR="00B727F2">
          <w:rPr>
            <w:noProof/>
            <w:webHidden/>
          </w:rPr>
          <w:fldChar w:fldCharType="end"/>
        </w:r>
      </w:hyperlink>
    </w:p>
    <w:p w14:paraId="6FB67F59" w14:textId="62A6F34C" w:rsidR="00B727F2" w:rsidRDefault="00BE45E3">
      <w:pPr>
        <w:pStyle w:val="TableofFigures"/>
        <w:tabs>
          <w:tab w:val="right" w:leader="dot" w:pos="9060"/>
        </w:tabs>
        <w:rPr>
          <w:rFonts w:asciiTheme="minorHAnsi" w:eastAsiaTheme="minorEastAsia" w:hAnsiTheme="minorHAnsi" w:cstheme="minorBidi"/>
          <w:noProof/>
        </w:rPr>
      </w:pPr>
      <w:hyperlink w:anchor="_Toc76729603" w:history="1">
        <w:r w:rsidR="00B727F2" w:rsidRPr="003F0B8D">
          <w:rPr>
            <w:rStyle w:val="Hyperlink"/>
            <w:noProof/>
          </w:rPr>
          <w:t xml:space="preserve">Figure </w:t>
        </w:r>
        <w:r w:rsidR="00E645C3">
          <w:rPr>
            <w:rStyle w:val="Hyperlink"/>
            <w:noProof/>
            <w:lang w:val="en-US"/>
          </w:rPr>
          <w:t>2</w:t>
        </w:r>
        <w:r w:rsidR="00B727F2" w:rsidRPr="003F0B8D">
          <w:rPr>
            <w:rStyle w:val="Hyperlink"/>
            <w:noProof/>
          </w:rPr>
          <w:t>.2</w:t>
        </w:r>
        <w:r w:rsidR="00B727F2" w:rsidRPr="003F0B8D">
          <w:rPr>
            <w:rStyle w:val="Hyperlink"/>
            <w:noProof/>
            <w:lang w:val="en-US"/>
          </w:rPr>
          <w:t xml:space="preserve"> Framework for determining TRL, MRL, data collection, and challenges for ex-ante LCA</w:t>
        </w:r>
        <w:r w:rsidR="00B727F2">
          <w:rPr>
            <w:noProof/>
            <w:webHidden/>
          </w:rPr>
          <w:tab/>
        </w:r>
        <w:r w:rsidR="00B727F2">
          <w:rPr>
            <w:noProof/>
            <w:webHidden/>
          </w:rPr>
          <w:fldChar w:fldCharType="begin"/>
        </w:r>
        <w:r w:rsidR="00B727F2">
          <w:rPr>
            <w:noProof/>
            <w:webHidden/>
          </w:rPr>
          <w:instrText xml:space="preserve"> PAGEREF _Toc76729603 \h </w:instrText>
        </w:r>
        <w:r w:rsidR="00B727F2">
          <w:rPr>
            <w:noProof/>
            <w:webHidden/>
          </w:rPr>
        </w:r>
        <w:r w:rsidR="00B727F2">
          <w:rPr>
            <w:noProof/>
            <w:webHidden/>
          </w:rPr>
          <w:fldChar w:fldCharType="separate"/>
        </w:r>
        <w:r w:rsidR="00DE64FD">
          <w:rPr>
            <w:noProof/>
            <w:webHidden/>
          </w:rPr>
          <w:t>22</w:t>
        </w:r>
        <w:r w:rsidR="00B727F2">
          <w:rPr>
            <w:noProof/>
            <w:webHidden/>
          </w:rPr>
          <w:fldChar w:fldCharType="end"/>
        </w:r>
      </w:hyperlink>
    </w:p>
    <w:p w14:paraId="4740598A" w14:textId="372F8BC3" w:rsidR="00B727F2" w:rsidRDefault="00BE45E3">
      <w:pPr>
        <w:pStyle w:val="TableofFigures"/>
        <w:tabs>
          <w:tab w:val="right" w:leader="dot" w:pos="9060"/>
        </w:tabs>
        <w:rPr>
          <w:rFonts w:asciiTheme="minorHAnsi" w:eastAsiaTheme="minorEastAsia" w:hAnsiTheme="minorHAnsi" w:cstheme="minorBidi"/>
          <w:noProof/>
        </w:rPr>
      </w:pPr>
      <w:hyperlink w:anchor="_Toc76729604" w:history="1">
        <w:r w:rsidR="00B727F2" w:rsidRPr="003F0B8D">
          <w:rPr>
            <w:rStyle w:val="Hyperlink"/>
            <w:noProof/>
          </w:rPr>
          <w:t xml:space="preserve">Figure </w:t>
        </w:r>
        <w:r w:rsidR="00C12FBD">
          <w:rPr>
            <w:rStyle w:val="Hyperlink"/>
            <w:noProof/>
            <w:lang w:val="en-US"/>
          </w:rPr>
          <w:t>2</w:t>
        </w:r>
        <w:r w:rsidR="00B727F2" w:rsidRPr="003F0B8D">
          <w:rPr>
            <w:rStyle w:val="Hyperlink"/>
            <w:noProof/>
          </w:rPr>
          <w:t>.3</w:t>
        </w:r>
        <w:r w:rsidR="00B727F2" w:rsidRPr="003F0B8D">
          <w:rPr>
            <w:rStyle w:val="Hyperlink"/>
            <w:noProof/>
            <w:lang w:val="en-US"/>
          </w:rPr>
          <w:t xml:space="preserve"> Ex-ante LCA</w:t>
        </w:r>
        <w:r w:rsidR="00B727F2">
          <w:rPr>
            <w:rStyle w:val="Hyperlink"/>
            <w:noProof/>
            <w:lang w:val="en-US"/>
          </w:rPr>
          <w:t xml:space="preserve"> </w:t>
        </w:r>
        <w:r w:rsidR="00B727F2" w:rsidRPr="003F0B8D">
          <w:rPr>
            <w:rStyle w:val="Hyperlink"/>
            <w:noProof/>
            <w:lang w:val="en-US"/>
          </w:rPr>
          <w:t>framework for upscaling of emerging technologies</w:t>
        </w:r>
        <w:r w:rsidR="00B727F2">
          <w:rPr>
            <w:noProof/>
            <w:webHidden/>
          </w:rPr>
          <w:tab/>
        </w:r>
        <w:r w:rsidR="00B727F2">
          <w:rPr>
            <w:noProof/>
            <w:webHidden/>
          </w:rPr>
          <w:fldChar w:fldCharType="begin"/>
        </w:r>
        <w:r w:rsidR="00B727F2">
          <w:rPr>
            <w:noProof/>
            <w:webHidden/>
          </w:rPr>
          <w:instrText xml:space="preserve"> PAGEREF _Toc76729604 \h </w:instrText>
        </w:r>
        <w:r w:rsidR="00B727F2">
          <w:rPr>
            <w:noProof/>
            <w:webHidden/>
          </w:rPr>
        </w:r>
        <w:r w:rsidR="00B727F2">
          <w:rPr>
            <w:noProof/>
            <w:webHidden/>
          </w:rPr>
          <w:fldChar w:fldCharType="separate"/>
        </w:r>
        <w:r w:rsidR="00DE64FD">
          <w:rPr>
            <w:noProof/>
            <w:webHidden/>
          </w:rPr>
          <w:t>24</w:t>
        </w:r>
        <w:r w:rsidR="00B727F2">
          <w:rPr>
            <w:noProof/>
            <w:webHidden/>
          </w:rPr>
          <w:fldChar w:fldCharType="end"/>
        </w:r>
      </w:hyperlink>
    </w:p>
    <w:p w14:paraId="0AB7E5AB" w14:textId="769EC768" w:rsidR="00B727F2" w:rsidRDefault="00BE45E3">
      <w:pPr>
        <w:pStyle w:val="TableofFigures"/>
        <w:tabs>
          <w:tab w:val="right" w:leader="dot" w:pos="9060"/>
        </w:tabs>
        <w:rPr>
          <w:rFonts w:asciiTheme="minorHAnsi" w:eastAsiaTheme="minorEastAsia" w:hAnsiTheme="minorHAnsi" w:cstheme="minorBidi"/>
          <w:noProof/>
        </w:rPr>
      </w:pPr>
      <w:hyperlink w:anchor="_Toc76729605" w:history="1">
        <w:r w:rsidR="00B727F2" w:rsidRPr="003F0B8D">
          <w:rPr>
            <w:rStyle w:val="Hyperlink"/>
            <w:noProof/>
          </w:rPr>
          <w:t xml:space="preserve">Figure </w:t>
        </w:r>
        <w:r w:rsidR="00A133A7">
          <w:rPr>
            <w:rStyle w:val="Hyperlink"/>
            <w:noProof/>
            <w:lang w:val="en-US"/>
          </w:rPr>
          <w:t>3</w:t>
        </w:r>
        <w:r w:rsidR="00B727F2" w:rsidRPr="003F0B8D">
          <w:rPr>
            <w:rStyle w:val="Hyperlink"/>
            <w:noProof/>
          </w:rPr>
          <w:t>.1</w:t>
        </w:r>
        <w:r w:rsidR="00B727F2" w:rsidRPr="003F0B8D">
          <w:rPr>
            <w:rStyle w:val="Hyperlink"/>
            <w:noProof/>
            <w:lang w:val="en-US"/>
          </w:rPr>
          <w:t xml:space="preserve"> Hydrometallurgical recycling route for REE recovery</w:t>
        </w:r>
        <w:r w:rsidR="00B727F2">
          <w:rPr>
            <w:noProof/>
            <w:webHidden/>
          </w:rPr>
          <w:tab/>
        </w:r>
        <w:r w:rsidR="00B727F2">
          <w:rPr>
            <w:noProof/>
            <w:webHidden/>
          </w:rPr>
          <w:fldChar w:fldCharType="begin"/>
        </w:r>
        <w:r w:rsidR="00B727F2">
          <w:rPr>
            <w:noProof/>
            <w:webHidden/>
          </w:rPr>
          <w:instrText xml:space="preserve"> PAGEREF _Toc76729605 \h </w:instrText>
        </w:r>
        <w:r w:rsidR="00B727F2">
          <w:rPr>
            <w:noProof/>
            <w:webHidden/>
          </w:rPr>
        </w:r>
        <w:r w:rsidR="00B727F2">
          <w:rPr>
            <w:noProof/>
            <w:webHidden/>
          </w:rPr>
          <w:fldChar w:fldCharType="separate"/>
        </w:r>
        <w:r w:rsidR="00DE64FD">
          <w:rPr>
            <w:noProof/>
            <w:webHidden/>
          </w:rPr>
          <w:t>28</w:t>
        </w:r>
        <w:r w:rsidR="00B727F2">
          <w:rPr>
            <w:noProof/>
            <w:webHidden/>
          </w:rPr>
          <w:fldChar w:fldCharType="end"/>
        </w:r>
      </w:hyperlink>
    </w:p>
    <w:p w14:paraId="4BF27F20" w14:textId="4AE8B82C" w:rsidR="00B727F2" w:rsidRDefault="00BE45E3">
      <w:pPr>
        <w:pStyle w:val="TableofFigures"/>
        <w:tabs>
          <w:tab w:val="right" w:leader="dot" w:pos="9060"/>
        </w:tabs>
        <w:rPr>
          <w:rFonts w:asciiTheme="minorHAnsi" w:eastAsiaTheme="minorEastAsia" w:hAnsiTheme="minorHAnsi" w:cstheme="minorBidi"/>
          <w:noProof/>
        </w:rPr>
      </w:pPr>
      <w:hyperlink w:anchor="_Toc76729606" w:history="1">
        <w:r w:rsidR="00B727F2" w:rsidRPr="003F0B8D">
          <w:rPr>
            <w:rStyle w:val="Hyperlink"/>
            <w:noProof/>
          </w:rPr>
          <w:t xml:space="preserve">Figure </w:t>
        </w:r>
        <w:r w:rsidR="0056003A">
          <w:rPr>
            <w:rStyle w:val="Hyperlink"/>
            <w:noProof/>
            <w:lang w:val="en-US"/>
          </w:rPr>
          <w:t>3</w:t>
        </w:r>
        <w:r w:rsidR="00B727F2" w:rsidRPr="003F0B8D">
          <w:rPr>
            <w:rStyle w:val="Hyperlink"/>
            <w:noProof/>
          </w:rPr>
          <w:t>.2</w:t>
        </w:r>
        <w:r w:rsidR="00B727F2" w:rsidRPr="003F0B8D">
          <w:rPr>
            <w:rStyle w:val="Hyperlink"/>
            <w:noProof/>
            <w:lang w:val="en-US"/>
          </w:rPr>
          <w:t xml:space="preserve"> Plant’s footprint</w:t>
        </w:r>
        <w:r w:rsidR="00B727F2">
          <w:rPr>
            <w:noProof/>
            <w:webHidden/>
          </w:rPr>
          <w:tab/>
        </w:r>
        <w:r w:rsidR="00B727F2">
          <w:rPr>
            <w:noProof/>
            <w:webHidden/>
          </w:rPr>
          <w:fldChar w:fldCharType="begin"/>
        </w:r>
        <w:r w:rsidR="00B727F2">
          <w:rPr>
            <w:noProof/>
            <w:webHidden/>
          </w:rPr>
          <w:instrText xml:space="preserve"> PAGEREF _Toc76729606 \h </w:instrText>
        </w:r>
        <w:r w:rsidR="00B727F2">
          <w:rPr>
            <w:noProof/>
            <w:webHidden/>
          </w:rPr>
        </w:r>
        <w:r w:rsidR="00B727F2">
          <w:rPr>
            <w:noProof/>
            <w:webHidden/>
          </w:rPr>
          <w:fldChar w:fldCharType="separate"/>
        </w:r>
        <w:r w:rsidR="00DE64FD">
          <w:rPr>
            <w:noProof/>
            <w:webHidden/>
          </w:rPr>
          <w:t>30</w:t>
        </w:r>
        <w:r w:rsidR="00B727F2">
          <w:rPr>
            <w:noProof/>
            <w:webHidden/>
          </w:rPr>
          <w:fldChar w:fldCharType="end"/>
        </w:r>
      </w:hyperlink>
    </w:p>
    <w:p w14:paraId="3103DCB2" w14:textId="37CCA552" w:rsidR="00B727F2" w:rsidRDefault="00BE45E3">
      <w:pPr>
        <w:pStyle w:val="TableofFigures"/>
        <w:tabs>
          <w:tab w:val="right" w:leader="dot" w:pos="9060"/>
        </w:tabs>
        <w:rPr>
          <w:rFonts w:asciiTheme="minorHAnsi" w:eastAsiaTheme="minorEastAsia" w:hAnsiTheme="minorHAnsi" w:cstheme="minorBidi"/>
          <w:noProof/>
        </w:rPr>
      </w:pPr>
      <w:hyperlink w:anchor="_Toc76729607" w:history="1">
        <w:r w:rsidR="00B727F2" w:rsidRPr="003F0B8D">
          <w:rPr>
            <w:rStyle w:val="Hyperlink"/>
            <w:noProof/>
          </w:rPr>
          <w:t xml:space="preserve">Figure </w:t>
        </w:r>
        <w:r w:rsidR="00251ABB">
          <w:rPr>
            <w:rStyle w:val="Hyperlink"/>
            <w:noProof/>
            <w:lang w:val="en-US"/>
          </w:rPr>
          <w:t>3.3</w:t>
        </w:r>
        <w:r w:rsidR="00B727F2" w:rsidRPr="003F0B8D">
          <w:rPr>
            <w:rStyle w:val="Hyperlink"/>
            <w:noProof/>
            <w:lang w:val="en-US"/>
          </w:rPr>
          <w:t xml:space="preserve"> Product system’s flowchart</w:t>
        </w:r>
        <w:r w:rsidR="00B727F2">
          <w:rPr>
            <w:noProof/>
            <w:webHidden/>
          </w:rPr>
          <w:tab/>
        </w:r>
        <w:r w:rsidR="00B727F2">
          <w:rPr>
            <w:noProof/>
            <w:webHidden/>
          </w:rPr>
          <w:fldChar w:fldCharType="begin"/>
        </w:r>
        <w:r w:rsidR="00B727F2">
          <w:rPr>
            <w:noProof/>
            <w:webHidden/>
          </w:rPr>
          <w:instrText xml:space="preserve"> PAGEREF _Toc76729607 \h </w:instrText>
        </w:r>
        <w:r w:rsidR="00B727F2">
          <w:rPr>
            <w:noProof/>
            <w:webHidden/>
          </w:rPr>
        </w:r>
        <w:r w:rsidR="00B727F2">
          <w:rPr>
            <w:noProof/>
            <w:webHidden/>
          </w:rPr>
          <w:fldChar w:fldCharType="separate"/>
        </w:r>
        <w:r w:rsidR="00DE64FD">
          <w:rPr>
            <w:noProof/>
            <w:webHidden/>
          </w:rPr>
          <w:t>39</w:t>
        </w:r>
        <w:r w:rsidR="00B727F2">
          <w:rPr>
            <w:noProof/>
            <w:webHidden/>
          </w:rPr>
          <w:fldChar w:fldCharType="end"/>
        </w:r>
      </w:hyperlink>
    </w:p>
    <w:p w14:paraId="7C366BFB" w14:textId="42F7EA78" w:rsidR="00B727F2" w:rsidRDefault="00BE45E3">
      <w:pPr>
        <w:pStyle w:val="TableofFigures"/>
        <w:tabs>
          <w:tab w:val="right" w:leader="dot" w:pos="9060"/>
        </w:tabs>
        <w:rPr>
          <w:rFonts w:asciiTheme="minorHAnsi" w:eastAsiaTheme="minorEastAsia" w:hAnsiTheme="minorHAnsi" w:cstheme="minorBidi"/>
          <w:noProof/>
        </w:rPr>
      </w:pPr>
      <w:hyperlink w:anchor="_Toc76729608" w:history="1">
        <w:r w:rsidR="00B727F2" w:rsidRPr="003F0B8D">
          <w:rPr>
            <w:rStyle w:val="Hyperlink"/>
            <w:noProof/>
          </w:rPr>
          <w:t xml:space="preserve">Figure </w:t>
        </w:r>
        <w:r w:rsidR="0030669C">
          <w:rPr>
            <w:rStyle w:val="Hyperlink"/>
            <w:noProof/>
            <w:lang w:val="en-US"/>
          </w:rPr>
          <w:t>4</w:t>
        </w:r>
        <w:r w:rsidR="00B727F2" w:rsidRPr="003F0B8D">
          <w:rPr>
            <w:rStyle w:val="Hyperlink"/>
            <w:noProof/>
          </w:rPr>
          <w:t>.</w:t>
        </w:r>
        <w:r w:rsidR="00DB195C">
          <w:rPr>
            <w:rStyle w:val="Hyperlink"/>
            <w:noProof/>
            <w:lang w:val="en-US"/>
          </w:rPr>
          <w:t>1</w:t>
        </w:r>
        <w:r w:rsidR="00B727F2" w:rsidRPr="003F0B8D">
          <w:rPr>
            <w:rStyle w:val="Hyperlink"/>
            <w:noProof/>
            <w:lang w:val="en-US"/>
          </w:rPr>
          <w:t xml:space="preserve"> Normalized environmental profile of product system</w:t>
        </w:r>
        <w:r w:rsidR="00B727F2">
          <w:rPr>
            <w:noProof/>
            <w:webHidden/>
          </w:rPr>
          <w:tab/>
        </w:r>
        <w:r w:rsidR="00B727F2">
          <w:rPr>
            <w:noProof/>
            <w:webHidden/>
          </w:rPr>
          <w:fldChar w:fldCharType="begin"/>
        </w:r>
        <w:r w:rsidR="00B727F2">
          <w:rPr>
            <w:noProof/>
            <w:webHidden/>
          </w:rPr>
          <w:instrText xml:space="preserve"> PAGEREF _Toc76729608 \h </w:instrText>
        </w:r>
        <w:r w:rsidR="00B727F2">
          <w:rPr>
            <w:noProof/>
            <w:webHidden/>
          </w:rPr>
        </w:r>
        <w:r w:rsidR="00B727F2">
          <w:rPr>
            <w:noProof/>
            <w:webHidden/>
          </w:rPr>
          <w:fldChar w:fldCharType="separate"/>
        </w:r>
        <w:r w:rsidR="00DE64FD">
          <w:rPr>
            <w:noProof/>
            <w:webHidden/>
          </w:rPr>
          <w:t>4</w:t>
        </w:r>
        <w:r w:rsidR="007F1E0A">
          <w:rPr>
            <w:noProof/>
            <w:webHidden/>
            <w:lang w:val="en-US"/>
          </w:rPr>
          <w:t>7</w:t>
        </w:r>
        <w:r w:rsidR="00B727F2">
          <w:rPr>
            <w:noProof/>
            <w:webHidden/>
          </w:rPr>
          <w:fldChar w:fldCharType="end"/>
        </w:r>
      </w:hyperlink>
    </w:p>
    <w:p w14:paraId="4ED97BC9" w14:textId="3BD04991" w:rsidR="00B727F2" w:rsidRDefault="00BE45E3">
      <w:pPr>
        <w:pStyle w:val="TableofFigures"/>
        <w:tabs>
          <w:tab w:val="right" w:leader="dot" w:pos="9060"/>
        </w:tabs>
        <w:rPr>
          <w:rFonts w:asciiTheme="minorHAnsi" w:eastAsiaTheme="minorEastAsia" w:hAnsiTheme="minorHAnsi" w:cstheme="minorBidi"/>
          <w:noProof/>
        </w:rPr>
      </w:pPr>
      <w:hyperlink w:anchor="_Toc76729609" w:history="1">
        <w:r w:rsidR="00B727F2" w:rsidRPr="003F0B8D">
          <w:rPr>
            <w:rStyle w:val="Hyperlink"/>
            <w:noProof/>
          </w:rPr>
          <w:t xml:space="preserve">Figure </w:t>
        </w:r>
        <w:r w:rsidR="0030669C">
          <w:rPr>
            <w:rStyle w:val="Hyperlink"/>
            <w:noProof/>
            <w:lang w:val="en-US"/>
          </w:rPr>
          <w:t>4</w:t>
        </w:r>
        <w:r w:rsidR="00B727F2" w:rsidRPr="003F0B8D">
          <w:rPr>
            <w:rStyle w:val="Hyperlink"/>
            <w:noProof/>
          </w:rPr>
          <w:t>.</w:t>
        </w:r>
        <w:r w:rsidR="00615C3C">
          <w:rPr>
            <w:rStyle w:val="Hyperlink"/>
            <w:noProof/>
            <w:lang w:val="en-US"/>
          </w:rPr>
          <w:t>2</w:t>
        </w:r>
        <w:r w:rsidR="00B727F2" w:rsidRPr="003F0B8D">
          <w:rPr>
            <w:rStyle w:val="Hyperlink"/>
            <w:noProof/>
            <w:lang w:val="en-US"/>
          </w:rPr>
          <w:t xml:space="preserve"> Contribution analysis of foreground processes</w:t>
        </w:r>
        <w:r w:rsidR="00B727F2">
          <w:rPr>
            <w:noProof/>
            <w:webHidden/>
          </w:rPr>
          <w:tab/>
        </w:r>
        <w:r w:rsidR="00B727F2">
          <w:rPr>
            <w:noProof/>
            <w:webHidden/>
          </w:rPr>
          <w:fldChar w:fldCharType="begin"/>
        </w:r>
        <w:r w:rsidR="00B727F2">
          <w:rPr>
            <w:noProof/>
            <w:webHidden/>
          </w:rPr>
          <w:instrText xml:space="preserve"> PAGEREF _Toc76729609 \h </w:instrText>
        </w:r>
        <w:r w:rsidR="00B727F2">
          <w:rPr>
            <w:noProof/>
            <w:webHidden/>
          </w:rPr>
        </w:r>
        <w:r w:rsidR="00B727F2">
          <w:rPr>
            <w:noProof/>
            <w:webHidden/>
          </w:rPr>
          <w:fldChar w:fldCharType="separate"/>
        </w:r>
        <w:r w:rsidR="00DE64FD">
          <w:rPr>
            <w:noProof/>
            <w:webHidden/>
          </w:rPr>
          <w:t>4</w:t>
        </w:r>
        <w:r w:rsidR="007F1E0A">
          <w:rPr>
            <w:noProof/>
            <w:webHidden/>
            <w:lang w:val="en-US"/>
          </w:rPr>
          <w:t>9</w:t>
        </w:r>
        <w:r w:rsidR="00B727F2">
          <w:rPr>
            <w:noProof/>
            <w:webHidden/>
          </w:rPr>
          <w:fldChar w:fldCharType="end"/>
        </w:r>
      </w:hyperlink>
    </w:p>
    <w:p w14:paraId="086EB4C0" w14:textId="2B7F2ED1" w:rsidR="00B727F2" w:rsidRDefault="00BE45E3">
      <w:pPr>
        <w:pStyle w:val="TableofFigures"/>
        <w:tabs>
          <w:tab w:val="right" w:leader="dot" w:pos="9060"/>
        </w:tabs>
        <w:rPr>
          <w:rFonts w:asciiTheme="minorHAnsi" w:eastAsiaTheme="minorEastAsia" w:hAnsiTheme="minorHAnsi" w:cstheme="minorBidi"/>
          <w:noProof/>
        </w:rPr>
      </w:pPr>
      <w:hyperlink w:anchor="_Toc76729610" w:history="1">
        <w:r w:rsidR="00B727F2" w:rsidRPr="003F0B8D">
          <w:rPr>
            <w:rStyle w:val="Hyperlink"/>
            <w:noProof/>
          </w:rPr>
          <w:t xml:space="preserve">Figure </w:t>
        </w:r>
        <w:r w:rsidR="00334674">
          <w:rPr>
            <w:rStyle w:val="Hyperlink"/>
            <w:noProof/>
            <w:lang w:val="en-US"/>
          </w:rPr>
          <w:t>4</w:t>
        </w:r>
        <w:r w:rsidR="00B727F2" w:rsidRPr="003F0B8D">
          <w:rPr>
            <w:rStyle w:val="Hyperlink"/>
            <w:noProof/>
          </w:rPr>
          <w:t>.</w:t>
        </w:r>
        <w:r w:rsidR="0097223F">
          <w:rPr>
            <w:rStyle w:val="Hyperlink"/>
            <w:noProof/>
            <w:lang w:val="en-US"/>
          </w:rPr>
          <w:t>3</w:t>
        </w:r>
        <w:r w:rsidR="00B727F2" w:rsidRPr="003F0B8D">
          <w:rPr>
            <w:rStyle w:val="Hyperlink"/>
            <w:noProof/>
            <w:lang w:val="en-US"/>
          </w:rPr>
          <w:t xml:space="preserve"> Contribution analysis of RE recovery unit process.</w:t>
        </w:r>
        <w:r w:rsidR="00B727F2">
          <w:rPr>
            <w:noProof/>
            <w:webHidden/>
          </w:rPr>
          <w:tab/>
        </w:r>
        <w:r w:rsidR="007F1E0A">
          <w:rPr>
            <w:noProof/>
            <w:webHidden/>
            <w:lang w:val="en-US"/>
          </w:rPr>
          <w:t>50</w:t>
        </w:r>
      </w:hyperlink>
    </w:p>
    <w:p w14:paraId="1A18DE5A" w14:textId="66DEC892" w:rsidR="00B727F2" w:rsidRDefault="00BE45E3">
      <w:pPr>
        <w:pStyle w:val="TableofFigures"/>
        <w:tabs>
          <w:tab w:val="right" w:leader="dot" w:pos="9060"/>
        </w:tabs>
        <w:rPr>
          <w:rFonts w:asciiTheme="minorHAnsi" w:eastAsiaTheme="minorEastAsia" w:hAnsiTheme="minorHAnsi" w:cstheme="minorBidi"/>
          <w:noProof/>
        </w:rPr>
      </w:pPr>
      <w:hyperlink w:anchor="_Toc76729611" w:history="1">
        <w:r w:rsidR="00B727F2" w:rsidRPr="003F0B8D">
          <w:rPr>
            <w:rStyle w:val="Hyperlink"/>
            <w:noProof/>
          </w:rPr>
          <w:t xml:space="preserve">Figure </w:t>
        </w:r>
        <w:r w:rsidR="00334674">
          <w:rPr>
            <w:rStyle w:val="Hyperlink"/>
            <w:noProof/>
            <w:lang w:val="en-US"/>
          </w:rPr>
          <w:t>4</w:t>
        </w:r>
        <w:r w:rsidR="00B727F2" w:rsidRPr="003F0B8D">
          <w:rPr>
            <w:rStyle w:val="Hyperlink"/>
            <w:noProof/>
          </w:rPr>
          <w:t>.</w:t>
        </w:r>
        <w:r w:rsidR="008C74C5">
          <w:rPr>
            <w:rStyle w:val="Hyperlink"/>
            <w:noProof/>
            <w:lang w:val="en-US"/>
          </w:rPr>
          <w:t>4</w:t>
        </w:r>
        <w:r w:rsidR="00B727F2" w:rsidRPr="003F0B8D">
          <w:rPr>
            <w:rStyle w:val="Hyperlink"/>
            <w:noProof/>
            <w:lang w:val="en-US"/>
          </w:rPr>
          <w:t xml:space="preserve"> Contribution analysis of Leaching unit process</w:t>
        </w:r>
        <w:r w:rsidR="00B727F2">
          <w:rPr>
            <w:noProof/>
            <w:webHidden/>
          </w:rPr>
          <w:tab/>
        </w:r>
        <w:r w:rsidR="00B727F2">
          <w:rPr>
            <w:noProof/>
            <w:webHidden/>
          </w:rPr>
          <w:fldChar w:fldCharType="begin"/>
        </w:r>
        <w:r w:rsidR="00B727F2">
          <w:rPr>
            <w:noProof/>
            <w:webHidden/>
          </w:rPr>
          <w:instrText xml:space="preserve"> PAGEREF _Toc76729611 \h </w:instrText>
        </w:r>
        <w:r w:rsidR="00B727F2">
          <w:rPr>
            <w:noProof/>
            <w:webHidden/>
          </w:rPr>
        </w:r>
        <w:r w:rsidR="00B727F2">
          <w:rPr>
            <w:noProof/>
            <w:webHidden/>
          </w:rPr>
          <w:fldChar w:fldCharType="separate"/>
        </w:r>
        <w:r w:rsidR="00DE64FD">
          <w:rPr>
            <w:noProof/>
            <w:webHidden/>
          </w:rPr>
          <w:t>5</w:t>
        </w:r>
        <w:r w:rsidR="007F1E0A">
          <w:rPr>
            <w:noProof/>
            <w:webHidden/>
            <w:lang w:val="en-US"/>
          </w:rPr>
          <w:t>1</w:t>
        </w:r>
        <w:r w:rsidR="00B727F2">
          <w:rPr>
            <w:noProof/>
            <w:webHidden/>
          </w:rPr>
          <w:fldChar w:fldCharType="end"/>
        </w:r>
      </w:hyperlink>
    </w:p>
    <w:p w14:paraId="4716E9CD" w14:textId="18569CBF" w:rsidR="00B727F2" w:rsidRDefault="00BE45E3">
      <w:pPr>
        <w:pStyle w:val="TableofFigures"/>
        <w:tabs>
          <w:tab w:val="right" w:leader="dot" w:pos="9060"/>
        </w:tabs>
        <w:rPr>
          <w:rStyle w:val="Hyperlink"/>
          <w:noProof/>
        </w:rPr>
      </w:pPr>
      <w:hyperlink w:anchor="_Toc76729612" w:history="1">
        <w:r w:rsidR="00B727F2" w:rsidRPr="003F0B8D">
          <w:rPr>
            <w:rStyle w:val="Hyperlink"/>
            <w:noProof/>
          </w:rPr>
          <w:t xml:space="preserve">Figure </w:t>
        </w:r>
        <w:r w:rsidR="00917D2B">
          <w:rPr>
            <w:rStyle w:val="Hyperlink"/>
            <w:noProof/>
            <w:lang w:val="en-US"/>
          </w:rPr>
          <w:t>4</w:t>
        </w:r>
        <w:r w:rsidR="00B727F2" w:rsidRPr="003F0B8D">
          <w:rPr>
            <w:rStyle w:val="Hyperlink"/>
            <w:noProof/>
          </w:rPr>
          <w:t>.5</w:t>
        </w:r>
        <w:r w:rsidR="00B727F2" w:rsidRPr="003F0B8D">
          <w:rPr>
            <w:rStyle w:val="Hyperlink"/>
            <w:noProof/>
            <w:lang w:val="en-US"/>
          </w:rPr>
          <w:t xml:space="preserve"> Contribution analysis of Fragmentation unit process</w:t>
        </w:r>
        <w:r w:rsidR="00B727F2">
          <w:rPr>
            <w:noProof/>
            <w:webHidden/>
          </w:rPr>
          <w:tab/>
        </w:r>
        <w:r w:rsidR="00B727F2">
          <w:rPr>
            <w:noProof/>
            <w:webHidden/>
          </w:rPr>
          <w:fldChar w:fldCharType="begin"/>
        </w:r>
        <w:r w:rsidR="00B727F2">
          <w:rPr>
            <w:noProof/>
            <w:webHidden/>
          </w:rPr>
          <w:instrText xml:space="preserve"> PAGEREF _Toc76729612 \h </w:instrText>
        </w:r>
        <w:r w:rsidR="00B727F2">
          <w:rPr>
            <w:noProof/>
            <w:webHidden/>
          </w:rPr>
        </w:r>
        <w:r w:rsidR="00B727F2">
          <w:rPr>
            <w:noProof/>
            <w:webHidden/>
          </w:rPr>
          <w:fldChar w:fldCharType="separate"/>
        </w:r>
        <w:r w:rsidR="00DE64FD">
          <w:rPr>
            <w:noProof/>
            <w:webHidden/>
          </w:rPr>
          <w:t>5</w:t>
        </w:r>
        <w:r w:rsidR="007F1E0A">
          <w:rPr>
            <w:noProof/>
            <w:webHidden/>
            <w:lang w:val="en-US"/>
          </w:rPr>
          <w:t>3</w:t>
        </w:r>
        <w:r w:rsidR="00B727F2">
          <w:rPr>
            <w:noProof/>
            <w:webHidden/>
          </w:rPr>
          <w:fldChar w:fldCharType="end"/>
        </w:r>
      </w:hyperlink>
    </w:p>
    <w:p w14:paraId="4AD4ED4C" w14:textId="235346D5" w:rsidR="00F25E16" w:rsidRPr="00A11898" w:rsidRDefault="00BE45E3" w:rsidP="003611E7">
      <w:pPr>
        <w:pStyle w:val="TableofFigures"/>
        <w:tabs>
          <w:tab w:val="right" w:leader="dot" w:pos="9060"/>
        </w:tabs>
        <w:rPr>
          <w:noProof/>
          <w:lang w:val="en-US"/>
        </w:rPr>
      </w:pPr>
      <w:hyperlink w:anchor="_Toc76729612" w:history="1">
        <w:r w:rsidR="00F25E16" w:rsidRPr="00A11898">
          <w:rPr>
            <w:rStyle w:val="Hyperlink"/>
            <w:noProof/>
          </w:rPr>
          <w:t xml:space="preserve">Figure </w:t>
        </w:r>
        <w:r w:rsidR="00917D2B" w:rsidRPr="00A11898">
          <w:rPr>
            <w:rStyle w:val="Hyperlink"/>
            <w:noProof/>
            <w:lang w:val="en-US"/>
          </w:rPr>
          <w:t>4</w:t>
        </w:r>
        <w:r w:rsidR="00F25E16" w:rsidRPr="00A11898">
          <w:rPr>
            <w:rStyle w:val="Hyperlink"/>
            <w:noProof/>
          </w:rPr>
          <w:t>.</w:t>
        </w:r>
        <w:r w:rsidR="00F25E16" w:rsidRPr="00A11898">
          <w:rPr>
            <w:rStyle w:val="Hyperlink"/>
            <w:noProof/>
            <w:lang w:val="en-US"/>
          </w:rPr>
          <w:t>6 Sensitivity analysis, comparing environmental performance of sensitivity cases vs. original system</w:t>
        </w:r>
        <w:r w:rsidR="00F25E16" w:rsidRPr="00A11898">
          <w:rPr>
            <w:noProof/>
            <w:webHidden/>
          </w:rPr>
          <w:tab/>
        </w:r>
        <w:r w:rsidR="00F25E16" w:rsidRPr="00A11898">
          <w:rPr>
            <w:noProof/>
            <w:webHidden/>
            <w:lang w:val="en-US"/>
          </w:rPr>
          <w:t>5</w:t>
        </w:r>
        <w:r w:rsidR="0046021B">
          <w:rPr>
            <w:noProof/>
            <w:webHidden/>
            <w:lang w:val="en-US"/>
          </w:rPr>
          <w:t>5</w:t>
        </w:r>
      </w:hyperlink>
    </w:p>
    <w:p w14:paraId="736ECD56" w14:textId="5A8EB926" w:rsidR="003F1009" w:rsidRPr="00A11898" w:rsidRDefault="00BE45E3" w:rsidP="003F1009">
      <w:pPr>
        <w:pStyle w:val="TableofFigures"/>
        <w:tabs>
          <w:tab w:val="right" w:leader="dot" w:pos="9060"/>
        </w:tabs>
        <w:rPr>
          <w:rFonts w:asciiTheme="minorHAnsi" w:eastAsiaTheme="minorEastAsia" w:hAnsiTheme="minorHAnsi" w:cstheme="minorBidi"/>
          <w:noProof/>
        </w:rPr>
      </w:pPr>
      <w:hyperlink w:anchor="_Toc76729612" w:history="1">
        <w:r w:rsidR="003F1009" w:rsidRPr="00A11898">
          <w:rPr>
            <w:rStyle w:val="Hyperlink"/>
            <w:noProof/>
          </w:rPr>
          <w:t xml:space="preserve">Figure </w:t>
        </w:r>
        <w:r w:rsidR="00917D2B" w:rsidRPr="00A11898">
          <w:rPr>
            <w:rStyle w:val="Hyperlink"/>
            <w:noProof/>
            <w:lang w:val="en-US"/>
          </w:rPr>
          <w:t>4</w:t>
        </w:r>
        <w:r w:rsidR="003F1009" w:rsidRPr="00A11898">
          <w:rPr>
            <w:rStyle w:val="Hyperlink"/>
            <w:noProof/>
          </w:rPr>
          <w:t>.</w:t>
        </w:r>
        <w:r w:rsidR="003F1009" w:rsidRPr="00A11898">
          <w:rPr>
            <w:rStyle w:val="Hyperlink"/>
            <w:noProof/>
            <w:lang w:val="en-US"/>
          </w:rPr>
          <w:t>7 Sensitivity analysis, alternative price approaches</w:t>
        </w:r>
        <w:r w:rsidR="003F1009" w:rsidRPr="00A11898">
          <w:rPr>
            <w:noProof/>
            <w:webHidden/>
          </w:rPr>
          <w:tab/>
        </w:r>
        <w:r w:rsidR="003F1009" w:rsidRPr="00A11898">
          <w:rPr>
            <w:noProof/>
            <w:webHidden/>
            <w:lang w:val="en-US"/>
          </w:rPr>
          <w:t>5</w:t>
        </w:r>
        <w:r w:rsidR="0046021B">
          <w:rPr>
            <w:noProof/>
            <w:webHidden/>
            <w:lang w:val="en-US"/>
          </w:rPr>
          <w:t>6</w:t>
        </w:r>
      </w:hyperlink>
    </w:p>
    <w:p w14:paraId="551445C6" w14:textId="77A38E6D" w:rsidR="00B727F2" w:rsidRPr="00A11898" w:rsidRDefault="00BE45E3">
      <w:pPr>
        <w:pStyle w:val="TableofFigures"/>
        <w:tabs>
          <w:tab w:val="right" w:leader="dot" w:pos="9060"/>
        </w:tabs>
        <w:rPr>
          <w:rStyle w:val="Hyperlink"/>
          <w:noProof/>
        </w:rPr>
      </w:pPr>
      <w:hyperlink w:anchor="_Toc76729613" w:history="1">
        <w:r w:rsidR="00B727F2" w:rsidRPr="00A11898">
          <w:rPr>
            <w:rStyle w:val="Hyperlink"/>
            <w:noProof/>
          </w:rPr>
          <w:t>Figure</w:t>
        </w:r>
        <w:r w:rsidR="00917D2B" w:rsidRPr="00A11898">
          <w:rPr>
            <w:rStyle w:val="Hyperlink"/>
            <w:noProof/>
            <w:lang w:val="en-US"/>
          </w:rPr>
          <w:t xml:space="preserve"> 4</w:t>
        </w:r>
        <w:r w:rsidR="00B727F2" w:rsidRPr="00A11898">
          <w:rPr>
            <w:rStyle w:val="Hyperlink"/>
            <w:noProof/>
          </w:rPr>
          <w:t>.</w:t>
        </w:r>
        <w:r w:rsidR="003F1009" w:rsidRPr="00A11898">
          <w:rPr>
            <w:rStyle w:val="Hyperlink"/>
            <w:noProof/>
            <w:lang w:val="en-US"/>
          </w:rPr>
          <w:t>8</w:t>
        </w:r>
        <w:r w:rsidR="00B727F2" w:rsidRPr="00A11898">
          <w:rPr>
            <w:rStyle w:val="Hyperlink"/>
            <w:noProof/>
            <w:lang w:val="en-US"/>
          </w:rPr>
          <w:t xml:space="preserve"> Comparing environmental performance, per impact category, of primary production of REO</w:t>
        </w:r>
        <w:r w:rsidR="00E9330F" w:rsidRPr="00A11898">
          <w:rPr>
            <w:rStyle w:val="Hyperlink"/>
            <w:noProof/>
            <w:lang w:val="en-US"/>
          </w:rPr>
          <w:t xml:space="preserve"> </w:t>
        </w:r>
        <w:r w:rsidR="00B727F2" w:rsidRPr="00A11898">
          <w:rPr>
            <w:rStyle w:val="Hyperlink"/>
            <w:noProof/>
            <w:lang w:val="en-US"/>
          </w:rPr>
          <w:t>vs. recovery of REO from EOL HDDs NdFeB magnet</w:t>
        </w:r>
        <w:r w:rsidR="00A066DF" w:rsidRPr="00A11898">
          <w:rPr>
            <w:rStyle w:val="Hyperlink"/>
            <w:noProof/>
            <w:lang w:val="en-US"/>
          </w:rPr>
          <w:t>s</w:t>
        </w:r>
        <w:r w:rsidR="00B727F2" w:rsidRPr="00A11898">
          <w:rPr>
            <w:noProof/>
            <w:webHidden/>
          </w:rPr>
          <w:tab/>
        </w:r>
        <w:r w:rsidR="00B727F2" w:rsidRPr="00A11898">
          <w:rPr>
            <w:noProof/>
            <w:webHidden/>
          </w:rPr>
          <w:fldChar w:fldCharType="begin"/>
        </w:r>
        <w:r w:rsidR="00B727F2" w:rsidRPr="00A11898">
          <w:rPr>
            <w:noProof/>
            <w:webHidden/>
          </w:rPr>
          <w:instrText xml:space="preserve"> PAGEREF _Toc76729613 \h </w:instrText>
        </w:r>
        <w:r w:rsidR="00B727F2" w:rsidRPr="00A11898">
          <w:rPr>
            <w:noProof/>
            <w:webHidden/>
          </w:rPr>
        </w:r>
        <w:r w:rsidR="00B727F2" w:rsidRPr="00A11898">
          <w:rPr>
            <w:noProof/>
            <w:webHidden/>
          </w:rPr>
          <w:fldChar w:fldCharType="separate"/>
        </w:r>
        <w:r w:rsidR="00DE64FD" w:rsidRPr="00A11898">
          <w:rPr>
            <w:noProof/>
            <w:webHidden/>
          </w:rPr>
          <w:t>5</w:t>
        </w:r>
        <w:r w:rsidR="00A3613F">
          <w:rPr>
            <w:noProof/>
            <w:webHidden/>
            <w:lang w:val="en-US"/>
          </w:rPr>
          <w:t>8</w:t>
        </w:r>
        <w:r w:rsidR="00B727F2" w:rsidRPr="00A11898">
          <w:rPr>
            <w:noProof/>
            <w:webHidden/>
          </w:rPr>
          <w:fldChar w:fldCharType="end"/>
        </w:r>
      </w:hyperlink>
    </w:p>
    <w:p w14:paraId="324E4D11" w14:textId="6F9B15D6" w:rsidR="00CA7549" w:rsidRDefault="00BE45E3" w:rsidP="00CA7549">
      <w:pPr>
        <w:pStyle w:val="TableofFigures"/>
        <w:tabs>
          <w:tab w:val="right" w:leader="dot" w:pos="9060"/>
        </w:tabs>
        <w:rPr>
          <w:rFonts w:asciiTheme="minorHAnsi" w:eastAsiaTheme="minorEastAsia" w:hAnsiTheme="minorHAnsi" w:cstheme="minorBidi"/>
          <w:noProof/>
        </w:rPr>
      </w:pPr>
      <w:hyperlink w:anchor="_Toc76729613" w:history="1">
        <w:r w:rsidR="00CA7549" w:rsidRPr="00A11898">
          <w:rPr>
            <w:rStyle w:val="Hyperlink"/>
            <w:noProof/>
          </w:rPr>
          <w:t xml:space="preserve">Figure </w:t>
        </w:r>
        <w:r w:rsidR="00122D68" w:rsidRPr="00A11898">
          <w:rPr>
            <w:rStyle w:val="Hyperlink"/>
            <w:noProof/>
            <w:lang w:val="en-US"/>
          </w:rPr>
          <w:t>4</w:t>
        </w:r>
        <w:r w:rsidR="00CA7549" w:rsidRPr="00A11898">
          <w:rPr>
            <w:rStyle w:val="Hyperlink"/>
            <w:noProof/>
          </w:rPr>
          <w:t>.</w:t>
        </w:r>
        <w:r w:rsidR="003F1009" w:rsidRPr="00A11898">
          <w:rPr>
            <w:rStyle w:val="Hyperlink"/>
            <w:noProof/>
            <w:lang w:val="en-US"/>
          </w:rPr>
          <w:t>9</w:t>
        </w:r>
        <w:r w:rsidR="00CA7549" w:rsidRPr="00A11898">
          <w:rPr>
            <w:rStyle w:val="Hyperlink"/>
            <w:noProof/>
            <w:lang w:val="en-US"/>
          </w:rPr>
          <w:t xml:space="preserve"> Incumbent technology vs. emerging technology original system and its sensitivity variations</w:t>
        </w:r>
        <w:r w:rsidR="00CA7549" w:rsidRPr="00A11898">
          <w:rPr>
            <w:noProof/>
            <w:webHidden/>
          </w:rPr>
          <w:tab/>
        </w:r>
        <w:r w:rsidR="00CA7549" w:rsidRPr="00A11898">
          <w:rPr>
            <w:noProof/>
            <w:webHidden/>
            <w:lang w:val="en-US"/>
          </w:rPr>
          <w:t>5</w:t>
        </w:r>
        <w:r w:rsidR="00A3613F">
          <w:rPr>
            <w:noProof/>
            <w:webHidden/>
            <w:lang w:val="en-US"/>
          </w:rPr>
          <w:t>9</w:t>
        </w:r>
      </w:hyperlink>
    </w:p>
    <w:p w14:paraId="3FAB865C" w14:textId="77777777" w:rsidR="00CA7549" w:rsidRPr="00CA7549" w:rsidRDefault="00CA7549" w:rsidP="00CA7549">
      <w:pPr>
        <w:rPr>
          <w:rFonts w:eastAsiaTheme="minorEastAsia"/>
          <w:noProof/>
        </w:rPr>
      </w:pPr>
    </w:p>
    <w:p w14:paraId="08D5224C" w14:textId="4FCDD224" w:rsidR="00D92478" w:rsidRDefault="00F662D0">
      <w:pPr>
        <w:spacing w:before="0" w:after="0" w:line="240" w:lineRule="auto"/>
        <w:contextualSpacing w:val="0"/>
        <w:jc w:val="left"/>
        <w:rPr>
          <w:lang w:val="en-US"/>
        </w:rPr>
      </w:pPr>
      <w:r>
        <w:rPr>
          <w:lang w:val="en-US"/>
        </w:rPr>
        <w:fldChar w:fldCharType="end"/>
      </w:r>
      <w:r>
        <w:rPr>
          <w:lang w:val="en-US"/>
        </w:rPr>
        <w:br w:type="page"/>
      </w:r>
    </w:p>
    <w:p w14:paraId="75042FFC" w14:textId="76289853" w:rsidR="00910907" w:rsidRDefault="00910907" w:rsidP="00F31D03">
      <w:pPr>
        <w:pStyle w:val="Title"/>
        <w:rPr>
          <w:lang w:val="en-US"/>
        </w:rPr>
      </w:pPr>
      <w:bookmarkStart w:id="1" w:name="_Toc76752254"/>
      <w:r>
        <w:rPr>
          <w:lang w:val="en-US"/>
        </w:rPr>
        <w:lastRenderedPageBreak/>
        <w:t>List of tables</w:t>
      </w:r>
      <w:bookmarkEnd w:id="1"/>
    </w:p>
    <w:p w14:paraId="626E20AC" w14:textId="77777777" w:rsidR="00F31D03" w:rsidRPr="00F31D03" w:rsidRDefault="00F31D03" w:rsidP="00F31D03">
      <w:pPr>
        <w:rPr>
          <w:lang w:val="en-US"/>
        </w:rPr>
      </w:pPr>
    </w:p>
    <w:p w14:paraId="32626091" w14:textId="5773F979" w:rsidR="00995454" w:rsidRDefault="00796E10">
      <w:pPr>
        <w:pStyle w:val="TableofFigures"/>
        <w:tabs>
          <w:tab w:val="right" w:leader="dot" w:pos="9060"/>
        </w:tabs>
        <w:rPr>
          <w:rFonts w:asciiTheme="minorHAnsi" w:eastAsiaTheme="minorEastAsia" w:hAnsiTheme="minorHAnsi" w:cstheme="minorBidi"/>
          <w:noProof/>
        </w:rPr>
      </w:pPr>
      <w:r>
        <w:rPr>
          <w:lang w:val="en-US"/>
        </w:rPr>
        <w:fldChar w:fldCharType="begin"/>
      </w:r>
      <w:r>
        <w:rPr>
          <w:lang w:val="en-US"/>
        </w:rPr>
        <w:instrText xml:space="preserve"> TOC \h \z \c "Table" </w:instrText>
      </w:r>
      <w:r>
        <w:rPr>
          <w:lang w:val="en-US"/>
        </w:rPr>
        <w:fldChar w:fldCharType="separate"/>
      </w:r>
      <w:hyperlink w:anchor="_Toc76730030" w:history="1">
        <w:r w:rsidR="00995454" w:rsidRPr="001D4A09">
          <w:rPr>
            <w:rStyle w:val="Hyperlink"/>
            <w:noProof/>
          </w:rPr>
          <w:t xml:space="preserve">Table </w:t>
        </w:r>
        <w:r w:rsidR="004A51BD">
          <w:rPr>
            <w:rStyle w:val="Hyperlink"/>
            <w:noProof/>
            <w:lang w:val="en-US"/>
          </w:rPr>
          <w:t>2</w:t>
        </w:r>
        <w:r w:rsidR="00995454" w:rsidRPr="001D4A09">
          <w:rPr>
            <w:rStyle w:val="Hyperlink"/>
            <w:noProof/>
          </w:rPr>
          <w:t>.1</w:t>
        </w:r>
        <w:r w:rsidR="00995454" w:rsidRPr="001D4A09">
          <w:rPr>
            <w:rStyle w:val="Hyperlink"/>
            <w:noProof/>
            <w:lang w:val="en-US"/>
          </w:rPr>
          <w:t xml:space="preserve"> Advantages and disadvantages </w:t>
        </w:r>
        <w:r w:rsidR="00995454">
          <w:rPr>
            <w:rStyle w:val="Hyperlink"/>
            <w:noProof/>
            <w:lang w:val="en-US"/>
          </w:rPr>
          <w:t>of</w:t>
        </w:r>
        <w:r w:rsidR="00995454" w:rsidRPr="001D4A09">
          <w:rPr>
            <w:rStyle w:val="Hyperlink"/>
            <w:noProof/>
            <w:lang w:val="en-US"/>
          </w:rPr>
          <w:t xml:space="preserve"> processes for recovery of NdFeB magnet</w:t>
        </w:r>
        <w:r w:rsidR="00995454">
          <w:rPr>
            <w:noProof/>
            <w:webHidden/>
          </w:rPr>
          <w:tab/>
        </w:r>
        <w:r w:rsidR="00995454">
          <w:rPr>
            <w:noProof/>
            <w:webHidden/>
          </w:rPr>
          <w:fldChar w:fldCharType="begin"/>
        </w:r>
        <w:r w:rsidR="00995454">
          <w:rPr>
            <w:noProof/>
            <w:webHidden/>
          </w:rPr>
          <w:instrText xml:space="preserve"> PAGEREF _Toc76730030 \h </w:instrText>
        </w:r>
        <w:r w:rsidR="00995454">
          <w:rPr>
            <w:noProof/>
            <w:webHidden/>
          </w:rPr>
        </w:r>
        <w:r w:rsidR="00995454">
          <w:rPr>
            <w:noProof/>
            <w:webHidden/>
          </w:rPr>
          <w:fldChar w:fldCharType="separate"/>
        </w:r>
        <w:r w:rsidR="00D3260B">
          <w:rPr>
            <w:noProof/>
            <w:webHidden/>
          </w:rPr>
          <w:t>12</w:t>
        </w:r>
        <w:r w:rsidR="00995454">
          <w:rPr>
            <w:noProof/>
            <w:webHidden/>
          </w:rPr>
          <w:fldChar w:fldCharType="end"/>
        </w:r>
      </w:hyperlink>
    </w:p>
    <w:p w14:paraId="031F605D" w14:textId="7C7BFB58" w:rsidR="00995454" w:rsidRDefault="00BE45E3">
      <w:pPr>
        <w:pStyle w:val="TableofFigures"/>
        <w:tabs>
          <w:tab w:val="right" w:leader="dot" w:pos="9060"/>
        </w:tabs>
        <w:rPr>
          <w:rFonts w:asciiTheme="minorHAnsi" w:eastAsiaTheme="minorEastAsia" w:hAnsiTheme="minorHAnsi" w:cstheme="minorBidi"/>
          <w:noProof/>
        </w:rPr>
      </w:pPr>
      <w:hyperlink w:anchor="_Toc76730031" w:history="1">
        <w:r w:rsidR="00995454" w:rsidRPr="001D4A09">
          <w:rPr>
            <w:rStyle w:val="Hyperlink"/>
            <w:noProof/>
          </w:rPr>
          <w:t xml:space="preserve">Table </w:t>
        </w:r>
        <w:r w:rsidR="00CD2665">
          <w:rPr>
            <w:rStyle w:val="Hyperlink"/>
            <w:noProof/>
            <w:lang w:val="en-US"/>
          </w:rPr>
          <w:t>2</w:t>
        </w:r>
        <w:r w:rsidR="00995454" w:rsidRPr="001D4A09">
          <w:rPr>
            <w:rStyle w:val="Hyperlink"/>
            <w:noProof/>
          </w:rPr>
          <w:t>.2</w:t>
        </w:r>
        <w:r w:rsidR="00995454" w:rsidRPr="001D4A09">
          <w:rPr>
            <w:rStyle w:val="Hyperlink"/>
            <w:noProof/>
            <w:lang w:val="en-US"/>
          </w:rPr>
          <w:t xml:space="preserve"> Comparison between pyrometallurgy and hydrometallurgy</w:t>
        </w:r>
        <w:r w:rsidR="00995454">
          <w:rPr>
            <w:noProof/>
            <w:webHidden/>
          </w:rPr>
          <w:tab/>
        </w:r>
        <w:r w:rsidR="00995454">
          <w:rPr>
            <w:noProof/>
            <w:webHidden/>
          </w:rPr>
          <w:fldChar w:fldCharType="begin"/>
        </w:r>
        <w:r w:rsidR="00995454">
          <w:rPr>
            <w:noProof/>
            <w:webHidden/>
          </w:rPr>
          <w:instrText xml:space="preserve"> PAGEREF _Toc76730031 \h </w:instrText>
        </w:r>
        <w:r w:rsidR="00995454">
          <w:rPr>
            <w:noProof/>
            <w:webHidden/>
          </w:rPr>
        </w:r>
        <w:r w:rsidR="00995454">
          <w:rPr>
            <w:noProof/>
            <w:webHidden/>
          </w:rPr>
          <w:fldChar w:fldCharType="separate"/>
        </w:r>
        <w:r w:rsidR="00D3260B">
          <w:rPr>
            <w:noProof/>
            <w:webHidden/>
          </w:rPr>
          <w:t>15</w:t>
        </w:r>
        <w:r w:rsidR="00995454">
          <w:rPr>
            <w:noProof/>
            <w:webHidden/>
          </w:rPr>
          <w:fldChar w:fldCharType="end"/>
        </w:r>
      </w:hyperlink>
    </w:p>
    <w:p w14:paraId="65C08069" w14:textId="0F0108BA" w:rsidR="00995454" w:rsidRDefault="00BE45E3">
      <w:pPr>
        <w:pStyle w:val="TableofFigures"/>
        <w:tabs>
          <w:tab w:val="right" w:leader="dot" w:pos="9060"/>
        </w:tabs>
        <w:rPr>
          <w:rFonts w:asciiTheme="minorHAnsi" w:eastAsiaTheme="minorEastAsia" w:hAnsiTheme="minorHAnsi" w:cstheme="minorBidi"/>
          <w:noProof/>
        </w:rPr>
      </w:pPr>
      <w:hyperlink w:anchor="_Toc76730032" w:history="1">
        <w:r w:rsidR="00995454" w:rsidRPr="001D4A09">
          <w:rPr>
            <w:rStyle w:val="Hyperlink"/>
            <w:noProof/>
          </w:rPr>
          <w:t xml:space="preserve">Table </w:t>
        </w:r>
        <w:r w:rsidR="00652A83">
          <w:rPr>
            <w:rStyle w:val="Hyperlink"/>
            <w:noProof/>
            <w:lang w:val="en-US"/>
          </w:rPr>
          <w:t>2</w:t>
        </w:r>
        <w:r w:rsidR="00995454" w:rsidRPr="001D4A09">
          <w:rPr>
            <w:rStyle w:val="Hyperlink"/>
            <w:noProof/>
          </w:rPr>
          <w:t>.3</w:t>
        </w:r>
        <w:r w:rsidR="00995454" w:rsidRPr="001D4A09">
          <w:rPr>
            <w:rStyle w:val="Hyperlink"/>
            <w:noProof/>
            <w:lang w:val="en-US"/>
          </w:rPr>
          <w:t xml:space="preserve"> Comparison between precipitation and solvent extraction</w:t>
        </w:r>
        <w:r w:rsidR="00995454">
          <w:rPr>
            <w:noProof/>
            <w:webHidden/>
          </w:rPr>
          <w:tab/>
        </w:r>
        <w:r w:rsidR="00995454">
          <w:rPr>
            <w:noProof/>
            <w:webHidden/>
          </w:rPr>
          <w:fldChar w:fldCharType="begin"/>
        </w:r>
        <w:r w:rsidR="00995454">
          <w:rPr>
            <w:noProof/>
            <w:webHidden/>
          </w:rPr>
          <w:instrText xml:space="preserve"> PAGEREF _Toc76730032 \h </w:instrText>
        </w:r>
        <w:r w:rsidR="00995454">
          <w:rPr>
            <w:noProof/>
            <w:webHidden/>
          </w:rPr>
        </w:r>
        <w:r w:rsidR="00995454">
          <w:rPr>
            <w:noProof/>
            <w:webHidden/>
          </w:rPr>
          <w:fldChar w:fldCharType="separate"/>
        </w:r>
        <w:r w:rsidR="00D3260B">
          <w:rPr>
            <w:noProof/>
            <w:webHidden/>
          </w:rPr>
          <w:t>17</w:t>
        </w:r>
        <w:r w:rsidR="00995454">
          <w:rPr>
            <w:noProof/>
            <w:webHidden/>
          </w:rPr>
          <w:fldChar w:fldCharType="end"/>
        </w:r>
      </w:hyperlink>
    </w:p>
    <w:p w14:paraId="250B37EE" w14:textId="16D4B876" w:rsidR="00995454" w:rsidRDefault="00BE45E3">
      <w:pPr>
        <w:pStyle w:val="TableofFigures"/>
        <w:tabs>
          <w:tab w:val="right" w:leader="dot" w:pos="9060"/>
        </w:tabs>
        <w:rPr>
          <w:rFonts w:asciiTheme="minorHAnsi" w:eastAsiaTheme="minorEastAsia" w:hAnsiTheme="minorHAnsi" w:cstheme="minorBidi"/>
          <w:noProof/>
        </w:rPr>
      </w:pPr>
      <w:hyperlink w:anchor="_Toc76730033" w:history="1">
        <w:r w:rsidR="00995454" w:rsidRPr="001D4A09">
          <w:rPr>
            <w:rStyle w:val="Hyperlink"/>
            <w:noProof/>
          </w:rPr>
          <w:t xml:space="preserve">Table </w:t>
        </w:r>
        <w:r w:rsidR="000C5A45">
          <w:rPr>
            <w:rStyle w:val="Hyperlink"/>
            <w:noProof/>
            <w:lang w:val="en-US"/>
          </w:rPr>
          <w:t>3</w:t>
        </w:r>
        <w:r w:rsidR="00995454" w:rsidRPr="001D4A09">
          <w:rPr>
            <w:rStyle w:val="Hyperlink"/>
            <w:noProof/>
          </w:rPr>
          <w:t>.1</w:t>
        </w:r>
        <w:r w:rsidR="00995454" w:rsidRPr="001D4A09">
          <w:rPr>
            <w:rStyle w:val="Hyperlink"/>
            <w:noProof/>
            <w:lang w:val="en-US"/>
          </w:rPr>
          <w:t xml:space="preserve"> List of projected plant’s equipment</w:t>
        </w:r>
        <w:r w:rsidR="00995454">
          <w:rPr>
            <w:noProof/>
            <w:webHidden/>
          </w:rPr>
          <w:tab/>
        </w:r>
        <w:r w:rsidR="00995454">
          <w:rPr>
            <w:noProof/>
            <w:webHidden/>
          </w:rPr>
          <w:fldChar w:fldCharType="begin"/>
        </w:r>
        <w:r w:rsidR="00995454">
          <w:rPr>
            <w:noProof/>
            <w:webHidden/>
          </w:rPr>
          <w:instrText xml:space="preserve"> PAGEREF _Toc76730033 \h </w:instrText>
        </w:r>
        <w:r w:rsidR="00995454">
          <w:rPr>
            <w:noProof/>
            <w:webHidden/>
          </w:rPr>
        </w:r>
        <w:r w:rsidR="00995454">
          <w:rPr>
            <w:noProof/>
            <w:webHidden/>
          </w:rPr>
          <w:fldChar w:fldCharType="separate"/>
        </w:r>
        <w:r w:rsidR="00D3260B">
          <w:rPr>
            <w:noProof/>
            <w:webHidden/>
          </w:rPr>
          <w:t>29</w:t>
        </w:r>
        <w:r w:rsidR="00995454">
          <w:rPr>
            <w:noProof/>
            <w:webHidden/>
          </w:rPr>
          <w:fldChar w:fldCharType="end"/>
        </w:r>
      </w:hyperlink>
    </w:p>
    <w:p w14:paraId="3A6D72A3" w14:textId="52A16701" w:rsidR="00995454" w:rsidRDefault="00BE45E3">
      <w:pPr>
        <w:pStyle w:val="TableofFigures"/>
        <w:tabs>
          <w:tab w:val="right" w:leader="dot" w:pos="9060"/>
        </w:tabs>
        <w:rPr>
          <w:rFonts w:asciiTheme="minorHAnsi" w:eastAsiaTheme="minorEastAsia" w:hAnsiTheme="minorHAnsi" w:cstheme="minorBidi"/>
          <w:noProof/>
        </w:rPr>
      </w:pPr>
      <w:hyperlink w:anchor="_Toc76730034" w:history="1">
        <w:r w:rsidR="00995454" w:rsidRPr="001D4A09">
          <w:rPr>
            <w:rStyle w:val="Hyperlink"/>
            <w:noProof/>
          </w:rPr>
          <w:t xml:space="preserve">Table </w:t>
        </w:r>
        <w:r w:rsidR="00251ABB">
          <w:rPr>
            <w:rStyle w:val="Hyperlink"/>
            <w:noProof/>
            <w:lang w:val="en-US"/>
          </w:rPr>
          <w:t>3</w:t>
        </w:r>
        <w:r w:rsidR="00995454" w:rsidRPr="001D4A09">
          <w:rPr>
            <w:rStyle w:val="Hyperlink"/>
            <w:noProof/>
          </w:rPr>
          <w:t>.</w:t>
        </w:r>
        <w:r w:rsidR="00251ABB">
          <w:rPr>
            <w:rStyle w:val="Hyperlink"/>
            <w:noProof/>
            <w:lang w:val="en-US"/>
          </w:rPr>
          <w:t>2</w:t>
        </w:r>
        <w:r w:rsidR="00995454" w:rsidRPr="001D4A09">
          <w:rPr>
            <w:rStyle w:val="Hyperlink"/>
            <w:noProof/>
            <w:lang w:val="en-US"/>
          </w:rPr>
          <w:t xml:space="preserve"> Environmental profile of the primary production product system</w:t>
        </w:r>
        <w:r w:rsidR="00995454">
          <w:rPr>
            <w:noProof/>
            <w:webHidden/>
          </w:rPr>
          <w:tab/>
        </w:r>
        <w:r w:rsidR="00995454">
          <w:rPr>
            <w:noProof/>
            <w:webHidden/>
          </w:rPr>
          <w:fldChar w:fldCharType="begin"/>
        </w:r>
        <w:r w:rsidR="00995454">
          <w:rPr>
            <w:noProof/>
            <w:webHidden/>
          </w:rPr>
          <w:instrText xml:space="preserve"> PAGEREF _Toc76730034 \h </w:instrText>
        </w:r>
        <w:r w:rsidR="00995454">
          <w:rPr>
            <w:noProof/>
            <w:webHidden/>
          </w:rPr>
        </w:r>
        <w:r w:rsidR="00995454">
          <w:rPr>
            <w:noProof/>
            <w:webHidden/>
          </w:rPr>
          <w:fldChar w:fldCharType="separate"/>
        </w:r>
        <w:r w:rsidR="00D3260B">
          <w:rPr>
            <w:noProof/>
            <w:webHidden/>
          </w:rPr>
          <w:t>34</w:t>
        </w:r>
        <w:r w:rsidR="00995454">
          <w:rPr>
            <w:noProof/>
            <w:webHidden/>
          </w:rPr>
          <w:fldChar w:fldCharType="end"/>
        </w:r>
      </w:hyperlink>
    </w:p>
    <w:p w14:paraId="13D3B481" w14:textId="34D2CA1F" w:rsidR="00995454" w:rsidRDefault="00BE45E3">
      <w:pPr>
        <w:pStyle w:val="TableofFigures"/>
        <w:tabs>
          <w:tab w:val="right" w:leader="dot" w:pos="9060"/>
        </w:tabs>
        <w:rPr>
          <w:rStyle w:val="Hyperlink"/>
          <w:noProof/>
        </w:rPr>
      </w:pPr>
      <w:hyperlink w:anchor="_Toc76730035" w:history="1">
        <w:r w:rsidR="00995454" w:rsidRPr="001D4A09">
          <w:rPr>
            <w:rStyle w:val="Hyperlink"/>
            <w:noProof/>
          </w:rPr>
          <w:t xml:space="preserve">Table </w:t>
        </w:r>
        <w:r w:rsidR="0030669C">
          <w:rPr>
            <w:rStyle w:val="Hyperlink"/>
            <w:noProof/>
            <w:lang w:val="en-US"/>
          </w:rPr>
          <w:t>4</w:t>
        </w:r>
        <w:r w:rsidR="00995454" w:rsidRPr="001D4A09">
          <w:rPr>
            <w:rStyle w:val="Hyperlink"/>
            <w:noProof/>
          </w:rPr>
          <w:t>.</w:t>
        </w:r>
        <w:r w:rsidR="00DB195C">
          <w:rPr>
            <w:rStyle w:val="Hyperlink"/>
            <w:noProof/>
            <w:lang w:val="en-US"/>
          </w:rPr>
          <w:t>1</w:t>
        </w:r>
        <w:r w:rsidR="00995454" w:rsidRPr="001D4A09">
          <w:rPr>
            <w:rStyle w:val="Hyperlink"/>
            <w:noProof/>
            <w:lang w:val="en-US"/>
          </w:rPr>
          <w:t xml:space="preserve"> Environmental profile of the product system</w:t>
        </w:r>
        <w:r w:rsidR="00995454">
          <w:rPr>
            <w:noProof/>
            <w:webHidden/>
          </w:rPr>
          <w:tab/>
        </w:r>
        <w:r w:rsidR="00995454">
          <w:rPr>
            <w:noProof/>
            <w:webHidden/>
          </w:rPr>
          <w:fldChar w:fldCharType="begin"/>
        </w:r>
        <w:r w:rsidR="00995454">
          <w:rPr>
            <w:noProof/>
            <w:webHidden/>
          </w:rPr>
          <w:instrText xml:space="preserve"> PAGEREF _Toc76730035 \h </w:instrText>
        </w:r>
        <w:r w:rsidR="00995454">
          <w:rPr>
            <w:noProof/>
            <w:webHidden/>
          </w:rPr>
        </w:r>
        <w:r w:rsidR="00995454">
          <w:rPr>
            <w:noProof/>
            <w:webHidden/>
          </w:rPr>
          <w:fldChar w:fldCharType="separate"/>
        </w:r>
        <w:r w:rsidR="00D3260B">
          <w:rPr>
            <w:noProof/>
            <w:webHidden/>
          </w:rPr>
          <w:t>45</w:t>
        </w:r>
        <w:r w:rsidR="00995454">
          <w:rPr>
            <w:noProof/>
            <w:webHidden/>
          </w:rPr>
          <w:fldChar w:fldCharType="end"/>
        </w:r>
      </w:hyperlink>
    </w:p>
    <w:p w14:paraId="70588D05" w14:textId="024CAADE" w:rsidR="0048218D" w:rsidRPr="0048218D" w:rsidRDefault="0048218D" w:rsidP="0048218D">
      <w:pPr>
        <w:pStyle w:val="TableofFigures"/>
        <w:tabs>
          <w:tab w:val="right" w:leader="dot" w:pos="9060"/>
        </w:tabs>
        <w:rPr>
          <w:rFonts w:asciiTheme="minorHAnsi" w:eastAsiaTheme="minorEastAsia" w:hAnsiTheme="minorHAnsi" w:cstheme="minorBidi"/>
          <w:noProof/>
        </w:rPr>
      </w:pPr>
      <w:r w:rsidRPr="00A11898">
        <w:rPr>
          <w:rFonts w:eastAsiaTheme="minorEastAsia"/>
          <w:noProof/>
          <w:lang w:val="en-US"/>
        </w:rPr>
        <w:t xml:space="preserve">Table </w:t>
      </w:r>
      <w:r w:rsidR="00917D2B" w:rsidRPr="00A11898">
        <w:rPr>
          <w:rFonts w:eastAsiaTheme="minorEastAsia"/>
          <w:noProof/>
          <w:lang w:val="en-US"/>
        </w:rPr>
        <w:t>4</w:t>
      </w:r>
      <w:r w:rsidRPr="00A11898">
        <w:rPr>
          <w:rFonts w:eastAsiaTheme="minorEastAsia"/>
          <w:noProof/>
          <w:lang w:val="en-US"/>
        </w:rPr>
        <w:t>.2 Most upstream process and environmental flow contributing to the RE recovery unit process</w:t>
      </w:r>
      <w:r w:rsidRPr="00A11898">
        <w:rPr>
          <w:rFonts w:eastAsiaTheme="minorEastAsia"/>
          <w:noProof/>
          <w:webHidden/>
          <w:lang w:val="en-US"/>
        </w:rPr>
        <w:tab/>
      </w:r>
      <w:r w:rsidRPr="00A11898">
        <w:rPr>
          <w:rFonts w:eastAsiaTheme="minorEastAsia"/>
          <w:noProof/>
          <w:lang w:val="en-US"/>
        </w:rPr>
        <w:t>5</w:t>
      </w:r>
      <w:r w:rsidR="00A724AA">
        <w:rPr>
          <w:rFonts w:eastAsiaTheme="minorEastAsia"/>
          <w:noProof/>
          <w:lang w:val="en-US"/>
        </w:rPr>
        <w:t>2</w:t>
      </w:r>
    </w:p>
    <w:p w14:paraId="3BC071CF" w14:textId="353A5ACB" w:rsidR="00995454" w:rsidRDefault="00BE45E3">
      <w:pPr>
        <w:pStyle w:val="TableofFigures"/>
        <w:tabs>
          <w:tab w:val="right" w:leader="dot" w:pos="9060"/>
        </w:tabs>
        <w:rPr>
          <w:rFonts w:asciiTheme="minorHAnsi" w:eastAsiaTheme="minorEastAsia" w:hAnsiTheme="minorHAnsi" w:cstheme="minorBidi"/>
          <w:noProof/>
        </w:rPr>
      </w:pPr>
      <w:hyperlink w:anchor="_Toc76730036" w:history="1">
        <w:r w:rsidR="00995454" w:rsidRPr="001D4A09">
          <w:rPr>
            <w:rStyle w:val="Hyperlink"/>
            <w:noProof/>
          </w:rPr>
          <w:t xml:space="preserve">Table </w:t>
        </w:r>
        <w:r w:rsidR="00917D2B">
          <w:rPr>
            <w:rStyle w:val="Hyperlink"/>
            <w:noProof/>
            <w:lang w:val="en-US"/>
          </w:rPr>
          <w:t>4</w:t>
        </w:r>
        <w:r w:rsidR="00995454" w:rsidRPr="001D4A09">
          <w:rPr>
            <w:rStyle w:val="Hyperlink"/>
            <w:noProof/>
          </w:rPr>
          <w:t>.</w:t>
        </w:r>
        <w:r w:rsidR="009E2540">
          <w:rPr>
            <w:rStyle w:val="Hyperlink"/>
            <w:noProof/>
            <w:lang w:val="en-US"/>
          </w:rPr>
          <w:t>3</w:t>
        </w:r>
        <w:r w:rsidR="00995454" w:rsidRPr="001D4A09">
          <w:rPr>
            <w:rStyle w:val="Hyperlink"/>
            <w:noProof/>
            <w:lang w:val="en-US"/>
          </w:rPr>
          <w:t xml:space="preserve"> Consistency check, primary production vs. recycling.</w:t>
        </w:r>
        <w:r w:rsidR="00995454">
          <w:rPr>
            <w:noProof/>
            <w:webHidden/>
          </w:rPr>
          <w:tab/>
        </w:r>
        <w:r w:rsidR="00995454">
          <w:rPr>
            <w:noProof/>
            <w:webHidden/>
          </w:rPr>
          <w:fldChar w:fldCharType="begin"/>
        </w:r>
        <w:r w:rsidR="00995454">
          <w:rPr>
            <w:noProof/>
            <w:webHidden/>
          </w:rPr>
          <w:instrText xml:space="preserve"> PAGEREF _Toc76730036 \h </w:instrText>
        </w:r>
        <w:r w:rsidR="00995454">
          <w:rPr>
            <w:noProof/>
            <w:webHidden/>
          </w:rPr>
        </w:r>
        <w:r w:rsidR="00995454">
          <w:rPr>
            <w:noProof/>
            <w:webHidden/>
          </w:rPr>
          <w:fldChar w:fldCharType="separate"/>
        </w:r>
        <w:r w:rsidR="00D3260B">
          <w:rPr>
            <w:noProof/>
            <w:webHidden/>
          </w:rPr>
          <w:t>5</w:t>
        </w:r>
        <w:r w:rsidR="00B6507B">
          <w:rPr>
            <w:noProof/>
            <w:webHidden/>
            <w:lang w:val="en-US"/>
          </w:rPr>
          <w:t>7</w:t>
        </w:r>
        <w:r w:rsidR="00995454">
          <w:rPr>
            <w:noProof/>
            <w:webHidden/>
          </w:rPr>
          <w:fldChar w:fldCharType="end"/>
        </w:r>
      </w:hyperlink>
    </w:p>
    <w:p w14:paraId="41464D18" w14:textId="16412CAA" w:rsidR="00653311" w:rsidRDefault="00796E10" w:rsidP="00653311">
      <w:pPr>
        <w:rPr>
          <w:lang w:val="en-US"/>
        </w:rPr>
      </w:pPr>
      <w:r>
        <w:rPr>
          <w:lang w:val="en-US"/>
        </w:rPr>
        <w:fldChar w:fldCharType="end"/>
      </w:r>
      <w:r w:rsidR="00D92478">
        <w:rPr>
          <w:lang w:val="en-US"/>
        </w:rPr>
        <w:br w:type="page"/>
      </w:r>
    </w:p>
    <w:p w14:paraId="2899F367" w14:textId="5D9FA7AC" w:rsidR="00910907" w:rsidRDefault="00910907" w:rsidP="00F31D03">
      <w:pPr>
        <w:pStyle w:val="Title"/>
        <w:rPr>
          <w:lang w:val="en-US"/>
        </w:rPr>
      </w:pPr>
      <w:bookmarkStart w:id="2" w:name="_Toc76752255"/>
      <w:r>
        <w:rPr>
          <w:lang w:val="en-US"/>
        </w:rPr>
        <w:lastRenderedPageBreak/>
        <w:t xml:space="preserve">List of </w:t>
      </w:r>
      <w:r w:rsidR="00C40E04">
        <w:rPr>
          <w:lang w:val="en-US"/>
        </w:rPr>
        <w:t xml:space="preserve">abbreviations and </w:t>
      </w:r>
      <w:r>
        <w:rPr>
          <w:lang w:val="en-US"/>
        </w:rPr>
        <w:t>acronyms</w:t>
      </w:r>
      <w:bookmarkEnd w:id="2"/>
      <w:r>
        <w:rPr>
          <w:lang w:val="en-US"/>
        </w:rPr>
        <w:t xml:space="preserve"> </w:t>
      </w:r>
    </w:p>
    <w:p w14:paraId="149CACF0" w14:textId="77777777" w:rsidR="00F31D03" w:rsidRPr="00F31D03" w:rsidRDefault="00F31D03" w:rsidP="00F31D03">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7579"/>
      </w:tblGrid>
      <w:tr w:rsidR="00AB516C" w14:paraId="4AB963A8" w14:textId="77777777" w:rsidTr="00910907">
        <w:tc>
          <w:tcPr>
            <w:tcW w:w="822" w:type="pct"/>
          </w:tcPr>
          <w:p w14:paraId="1079FFE8" w14:textId="77777777" w:rsidR="00AB516C" w:rsidRDefault="00AB516C" w:rsidP="00BD2EB8">
            <w:pPr>
              <w:spacing w:line="276" w:lineRule="auto"/>
              <w:jc w:val="center"/>
              <w:rPr>
                <w:lang w:val="en-US"/>
              </w:rPr>
            </w:pPr>
            <w:r>
              <w:rPr>
                <w:lang w:val="en-US"/>
              </w:rPr>
              <w:t>REEs</w:t>
            </w:r>
          </w:p>
        </w:tc>
        <w:tc>
          <w:tcPr>
            <w:tcW w:w="4178" w:type="pct"/>
          </w:tcPr>
          <w:p w14:paraId="335B2579" w14:textId="77777777" w:rsidR="00AB516C" w:rsidRDefault="00AB516C" w:rsidP="00BD2EB8">
            <w:pPr>
              <w:spacing w:line="276" w:lineRule="auto"/>
              <w:jc w:val="left"/>
              <w:rPr>
                <w:lang w:val="en-US"/>
              </w:rPr>
            </w:pPr>
            <w:r>
              <w:rPr>
                <w:lang w:val="en-US"/>
              </w:rPr>
              <w:t>R</w:t>
            </w:r>
            <w:r w:rsidRPr="009A215A">
              <w:t>are-earth elements</w:t>
            </w:r>
          </w:p>
        </w:tc>
      </w:tr>
      <w:tr w:rsidR="00AB516C" w14:paraId="529182D9" w14:textId="77777777" w:rsidTr="00910907">
        <w:tc>
          <w:tcPr>
            <w:tcW w:w="822" w:type="pct"/>
          </w:tcPr>
          <w:p w14:paraId="4530EF8F" w14:textId="77777777" w:rsidR="00AB516C" w:rsidRDefault="00AB516C" w:rsidP="00BD2EB8">
            <w:pPr>
              <w:spacing w:line="276" w:lineRule="auto"/>
              <w:jc w:val="center"/>
              <w:rPr>
                <w:lang w:val="en-US"/>
              </w:rPr>
            </w:pPr>
            <w:r w:rsidRPr="00AE5E3B">
              <w:t>IUPAC</w:t>
            </w:r>
          </w:p>
        </w:tc>
        <w:tc>
          <w:tcPr>
            <w:tcW w:w="4178" w:type="pct"/>
          </w:tcPr>
          <w:p w14:paraId="01631E64" w14:textId="77777777" w:rsidR="00AB516C" w:rsidRDefault="00AB516C" w:rsidP="00BD2EB8">
            <w:pPr>
              <w:spacing w:line="276" w:lineRule="auto"/>
              <w:jc w:val="left"/>
              <w:rPr>
                <w:lang w:val="en-US"/>
              </w:rPr>
            </w:pPr>
            <w:r w:rsidRPr="009A215A">
              <w:t>International Union of Pure and Applied Chemistry</w:t>
            </w:r>
          </w:p>
        </w:tc>
      </w:tr>
      <w:tr w:rsidR="00AB516C" w14:paraId="1024A18A" w14:textId="77777777" w:rsidTr="00910907">
        <w:tc>
          <w:tcPr>
            <w:tcW w:w="822" w:type="pct"/>
          </w:tcPr>
          <w:p w14:paraId="3355923B" w14:textId="77777777" w:rsidR="00AB516C" w:rsidRDefault="00AB516C" w:rsidP="00BD2EB8">
            <w:pPr>
              <w:spacing w:line="276" w:lineRule="auto"/>
              <w:jc w:val="center"/>
              <w:rPr>
                <w:lang w:val="en-US"/>
              </w:rPr>
            </w:pPr>
            <w:r w:rsidRPr="00AE5E3B">
              <w:t>LREE</w:t>
            </w:r>
            <w:r w:rsidRPr="00AE5E3B">
              <w:rPr>
                <w:lang w:val="en-US"/>
              </w:rPr>
              <w:t>s</w:t>
            </w:r>
          </w:p>
        </w:tc>
        <w:tc>
          <w:tcPr>
            <w:tcW w:w="4178" w:type="pct"/>
          </w:tcPr>
          <w:p w14:paraId="74D7A6BD" w14:textId="77777777" w:rsidR="00AB516C" w:rsidRDefault="00AB516C" w:rsidP="00BD2EB8">
            <w:pPr>
              <w:spacing w:line="276" w:lineRule="auto"/>
              <w:jc w:val="left"/>
              <w:rPr>
                <w:lang w:val="en-US"/>
              </w:rPr>
            </w:pPr>
            <w:r>
              <w:rPr>
                <w:lang w:val="en-US"/>
              </w:rPr>
              <w:t>L</w:t>
            </w:r>
            <w:r w:rsidRPr="009A215A">
              <w:t>ight rare earth elements</w:t>
            </w:r>
          </w:p>
        </w:tc>
      </w:tr>
      <w:tr w:rsidR="00AB516C" w14:paraId="5466D9BE" w14:textId="77777777" w:rsidTr="00910907">
        <w:tc>
          <w:tcPr>
            <w:tcW w:w="822" w:type="pct"/>
          </w:tcPr>
          <w:p w14:paraId="6855EECA" w14:textId="77777777" w:rsidR="00AB516C" w:rsidRDefault="00AB516C" w:rsidP="00BD2EB8">
            <w:pPr>
              <w:spacing w:line="276" w:lineRule="auto"/>
              <w:jc w:val="center"/>
              <w:rPr>
                <w:lang w:val="en-US"/>
              </w:rPr>
            </w:pPr>
            <w:r w:rsidRPr="00AE5E3B">
              <w:t>HREE</w:t>
            </w:r>
            <w:r w:rsidRPr="00AE5E3B">
              <w:rPr>
                <w:lang w:val="en-US"/>
              </w:rPr>
              <w:t>s</w:t>
            </w:r>
          </w:p>
        </w:tc>
        <w:tc>
          <w:tcPr>
            <w:tcW w:w="4178" w:type="pct"/>
          </w:tcPr>
          <w:p w14:paraId="43B6BC69" w14:textId="77777777" w:rsidR="00AB516C" w:rsidRDefault="00AB516C" w:rsidP="00BD2EB8">
            <w:pPr>
              <w:spacing w:line="276" w:lineRule="auto"/>
              <w:jc w:val="left"/>
              <w:rPr>
                <w:lang w:val="en-US"/>
              </w:rPr>
            </w:pPr>
            <w:r>
              <w:rPr>
                <w:lang w:val="en-US"/>
              </w:rPr>
              <w:t>H</w:t>
            </w:r>
            <w:r w:rsidRPr="009A215A">
              <w:t>eavy rare earth elements</w:t>
            </w:r>
          </w:p>
        </w:tc>
      </w:tr>
      <w:tr w:rsidR="00AB516C" w14:paraId="04A60F39" w14:textId="77777777" w:rsidTr="00910907">
        <w:tc>
          <w:tcPr>
            <w:tcW w:w="822" w:type="pct"/>
          </w:tcPr>
          <w:p w14:paraId="08BC2073" w14:textId="77777777" w:rsidR="00AB516C" w:rsidRDefault="00AB516C" w:rsidP="00BD2EB8">
            <w:pPr>
              <w:spacing w:line="276" w:lineRule="auto"/>
              <w:jc w:val="center"/>
              <w:rPr>
                <w:lang w:val="en-US"/>
              </w:rPr>
            </w:pPr>
            <w:r>
              <w:rPr>
                <w:lang w:val="en-US"/>
              </w:rPr>
              <w:t>Nd</w:t>
            </w:r>
          </w:p>
        </w:tc>
        <w:tc>
          <w:tcPr>
            <w:tcW w:w="4178" w:type="pct"/>
          </w:tcPr>
          <w:p w14:paraId="343587C3" w14:textId="77777777" w:rsidR="00AB516C" w:rsidRDefault="00AB516C" w:rsidP="00BD2EB8">
            <w:pPr>
              <w:spacing w:line="276" w:lineRule="auto"/>
              <w:jc w:val="left"/>
              <w:rPr>
                <w:lang w:val="en-US"/>
              </w:rPr>
            </w:pPr>
            <w:r w:rsidRPr="009A215A">
              <w:t>Neodymium</w:t>
            </w:r>
          </w:p>
        </w:tc>
      </w:tr>
      <w:tr w:rsidR="00E645CE" w:rsidRPr="00E20F24" w14:paraId="567D48DD" w14:textId="77777777" w:rsidTr="00910907">
        <w:tc>
          <w:tcPr>
            <w:tcW w:w="822" w:type="pct"/>
          </w:tcPr>
          <w:p w14:paraId="71A2A6D7" w14:textId="77777777" w:rsidR="00AB516C" w:rsidRDefault="00AB516C" w:rsidP="00BD2EB8">
            <w:pPr>
              <w:spacing w:line="276" w:lineRule="auto"/>
              <w:jc w:val="center"/>
              <w:rPr>
                <w:lang w:val="en-US"/>
              </w:rPr>
            </w:pPr>
            <w:r w:rsidRPr="00E20F24">
              <w:t>NdFeB</w:t>
            </w:r>
          </w:p>
        </w:tc>
        <w:tc>
          <w:tcPr>
            <w:tcW w:w="4178" w:type="pct"/>
          </w:tcPr>
          <w:p w14:paraId="07E77B99" w14:textId="37688F20" w:rsidR="00AB516C" w:rsidRPr="00E20F24" w:rsidRDefault="00AB516C" w:rsidP="00BD2EB8">
            <w:pPr>
              <w:spacing w:line="276" w:lineRule="auto"/>
              <w:jc w:val="left"/>
              <w:rPr>
                <w:lang w:val="nl-NL"/>
              </w:rPr>
            </w:pPr>
            <w:r w:rsidRPr="009A215A">
              <w:t>Neodymium Iron Boron</w:t>
            </w:r>
            <w:r w:rsidRPr="00E20F24">
              <w:rPr>
                <w:lang w:val="nl-NL"/>
              </w:rPr>
              <w:t xml:space="preserve"> permanent </w:t>
            </w:r>
            <w:proofErr w:type="spellStart"/>
            <w:r w:rsidRPr="00E20F24">
              <w:rPr>
                <w:lang w:val="nl-NL"/>
              </w:rPr>
              <w:t>mag</w:t>
            </w:r>
            <w:r>
              <w:rPr>
                <w:lang w:val="nl-NL"/>
              </w:rPr>
              <w:t>net</w:t>
            </w:r>
            <w:proofErr w:type="spellEnd"/>
          </w:p>
        </w:tc>
      </w:tr>
      <w:tr w:rsidR="00E645CE" w:rsidRPr="00E20F24" w14:paraId="60EA706D" w14:textId="77777777" w:rsidTr="00910907">
        <w:tc>
          <w:tcPr>
            <w:tcW w:w="822" w:type="pct"/>
          </w:tcPr>
          <w:p w14:paraId="1F612D8A" w14:textId="77777777" w:rsidR="00AB516C" w:rsidRPr="00E20F24" w:rsidRDefault="00AB516C" w:rsidP="00BD2EB8">
            <w:pPr>
              <w:spacing w:line="276" w:lineRule="auto"/>
              <w:jc w:val="center"/>
              <w:rPr>
                <w:lang w:val="nl-NL"/>
              </w:rPr>
            </w:pPr>
            <w:proofErr w:type="spellStart"/>
            <w:r>
              <w:rPr>
                <w:lang w:val="nl-NL"/>
              </w:rPr>
              <w:t>HDDs</w:t>
            </w:r>
            <w:proofErr w:type="spellEnd"/>
          </w:p>
        </w:tc>
        <w:tc>
          <w:tcPr>
            <w:tcW w:w="4178" w:type="pct"/>
          </w:tcPr>
          <w:p w14:paraId="6E1CC625" w14:textId="77777777" w:rsidR="00AB516C" w:rsidRPr="009A215A" w:rsidRDefault="00AB516C" w:rsidP="00BD2EB8">
            <w:pPr>
              <w:spacing w:line="276" w:lineRule="auto"/>
              <w:jc w:val="left"/>
            </w:pPr>
            <w:r>
              <w:rPr>
                <w:lang w:val="en-US"/>
              </w:rPr>
              <w:t>H</w:t>
            </w:r>
            <w:r w:rsidRPr="009A215A">
              <w:t>ard disk drivers</w:t>
            </w:r>
          </w:p>
        </w:tc>
      </w:tr>
      <w:tr w:rsidR="00E645CE" w:rsidRPr="00E20F24" w14:paraId="531EFAE2" w14:textId="77777777" w:rsidTr="00910907">
        <w:tc>
          <w:tcPr>
            <w:tcW w:w="822" w:type="pct"/>
          </w:tcPr>
          <w:p w14:paraId="1CE7F086" w14:textId="77777777" w:rsidR="00AB516C" w:rsidRPr="00E20F24" w:rsidRDefault="00AB516C" w:rsidP="00BD2EB8">
            <w:pPr>
              <w:spacing w:line="276" w:lineRule="auto"/>
              <w:jc w:val="center"/>
              <w:rPr>
                <w:lang w:val="nl-NL"/>
              </w:rPr>
            </w:pPr>
            <w:proofErr w:type="spellStart"/>
            <w:r>
              <w:rPr>
                <w:lang w:val="nl-NL"/>
              </w:rPr>
              <w:t>SDGs</w:t>
            </w:r>
            <w:proofErr w:type="spellEnd"/>
          </w:p>
        </w:tc>
        <w:tc>
          <w:tcPr>
            <w:tcW w:w="4178" w:type="pct"/>
          </w:tcPr>
          <w:p w14:paraId="0902FFE0" w14:textId="77777777" w:rsidR="00AB516C" w:rsidRPr="009A215A" w:rsidRDefault="00AB516C" w:rsidP="00BD2EB8">
            <w:pPr>
              <w:spacing w:line="276" w:lineRule="auto"/>
              <w:jc w:val="left"/>
            </w:pPr>
            <w:r w:rsidRPr="009A215A">
              <w:t>Sustainable Development Goals</w:t>
            </w:r>
          </w:p>
        </w:tc>
      </w:tr>
      <w:tr w:rsidR="00E645CE" w:rsidRPr="00E20F24" w14:paraId="314FA65D" w14:textId="77777777" w:rsidTr="00910907">
        <w:tc>
          <w:tcPr>
            <w:tcW w:w="822" w:type="pct"/>
          </w:tcPr>
          <w:p w14:paraId="668B8704" w14:textId="77777777" w:rsidR="00AB516C" w:rsidRPr="00E20F24" w:rsidRDefault="00AB516C" w:rsidP="00BD2EB8">
            <w:pPr>
              <w:spacing w:line="276" w:lineRule="auto"/>
              <w:jc w:val="center"/>
              <w:rPr>
                <w:lang w:val="nl-NL"/>
              </w:rPr>
            </w:pPr>
            <w:r>
              <w:rPr>
                <w:lang w:val="nl-NL"/>
              </w:rPr>
              <w:t>EOL</w:t>
            </w:r>
          </w:p>
        </w:tc>
        <w:tc>
          <w:tcPr>
            <w:tcW w:w="4178" w:type="pct"/>
          </w:tcPr>
          <w:p w14:paraId="11C79945" w14:textId="77777777" w:rsidR="00AB516C" w:rsidRPr="009A215A" w:rsidRDefault="00AB516C" w:rsidP="00BD2EB8">
            <w:pPr>
              <w:spacing w:line="276" w:lineRule="auto"/>
              <w:jc w:val="left"/>
            </w:pPr>
            <w:r>
              <w:rPr>
                <w:lang w:val="en-US"/>
              </w:rPr>
              <w:t>E</w:t>
            </w:r>
            <w:r w:rsidRPr="00840332">
              <w:rPr>
                <w:lang w:val="en-US"/>
              </w:rPr>
              <w:t>nd-of-life</w:t>
            </w:r>
          </w:p>
        </w:tc>
      </w:tr>
      <w:tr w:rsidR="00E645CE" w:rsidRPr="00E20F24" w14:paraId="311173C5" w14:textId="77777777" w:rsidTr="00910907">
        <w:tc>
          <w:tcPr>
            <w:tcW w:w="822" w:type="pct"/>
          </w:tcPr>
          <w:p w14:paraId="57ADFD66" w14:textId="77777777" w:rsidR="00AB516C" w:rsidRPr="00E20F24" w:rsidRDefault="00AB516C" w:rsidP="00BD2EB8">
            <w:pPr>
              <w:spacing w:line="276" w:lineRule="auto"/>
              <w:jc w:val="center"/>
              <w:rPr>
                <w:lang w:val="nl-NL"/>
              </w:rPr>
            </w:pPr>
            <w:r w:rsidRPr="00E20F24">
              <w:t>R&amp;D</w:t>
            </w:r>
          </w:p>
        </w:tc>
        <w:tc>
          <w:tcPr>
            <w:tcW w:w="4178" w:type="pct"/>
          </w:tcPr>
          <w:p w14:paraId="48DF1410" w14:textId="77777777" w:rsidR="00AB516C" w:rsidRPr="009A215A" w:rsidRDefault="00AB516C" w:rsidP="00BD2EB8">
            <w:pPr>
              <w:spacing w:line="276" w:lineRule="auto"/>
              <w:jc w:val="left"/>
            </w:pPr>
            <w:r>
              <w:rPr>
                <w:lang w:val="en-US"/>
              </w:rPr>
              <w:t>R</w:t>
            </w:r>
            <w:r w:rsidRPr="008D4EB7">
              <w:rPr>
                <w:lang w:val="en-US"/>
              </w:rPr>
              <w:t>esearch and development projects</w:t>
            </w:r>
          </w:p>
        </w:tc>
      </w:tr>
      <w:tr w:rsidR="00E645CE" w:rsidRPr="00E20F24" w14:paraId="15D1DAE1" w14:textId="77777777" w:rsidTr="00910907">
        <w:tc>
          <w:tcPr>
            <w:tcW w:w="822" w:type="pct"/>
          </w:tcPr>
          <w:p w14:paraId="05930AC3" w14:textId="77777777" w:rsidR="00AB516C" w:rsidRPr="00E20F24" w:rsidRDefault="00AB516C" w:rsidP="00BD2EB8">
            <w:pPr>
              <w:spacing w:line="276" w:lineRule="auto"/>
              <w:jc w:val="center"/>
              <w:rPr>
                <w:lang w:val="en-US"/>
              </w:rPr>
            </w:pPr>
            <w:r>
              <w:rPr>
                <w:lang w:val="en-US"/>
              </w:rPr>
              <w:t>LCA</w:t>
            </w:r>
          </w:p>
        </w:tc>
        <w:tc>
          <w:tcPr>
            <w:tcW w:w="4178" w:type="pct"/>
          </w:tcPr>
          <w:p w14:paraId="7510852C" w14:textId="77777777" w:rsidR="00AB516C" w:rsidRPr="009A215A" w:rsidRDefault="00AB516C" w:rsidP="00BD2EB8">
            <w:pPr>
              <w:spacing w:line="276" w:lineRule="auto"/>
              <w:jc w:val="left"/>
            </w:pPr>
            <w:r w:rsidRPr="009A215A">
              <w:t>Life Cycle Assessment</w:t>
            </w:r>
          </w:p>
        </w:tc>
      </w:tr>
      <w:tr w:rsidR="00E645CE" w:rsidRPr="00E20F24" w14:paraId="3E1472CF" w14:textId="77777777" w:rsidTr="00910907">
        <w:tc>
          <w:tcPr>
            <w:tcW w:w="822" w:type="pct"/>
          </w:tcPr>
          <w:p w14:paraId="2EC6A0D0" w14:textId="77777777" w:rsidR="00AB516C" w:rsidRPr="00E20F24" w:rsidRDefault="00AB516C" w:rsidP="00BD2EB8">
            <w:pPr>
              <w:spacing w:line="276" w:lineRule="auto"/>
              <w:jc w:val="center"/>
              <w:rPr>
                <w:lang w:val="en-US"/>
              </w:rPr>
            </w:pPr>
            <w:r w:rsidRPr="00E20F24">
              <w:t>SWOT</w:t>
            </w:r>
          </w:p>
        </w:tc>
        <w:tc>
          <w:tcPr>
            <w:tcW w:w="4178" w:type="pct"/>
          </w:tcPr>
          <w:p w14:paraId="15141273" w14:textId="77777777" w:rsidR="00AB516C" w:rsidRPr="009A215A" w:rsidRDefault="00AB516C" w:rsidP="00BD2EB8">
            <w:pPr>
              <w:spacing w:line="276" w:lineRule="auto"/>
              <w:jc w:val="left"/>
            </w:pPr>
            <w:r w:rsidRPr="009A215A">
              <w:t>Strengths-Weaknesses-Opportunities-and-Threats</w:t>
            </w:r>
          </w:p>
        </w:tc>
      </w:tr>
      <w:tr w:rsidR="00E645CE" w:rsidRPr="00E20F24" w14:paraId="6C3E706E" w14:textId="77777777" w:rsidTr="00910907">
        <w:tc>
          <w:tcPr>
            <w:tcW w:w="822" w:type="pct"/>
          </w:tcPr>
          <w:p w14:paraId="31854F69" w14:textId="77777777" w:rsidR="00AB516C" w:rsidRPr="00E20F24" w:rsidRDefault="00AB516C" w:rsidP="00BD2EB8">
            <w:pPr>
              <w:spacing w:line="276" w:lineRule="auto"/>
              <w:jc w:val="center"/>
              <w:rPr>
                <w:lang w:val="en-US"/>
              </w:rPr>
            </w:pPr>
            <w:r>
              <w:rPr>
                <w:lang w:val="en-US"/>
              </w:rPr>
              <w:t>WP</w:t>
            </w:r>
          </w:p>
        </w:tc>
        <w:tc>
          <w:tcPr>
            <w:tcW w:w="4178" w:type="pct"/>
          </w:tcPr>
          <w:p w14:paraId="62442B4F" w14:textId="77777777" w:rsidR="00AB516C" w:rsidRPr="009A215A" w:rsidRDefault="00AB516C" w:rsidP="00BD2EB8">
            <w:pPr>
              <w:spacing w:line="276" w:lineRule="auto"/>
              <w:jc w:val="left"/>
            </w:pPr>
            <w:r w:rsidRPr="009A215A">
              <w:t>work packaging</w:t>
            </w:r>
          </w:p>
        </w:tc>
      </w:tr>
      <w:tr w:rsidR="00E645CE" w:rsidRPr="00E20F24" w14:paraId="5027022E" w14:textId="77777777" w:rsidTr="00910907">
        <w:tc>
          <w:tcPr>
            <w:tcW w:w="822" w:type="pct"/>
          </w:tcPr>
          <w:p w14:paraId="326C1A08" w14:textId="77777777" w:rsidR="00AB516C" w:rsidRPr="00E20F24" w:rsidRDefault="00AB516C" w:rsidP="00BD2EB8">
            <w:pPr>
              <w:spacing w:line="276" w:lineRule="auto"/>
              <w:jc w:val="center"/>
              <w:rPr>
                <w:lang w:val="en-US"/>
              </w:rPr>
            </w:pPr>
            <w:r w:rsidRPr="00E20F24">
              <w:rPr>
                <w:lang w:val="en-US"/>
              </w:rPr>
              <w:t>RE</w:t>
            </w:r>
          </w:p>
        </w:tc>
        <w:tc>
          <w:tcPr>
            <w:tcW w:w="4178" w:type="pct"/>
          </w:tcPr>
          <w:p w14:paraId="782F784C" w14:textId="77777777" w:rsidR="00AB516C" w:rsidRPr="009A215A" w:rsidRDefault="00AB516C" w:rsidP="00BD2EB8">
            <w:pPr>
              <w:spacing w:line="276" w:lineRule="auto"/>
              <w:jc w:val="left"/>
            </w:pPr>
            <w:r>
              <w:rPr>
                <w:lang w:val="en-US"/>
              </w:rPr>
              <w:t>R</w:t>
            </w:r>
            <w:r w:rsidRPr="009A215A">
              <w:t>are-earth</w:t>
            </w:r>
          </w:p>
        </w:tc>
      </w:tr>
      <w:tr w:rsidR="00AB516C" w:rsidRPr="00E20F24" w14:paraId="407147E6" w14:textId="77777777" w:rsidTr="00910907">
        <w:tc>
          <w:tcPr>
            <w:tcW w:w="822" w:type="pct"/>
          </w:tcPr>
          <w:p w14:paraId="038B813F" w14:textId="77777777" w:rsidR="00AB516C" w:rsidRPr="00E20F24" w:rsidRDefault="00AB516C" w:rsidP="00BD2EB8">
            <w:pPr>
              <w:spacing w:line="276" w:lineRule="auto"/>
              <w:jc w:val="center"/>
              <w:rPr>
                <w:lang w:val="en-US"/>
              </w:rPr>
            </w:pPr>
            <w:r>
              <w:rPr>
                <w:lang w:val="en-US"/>
              </w:rPr>
              <w:t>ISO</w:t>
            </w:r>
          </w:p>
        </w:tc>
        <w:tc>
          <w:tcPr>
            <w:tcW w:w="4178" w:type="pct"/>
          </w:tcPr>
          <w:p w14:paraId="19E9FBE5" w14:textId="77777777" w:rsidR="00AB516C" w:rsidRDefault="00AB516C" w:rsidP="00BD2EB8">
            <w:pPr>
              <w:spacing w:line="276" w:lineRule="auto"/>
              <w:jc w:val="left"/>
              <w:rPr>
                <w:lang w:val="en-US"/>
              </w:rPr>
            </w:pPr>
            <w:r w:rsidRPr="003B78FA">
              <w:rPr>
                <w:lang w:val="en-US"/>
              </w:rPr>
              <w:t>International Organization for Standardization</w:t>
            </w:r>
          </w:p>
        </w:tc>
      </w:tr>
      <w:tr w:rsidR="00AB516C" w:rsidRPr="00E20F24" w14:paraId="1D2E6CB0" w14:textId="77777777" w:rsidTr="00910907">
        <w:tc>
          <w:tcPr>
            <w:tcW w:w="822" w:type="pct"/>
          </w:tcPr>
          <w:p w14:paraId="54E015E0" w14:textId="77777777" w:rsidR="00AB516C" w:rsidRPr="00E20F24" w:rsidRDefault="00AB516C" w:rsidP="00BD2EB8">
            <w:pPr>
              <w:tabs>
                <w:tab w:val="left" w:pos="519"/>
              </w:tabs>
              <w:spacing w:line="276" w:lineRule="auto"/>
              <w:jc w:val="center"/>
              <w:rPr>
                <w:lang w:val="en-US"/>
              </w:rPr>
            </w:pPr>
            <w:r>
              <w:rPr>
                <w:lang w:val="en-US"/>
              </w:rPr>
              <w:t>TRL</w:t>
            </w:r>
          </w:p>
        </w:tc>
        <w:tc>
          <w:tcPr>
            <w:tcW w:w="4178" w:type="pct"/>
          </w:tcPr>
          <w:p w14:paraId="33B40B9E" w14:textId="77777777" w:rsidR="00AB516C" w:rsidRDefault="00AB516C" w:rsidP="00BD2EB8">
            <w:pPr>
              <w:spacing w:line="276" w:lineRule="auto"/>
              <w:jc w:val="left"/>
              <w:rPr>
                <w:lang w:val="en-US"/>
              </w:rPr>
            </w:pPr>
            <w:r>
              <w:rPr>
                <w:lang w:val="en-US"/>
              </w:rPr>
              <w:t>T</w:t>
            </w:r>
            <w:r w:rsidRPr="009A215A">
              <w:t>echnology readiness level</w:t>
            </w:r>
          </w:p>
        </w:tc>
      </w:tr>
      <w:tr w:rsidR="00AB516C" w:rsidRPr="00E20F24" w14:paraId="5C95ADA6" w14:textId="77777777" w:rsidTr="00910907">
        <w:tc>
          <w:tcPr>
            <w:tcW w:w="822" w:type="pct"/>
          </w:tcPr>
          <w:p w14:paraId="190C6FEF" w14:textId="77777777" w:rsidR="00AB516C" w:rsidRPr="00E20F24" w:rsidRDefault="00AB516C" w:rsidP="00BD2EB8">
            <w:pPr>
              <w:spacing w:line="276" w:lineRule="auto"/>
              <w:jc w:val="center"/>
              <w:rPr>
                <w:lang w:val="en-US"/>
              </w:rPr>
            </w:pPr>
            <w:r>
              <w:rPr>
                <w:lang w:val="en-US"/>
              </w:rPr>
              <w:t>MRL</w:t>
            </w:r>
          </w:p>
        </w:tc>
        <w:tc>
          <w:tcPr>
            <w:tcW w:w="4178" w:type="pct"/>
          </w:tcPr>
          <w:p w14:paraId="0D2EEF0E" w14:textId="77777777" w:rsidR="00AB516C" w:rsidRDefault="00AB516C" w:rsidP="00BD2EB8">
            <w:pPr>
              <w:spacing w:line="276" w:lineRule="auto"/>
              <w:jc w:val="left"/>
              <w:rPr>
                <w:lang w:val="en-US"/>
              </w:rPr>
            </w:pPr>
            <w:r>
              <w:rPr>
                <w:lang w:val="en-US"/>
              </w:rPr>
              <w:t>M</w:t>
            </w:r>
            <w:r w:rsidRPr="009A215A">
              <w:t>anufacturing readiness level</w:t>
            </w:r>
          </w:p>
        </w:tc>
      </w:tr>
      <w:tr w:rsidR="00AB516C" w:rsidRPr="00E20F24" w14:paraId="397CBF9C" w14:textId="77777777" w:rsidTr="00910907">
        <w:tc>
          <w:tcPr>
            <w:tcW w:w="822" w:type="pct"/>
          </w:tcPr>
          <w:p w14:paraId="753390AB" w14:textId="77777777" w:rsidR="00AB516C" w:rsidRPr="00E20F24" w:rsidRDefault="00AB516C" w:rsidP="00BD2EB8">
            <w:pPr>
              <w:spacing w:line="276" w:lineRule="auto"/>
              <w:jc w:val="center"/>
              <w:rPr>
                <w:lang w:val="en-US"/>
              </w:rPr>
            </w:pPr>
            <w:r w:rsidRPr="00E20F24">
              <w:t>EARTO</w:t>
            </w:r>
          </w:p>
        </w:tc>
        <w:tc>
          <w:tcPr>
            <w:tcW w:w="4178" w:type="pct"/>
          </w:tcPr>
          <w:p w14:paraId="5641E861" w14:textId="0D5627CF" w:rsidR="00AB516C" w:rsidRDefault="00AB516C" w:rsidP="00BD2EB8">
            <w:pPr>
              <w:spacing w:line="276" w:lineRule="auto"/>
              <w:jc w:val="left"/>
              <w:rPr>
                <w:lang w:val="en-US"/>
              </w:rPr>
            </w:pPr>
            <w:r w:rsidRPr="009A215A">
              <w:t>European Association of Research and Technology</w:t>
            </w:r>
          </w:p>
        </w:tc>
      </w:tr>
      <w:tr w:rsidR="00AB516C" w:rsidRPr="00E20F24" w14:paraId="546E0A8D" w14:textId="77777777" w:rsidTr="00910907">
        <w:tc>
          <w:tcPr>
            <w:tcW w:w="822" w:type="pct"/>
          </w:tcPr>
          <w:p w14:paraId="01CF8C82" w14:textId="77777777" w:rsidR="00AB516C" w:rsidRPr="00E20F24" w:rsidRDefault="00AB516C" w:rsidP="00BD2EB8">
            <w:pPr>
              <w:spacing w:line="276" w:lineRule="auto"/>
              <w:jc w:val="center"/>
              <w:rPr>
                <w:lang w:val="en-US"/>
              </w:rPr>
            </w:pPr>
            <w:r>
              <w:rPr>
                <w:lang w:val="en-US"/>
              </w:rPr>
              <w:t>MFA</w:t>
            </w:r>
          </w:p>
        </w:tc>
        <w:tc>
          <w:tcPr>
            <w:tcW w:w="4178" w:type="pct"/>
          </w:tcPr>
          <w:p w14:paraId="124DF99F" w14:textId="77777777" w:rsidR="00AB516C" w:rsidRDefault="00AB516C" w:rsidP="00BD2EB8">
            <w:pPr>
              <w:spacing w:line="276" w:lineRule="auto"/>
              <w:jc w:val="left"/>
              <w:rPr>
                <w:lang w:val="en-US"/>
              </w:rPr>
            </w:pPr>
            <w:r>
              <w:t>Material Flow Analysis</w:t>
            </w:r>
          </w:p>
        </w:tc>
      </w:tr>
      <w:tr w:rsidR="00AB516C" w:rsidRPr="00E20F24" w14:paraId="600AA3F4" w14:textId="77777777" w:rsidTr="00910907">
        <w:tc>
          <w:tcPr>
            <w:tcW w:w="822" w:type="pct"/>
          </w:tcPr>
          <w:p w14:paraId="1C97A023" w14:textId="77777777" w:rsidR="00AB516C" w:rsidRPr="00E20F24" w:rsidRDefault="00AB516C" w:rsidP="00BD2EB8">
            <w:pPr>
              <w:spacing w:line="276" w:lineRule="auto"/>
              <w:jc w:val="center"/>
              <w:rPr>
                <w:lang w:val="en-US"/>
              </w:rPr>
            </w:pPr>
            <w:r w:rsidRPr="00E20F24">
              <w:t>REO</w:t>
            </w:r>
          </w:p>
        </w:tc>
        <w:tc>
          <w:tcPr>
            <w:tcW w:w="4178" w:type="pct"/>
          </w:tcPr>
          <w:p w14:paraId="7FE71B2E" w14:textId="77777777" w:rsidR="00AB516C" w:rsidRDefault="00AB516C" w:rsidP="00BD2EB8">
            <w:pPr>
              <w:spacing w:line="276" w:lineRule="auto"/>
              <w:jc w:val="left"/>
              <w:rPr>
                <w:lang w:val="en-US"/>
              </w:rPr>
            </w:pPr>
            <w:r>
              <w:rPr>
                <w:lang w:val="en-US"/>
              </w:rPr>
              <w:t>Rare-earth oxide</w:t>
            </w:r>
          </w:p>
        </w:tc>
      </w:tr>
      <w:tr w:rsidR="00AB516C" w:rsidRPr="00E20F24" w14:paraId="72DDA7C2" w14:textId="77777777" w:rsidTr="00910907">
        <w:tc>
          <w:tcPr>
            <w:tcW w:w="822" w:type="pct"/>
          </w:tcPr>
          <w:p w14:paraId="1340A561" w14:textId="77777777" w:rsidR="00AB516C" w:rsidRPr="00E20F24" w:rsidRDefault="00AB516C" w:rsidP="00BD2EB8">
            <w:pPr>
              <w:spacing w:line="276" w:lineRule="auto"/>
              <w:jc w:val="center"/>
              <w:rPr>
                <w:lang w:val="en-US"/>
              </w:rPr>
            </w:pPr>
            <w:r>
              <w:rPr>
                <w:lang w:val="en-US"/>
              </w:rPr>
              <w:t>WEEE</w:t>
            </w:r>
          </w:p>
        </w:tc>
        <w:tc>
          <w:tcPr>
            <w:tcW w:w="4178" w:type="pct"/>
          </w:tcPr>
          <w:p w14:paraId="321536A2" w14:textId="77777777" w:rsidR="00AB516C" w:rsidRDefault="00AB516C" w:rsidP="00BD2EB8">
            <w:pPr>
              <w:spacing w:line="276" w:lineRule="auto"/>
              <w:jc w:val="left"/>
              <w:rPr>
                <w:lang w:val="en-US"/>
              </w:rPr>
            </w:pPr>
            <w:r>
              <w:rPr>
                <w:lang w:val="en-US"/>
              </w:rPr>
              <w:t>W</w:t>
            </w:r>
            <w:r w:rsidRPr="00F46E8B">
              <w:rPr>
                <w:lang w:val="en-US"/>
              </w:rPr>
              <w:t>aste electrical and electronic equipment</w:t>
            </w:r>
          </w:p>
        </w:tc>
      </w:tr>
      <w:tr w:rsidR="00AB516C" w:rsidRPr="00E20F24" w14:paraId="58275F02" w14:textId="77777777" w:rsidTr="00910907">
        <w:tc>
          <w:tcPr>
            <w:tcW w:w="822" w:type="pct"/>
          </w:tcPr>
          <w:p w14:paraId="3C79C58C" w14:textId="77777777" w:rsidR="00AB516C" w:rsidRPr="00E20F24" w:rsidRDefault="00AB516C" w:rsidP="00BD2EB8">
            <w:pPr>
              <w:spacing w:line="276" w:lineRule="auto"/>
              <w:jc w:val="center"/>
              <w:rPr>
                <w:lang w:val="en-US"/>
              </w:rPr>
            </w:pPr>
            <w:r>
              <w:rPr>
                <w:lang w:val="en-US"/>
              </w:rPr>
              <w:t>LCI</w:t>
            </w:r>
          </w:p>
        </w:tc>
        <w:tc>
          <w:tcPr>
            <w:tcW w:w="4178" w:type="pct"/>
          </w:tcPr>
          <w:p w14:paraId="269C604E" w14:textId="77777777" w:rsidR="00AB516C" w:rsidRDefault="00AB516C" w:rsidP="00BD2EB8">
            <w:pPr>
              <w:spacing w:line="276" w:lineRule="auto"/>
              <w:jc w:val="left"/>
              <w:rPr>
                <w:lang w:val="en-US"/>
              </w:rPr>
            </w:pPr>
            <w:r>
              <w:rPr>
                <w:lang w:val="en-US"/>
              </w:rPr>
              <w:t>Life Cycle Inventory</w:t>
            </w:r>
          </w:p>
        </w:tc>
      </w:tr>
      <w:tr w:rsidR="00AB516C" w:rsidRPr="00E20F24" w14:paraId="0D91C845" w14:textId="77777777" w:rsidTr="00910907">
        <w:tc>
          <w:tcPr>
            <w:tcW w:w="822" w:type="pct"/>
          </w:tcPr>
          <w:p w14:paraId="68726FB8" w14:textId="77777777" w:rsidR="00AB516C" w:rsidRDefault="00AB516C" w:rsidP="00BD2EB8">
            <w:pPr>
              <w:spacing w:line="276" w:lineRule="auto"/>
              <w:jc w:val="center"/>
              <w:rPr>
                <w:lang w:val="en-US"/>
              </w:rPr>
            </w:pPr>
            <w:r>
              <w:rPr>
                <w:lang w:val="en-US"/>
              </w:rPr>
              <w:t>LCIA</w:t>
            </w:r>
          </w:p>
          <w:p w14:paraId="7974C549" w14:textId="5D90A43C" w:rsidR="009D23C3" w:rsidRPr="00E20F24" w:rsidRDefault="009D23C3" w:rsidP="00BD2EB8">
            <w:pPr>
              <w:spacing w:line="276" w:lineRule="auto"/>
              <w:jc w:val="center"/>
              <w:rPr>
                <w:lang w:val="en-US"/>
              </w:rPr>
            </w:pPr>
            <w:r>
              <w:rPr>
                <w:lang w:val="en-US"/>
              </w:rPr>
              <w:t>LCIAM</w:t>
            </w:r>
          </w:p>
        </w:tc>
        <w:tc>
          <w:tcPr>
            <w:tcW w:w="4178" w:type="pct"/>
          </w:tcPr>
          <w:p w14:paraId="71A0D35F" w14:textId="77777777" w:rsidR="00AB516C" w:rsidRDefault="00AB516C" w:rsidP="00BD2EB8">
            <w:pPr>
              <w:spacing w:line="276" w:lineRule="auto"/>
              <w:jc w:val="left"/>
            </w:pPr>
            <w:r w:rsidRPr="009A215A">
              <w:t>Life Cycle I</w:t>
            </w:r>
            <w:proofErr w:type="spellStart"/>
            <w:r>
              <w:rPr>
                <w:lang w:val="en-US"/>
              </w:rPr>
              <w:t>mpact</w:t>
            </w:r>
            <w:proofErr w:type="spellEnd"/>
            <w:r w:rsidRPr="009A215A">
              <w:t xml:space="preserve"> Assessment</w:t>
            </w:r>
          </w:p>
          <w:p w14:paraId="0FC18180" w14:textId="367545EA" w:rsidR="009D23C3" w:rsidRPr="009D23C3" w:rsidRDefault="009D23C3" w:rsidP="00BD2EB8">
            <w:pPr>
              <w:spacing w:line="276" w:lineRule="auto"/>
              <w:jc w:val="left"/>
              <w:rPr>
                <w:lang w:val="en-US"/>
              </w:rPr>
            </w:pPr>
            <w:r w:rsidRPr="009A215A">
              <w:t>Life Cycle I</w:t>
            </w:r>
            <w:proofErr w:type="spellStart"/>
            <w:r>
              <w:rPr>
                <w:lang w:val="en-US"/>
              </w:rPr>
              <w:t>mpact</w:t>
            </w:r>
            <w:proofErr w:type="spellEnd"/>
            <w:r w:rsidRPr="009A215A">
              <w:t xml:space="preserve"> Assessment</w:t>
            </w:r>
            <w:r>
              <w:rPr>
                <w:lang w:val="en-US"/>
              </w:rPr>
              <w:t xml:space="preserve"> Method</w:t>
            </w:r>
          </w:p>
        </w:tc>
      </w:tr>
      <w:tr w:rsidR="00AB516C" w:rsidRPr="00E20F24" w14:paraId="303E1FA1" w14:textId="77777777" w:rsidTr="00910907">
        <w:tc>
          <w:tcPr>
            <w:tcW w:w="822" w:type="pct"/>
          </w:tcPr>
          <w:p w14:paraId="2CBCBE75" w14:textId="77777777" w:rsidR="00AB516C" w:rsidRDefault="00AB516C" w:rsidP="00BD2EB8">
            <w:pPr>
              <w:spacing w:line="276" w:lineRule="auto"/>
              <w:jc w:val="center"/>
              <w:rPr>
                <w:lang w:val="en-US"/>
              </w:rPr>
            </w:pPr>
            <w:r>
              <w:rPr>
                <w:lang w:val="en-US"/>
              </w:rPr>
              <w:t>ILCD</w:t>
            </w:r>
          </w:p>
        </w:tc>
        <w:tc>
          <w:tcPr>
            <w:tcW w:w="4178" w:type="pct"/>
          </w:tcPr>
          <w:p w14:paraId="5FE35B9A" w14:textId="77777777" w:rsidR="00AB516C" w:rsidRPr="009A215A" w:rsidRDefault="00AB516C" w:rsidP="00BD2EB8">
            <w:pPr>
              <w:spacing w:line="276" w:lineRule="auto"/>
              <w:jc w:val="left"/>
            </w:pPr>
            <w:r>
              <w:rPr>
                <w:lang w:val="en-US"/>
              </w:rPr>
              <w:t>International Reference Life Cycle Data System</w:t>
            </w:r>
          </w:p>
        </w:tc>
      </w:tr>
      <w:tr w:rsidR="00AB516C" w:rsidRPr="00E20F24" w14:paraId="7828E1CF" w14:textId="77777777" w:rsidTr="00910907">
        <w:tc>
          <w:tcPr>
            <w:tcW w:w="822" w:type="pct"/>
          </w:tcPr>
          <w:p w14:paraId="5A50208E" w14:textId="77777777" w:rsidR="00AB516C" w:rsidRDefault="00AB516C" w:rsidP="00BD2EB8">
            <w:pPr>
              <w:spacing w:line="276" w:lineRule="auto"/>
              <w:jc w:val="center"/>
              <w:rPr>
                <w:lang w:val="en-US"/>
              </w:rPr>
            </w:pPr>
            <w:r>
              <w:rPr>
                <w:lang w:val="en-US"/>
              </w:rPr>
              <w:t>Fr</w:t>
            </w:r>
          </w:p>
        </w:tc>
        <w:tc>
          <w:tcPr>
            <w:tcW w:w="4178" w:type="pct"/>
          </w:tcPr>
          <w:p w14:paraId="4EFDC2D9" w14:textId="77777777" w:rsidR="00AB516C" w:rsidRPr="005A3B49" w:rsidRDefault="00AB516C" w:rsidP="00BD2EB8">
            <w:pPr>
              <w:spacing w:line="276" w:lineRule="auto"/>
              <w:jc w:val="left"/>
              <w:rPr>
                <w:lang w:val="en-US"/>
              </w:rPr>
            </w:pPr>
            <w:r>
              <w:rPr>
                <w:lang w:val="en-US"/>
              </w:rPr>
              <w:t>France</w:t>
            </w:r>
          </w:p>
        </w:tc>
      </w:tr>
      <w:tr w:rsidR="00AB516C" w:rsidRPr="00E20F24" w14:paraId="50620FB2" w14:textId="77777777" w:rsidTr="00910907">
        <w:tc>
          <w:tcPr>
            <w:tcW w:w="822" w:type="pct"/>
          </w:tcPr>
          <w:p w14:paraId="536BC061" w14:textId="77777777" w:rsidR="00AB516C" w:rsidRDefault="00AB516C" w:rsidP="00BD2EB8">
            <w:pPr>
              <w:spacing w:line="276" w:lineRule="auto"/>
              <w:jc w:val="center"/>
              <w:rPr>
                <w:lang w:val="en-US"/>
              </w:rPr>
            </w:pPr>
            <w:r>
              <w:rPr>
                <w:lang w:val="en-US"/>
              </w:rPr>
              <w:t>RER</w:t>
            </w:r>
          </w:p>
        </w:tc>
        <w:tc>
          <w:tcPr>
            <w:tcW w:w="4178" w:type="pct"/>
          </w:tcPr>
          <w:p w14:paraId="67C01E94" w14:textId="77777777" w:rsidR="00AB516C" w:rsidRPr="005A3B49" w:rsidRDefault="00AB516C" w:rsidP="00BD2EB8">
            <w:pPr>
              <w:spacing w:line="276" w:lineRule="auto"/>
              <w:jc w:val="left"/>
              <w:rPr>
                <w:lang w:val="en-US"/>
              </w:rPr>
            </w:pPr>
            <w:r>
              <w:rPr>
                <w:lang w:val="en-US"/>
              </w:rPr>
              <w:t>Europe</w:t>
            </w:r>
          </w:p>
        </w:tc>
      </w:tr>
      <w:tr w:rsidR="00AB516C" w:rsidRPr="00E20F24" w14:paraId="611B83E2" w14:textId="77777777" w:rsidTr="00910907">
        <w:tc>
          <w:tcPr>
            <w:tcW w:w="822" w:type="pct"/>
          </w:tcPr>
          <w:p w14:paraId="5D010A23" w14:textId="77777777" w:rsidR="00AB516C" w:rsidRDefault="00AB516C" w:rsidP="00BD2EB8">
            <w:pPr>
              <w:spacing w:line="276" w:lineRule="auto"/>
              <w:jc w:val="center"/>
              <w:rPr>
                <w:lang w:val="en-US"/>
              </w:rPr>
            </w:pPr>
            <w:r>
              <w:rPr>
                <w:lang w:val="en-US"/>
              </w:rPr>
              <w:t>GLO</w:t>
            </w:r>
          </w:p>
        </w:tc>
        <w:tc>
          <w:tcPr>
            <w:tcW w:w="4178" w:type="pct"/>
          </w:tcPr>
          <w:p w14:paraId="0BEEBED4" w14:textId="77777777" w:rsidR="00AB516C" w:rsidRPr="005A3B49" w:rsidRDefault="00AB516C" w:rsidP="00BD2EB8">
            <w:pPr>
              <w:spacing w:line="276" w:lineRule="auto"/>
              <w:jc w:val="left"/>
              <w:rPr>
                <w:lang w:val="en-US"/>
              </w:rPr>
            </w:pPr>
            <w:r>
              <w:rPr>
                <w:lang w:val="en-US"/>
              </w:rPr>
              <w:t>Global</w:t>
            </w:r>
          </w:p>
        </w:tc>
      </w:tr>
      <w:tr w:rsidR="00AB516C" w:rsidRPr="00E20F24" w14:paraId="4DD9B2BC" w14:textId="77777777" w:rsidTr="00910907">
        <w:tc>
          <w:tcPr>
            <w:tcW w:w="822" w:type="pct"/>
          </w:tcPr>
          <w:p w14:paraId="779F7021" w14:textId="77777777" w:rsidR="00AB516C" w:rsidRDefault="00AB516C" w:rsidP="00BD2EB8">
            <w:pPr>
              <w:spacing w:line="276" w:lineRule="auto"/>
              <w:jc w:val="center"/>
              <w:rPr>
                <w:lang w:val="en-US"/>
              </w:rPr>
            </w:pPr>
            <w:r>
              <w:rPr>
                <w:lang w:val="en-US"/>
              </w:rPr>
              <w:t>PCs</w:t>
            </w:r>
          </w:p>
        </w:tc>
        <w:tc>
          <w:tcPr>
            <w:tcW w:w="4178" w:type="pct"/>
          </w:tcPr>
          <w:p w14:paraId="3A9DABEF" w14:textId="77777777" w:rsidR="00AB516C" w:rsidRPr="009A215A" w:rsidRDefault="00AB516C" w:rsidP="00BD2EB8">
            <w:pPr>
              <w:spacing w:line="276" w:lineRule="auto"/>
              <w:jc w:val="left"/>
            </w:pPr>
            <w:r>
              <w:rPr>
                <w:lang w:val="en-US"/>
              </w:rPr>
              <w:t>C</w:t>
            </w:r>
            <w:r>
              <w:t>omputers</w:t>
            </w:r>
          </w:p>
        </w:tc>
      </w:tr>
      <w:tr w:rsidR="00AB516C" w:rsidRPr="00E20F24" w14:paraId="3EE11DE0" w14:textId="77777777" w:rsidTr="00910907">
        <w:tc>
          <w:tcPr>
            <w:tcW w:w="822" w:type="pct"/>
          </w:tcPr>
          <w:p w14:paraId="33AAB801" w14:textId="77777777" w:rsidR="00AB516C" w:rsidRDefault="00AB516C" w:rsidP="00BD2EB8">
            <w:pPr>
              <w:spacing w:line="276" w:lineRule="auto"/>
              <w:jc w:val="center"/>
              <w:rPr>
                <w:lang w:val="en-US"/>
              </w:rPr>
            </w:pPr>
            <w:r>
              <w:rPr>
                <w:lang w:val="en-US"/>
              </w:rPr>
              <w:t>PEF</w:t>
            </w:r>
          </w:p>
        </w:tc>
        <w:tc>
          <w:tcPr>
            <w:tcW w:w="4178" w:type="pct"/>
          </w:tcPr>
          <w:p w14:paraId="3761D2CF" w14:textId="77777777" w:rsidR="00AB516C" w:rsidRPr="009A215A" w:rsidRDefault="00AB516C" w:rsidP="00BD2EB8">
            <w:pPr>
              <w:spacing w:line="276" w:lineRule="auto"/>
              <w:jc w:val="left"/>
            </w:pPr>
            <w:r>
              <w:t>Product Environmental Footprint</w:t>
            </w:r>
          </w:p>
        </w:tc>
      </w:tr>
      <w:tr w:rsidR="00AB516C" w:rsidRPr="00E20F24" w14:paraId="58762A95" w14:textId="77777777" w:rsidTr="00910907">
        <w:tc>
          <w:tcPr>
            <w:tcW w:w="822" w:type="pct"/>
          </w:tcPr>
          <w:p w14:paraId="5D43E993" w14:textId="77777777" w:rsidR="00AB516C" w:rsidRDefault="00AB516C" w:rsidP="00BD2EB8">
            <w:pPr>
              <w:spacing w:line="276" w:lineRule="auto"/>
              <w:jc w:val="center"/>
              <w:rPr>
                <w:lang w:val="en-US"/>
              </w:rPr>
            </w:pPr>
            <w:r>
              <w:rPr>
                <w:lang w:val="en-US"/>
              </w:rPr>
              <w:t>CFs</w:t>
            </w:r>
          </w:p>
        </w:tc>
        <w:tc>
          <w:tcPr>
            <w:tcW w:w="4178" w:type="pct"/>
          </w:tcPr>
          <w:p w14:paraId="11648605" w14:textId="77777777" w:rsidR="00AB516C" w:rsidRPr="009A215A" w:rsidRDefault="00AB516C" w:rsidP="00BD2EB8">
            <w:pPr>
              <w:spacing w:line="276" w:lineRule="auto"/>
              <w:jc w:val="left"/>
            </w:pPr>
            <w:r>
              <w:rPr>
                <w:lang w:val="en-US"/>
              </w:rPr>
              <w:t>C</w:t>
            </w:r>
            <w:r w:rsidRPr="009A215A">
              <w:t>haracterization factors</w:t>
            </w:r>
          </w:p>
        </w:tc>
      </w:tr>
      <w:tr w:rsidR="00AB516C" w:rsidRPr="00E20F24" w14:paraId="68465335" w14:textId="77777777" w:rsidTr="00910907">
        <w:tc>
          <w:tcPr>
            <w:tcW w:w="822" w:type="pct"/>
          </w:tcPr>
          <w:p w14:paraId="484C7BE2" w14:textId="77777777" w:rsidR="00AB516C" w:rsidRDefault="00AB516C" w:rsidP="00634949">
            <w:pPr>
              <w:spacing w:line="276" w:lineRule="auto"/>
              <w:jc w:val="center"/>
              <w:rPr>
                <w:lang w:val="en-US"/>
              </w:rPr>
            </w:pPr>
            <w:r>
              <w:rPr>
                <w:lang w:val="en-US"/>
              </w:rPr>
              <w:t>ADP</w:t>
            </w:r>
          </w:p>
        </w:tc>
        <w:tc>
          <w:tcPr>
            <w:tcW w:w="4178" w:type="pct"/>
          </w:tcPr>
          <w:p w14:paraId="39395A34" w14:textId="77777777" w:rsidR="00AB516C" w:rsidRDefault="00AB516C" w:rsidP="00634949">
            <w:pPr>
              <w:spacing w:line="276" w:lineRule="auto"/>
              <w:jc w:val="left"/>
              <w:rPr>
                <w:lang w:val="en-US"/>
              </w:rPr>
            </w:pPr>
            <w:r w:rsidRPr="009A215A">
              <w:t>Abiotic Depletion Potential</w:t>
            </w:r>
          </w:p>
        </w:tc>
      </w:tr>
      <w:tr w:rsidR="00AB516C" w:rsidRPr="00E20F24" w14:paraId="786D4BDF" w14:textId="77777777" w:rsidTr="00910907">
        <w:tc>
          <w:tcPr>
            <w:tcW w:w="822" w:type="pct"/>
          </w:tcPr>
          <w:p w14:paraId="72516C5B" w14:textId="77777777" w:rsidR="00AB516C" w:rsidRPr="00633EF7" w:rsidRDefault="00AB516C" w:rsidP="00634949">
            <w:pPr>
              <w:spacing w:line="276" w:lineRule="auto"/>
              <w:jc w:val="center"/>
              <w:rPr>
                <w:lang w:val="pt-BR"/>
              </w:rPr>
            </w:pPr>
            <w:proofErr w:type="spellStart"/>
            <w:r w:rsidRPr="00633EF7">
              <w:rPr>
                <w:lang w:val="pt-BR"/>
              </w:rPr>
              <w:t>NFs</w:t>
            </w:r>
            <w:proofErr w:type="spellEnd"/>
          </w:p>
          <w:p w14:paraId="1EA2625D" w14:textId="77777777" w:rsidR="003559A0" w:rsidRPr="00633EF7" w:rsidRDefault="003559A0" w:rsidP="00634949">
            <w:pPr>
              <w:spacing w:line="276" w:lineRule="auto"/>
              <w:jc w:val="center"/>
              <w:rPr>
                <w:lang w:val="pt-BR"/>
              </w:rPr>
            </w:pPr>
            <w:r w:rsidRPr="00633EF7">
              <w:rPr>
                <w:lang w:val="pt-BR"/>
              </w:rPr>
              <w:t>IAM</w:t>
            </w:r>
          </w:p>
          <w:p w14:paraId="5B23C80D" w14:textId="77777777" w:rsidR="009B1FF3" w:rsidRPr="00633EF7" w:rsidRDefault="009B1FF3" w:rsidP="00634949">
            <w:pPr>
              <w:spacing w:line="276" w:lineRule="auto"/>
              <w:jc w:val="center"/>
              <w:rPr>
                <w:lang w:val="pt-BR"/>
              </w:rPr>
            </w:pPr>
            <w:proofErr w:type="spellStart"/>
            <w:r w:rsidRPr="00633EF7">
              <w:rPr>
                <w:lang w:val="pt-BR"/>
              </w:rPr>
              <w:t>SSPs</w:t>
            </w:r>
            <w:proofErr w:type="spellEnd"/>
          </w:p>
          <w:p w14:paraId="071B532A" w14:textId="121260B0" w:rsidR="002A0170" w:rsidRDefault="009B1FF3" w:rsidP="00FC6BFF">
            <w:pPr>
              <w:spacing w:line="276" w:lineRule="auto"/>
              <w:jc w:val="center"/>
              <w:rPr>
                <w:lang w:val="pt-BR"/>
              </w:rPr>
            </w:pPr>
            <w:r w:rsidRPr="00633EF7">
              <w:rPr>
                <w:lang w:val="pt-BR"/>
              </w:rPr>
              <w:t>CML</w:t>
            </w:r>
          </w:p>
          <w:p w14:paraId="6CF2FBAE" w14:textId="4883E5FF" w:rsidR="007F5E84" w:rsidRPr="00633EF7" w:rsidRDefault="007F5E84" w:rsidP="00634949">
            <w:pPr>
              <w:spacing w:line="276" w:lineRule="auto"/>
              <w:jc w:val="center"/>
              <w:rPr>
                <w:lang w:val="pt-BR"/>
              </w:rPr>
            </w:pPr>
            <w:r w:rsidRPr="00633EF7">
              <w:rPr>
                <w:lang w:val="pt-BR"/>
              </w:rPr>
              <w:t>P204</w:t>
            </w:r>
          </w:p>
        </w:tc>
        <w:tc>
          <w:tcPr>
            <w:tcW w:w="4178" w:type="pct"/>
          </w:tcPr>
          <w:p w14:paraId="0589CF47" w14:textId="77777777" w:rsidR="00AB516C" w:rsidRDefault="00AB516C" w:rsidP="00634949">
            <w:pPr>
              <w:spacing w:line="276" w:lineRule="auto"/>
              <w:jc w:val="left"/>
            </w:pPr>
            <w:r>
              <w:rPr>
                <w:lang w:val="en-US"/>
              </w:rPr>
              <w:t>N</w:t>
            </w:r>
            <w:r w:rsidRPr="007A050C">
              <w:t>ormalization factors</w:t>
            </w:r>
          </w:p>
          <w:p w14:paraId="157F57DA" w14:textId="77777777" w:rsidR="003559A0" w:rsidRDefault="003559A0" w:rsidP="00634949">
            <w:pPr>
              <w:spacing w:line="276" w:lineRule="auto"/>
              <w:jc w:val="left"/>
            </w:pPr>
            <w:r w:rsidRPr="009264F4">
              <w:t>Integrated Assessment Models</w:t>
            </w:r>
          </w:p>
          <w:p w14:paraId="11F3817E" w14:textId="77777777" w:rsidR="009B1FF3" w:rsidRDefault="009B1FF3" w:rsidP="00634949">
            <w:pPr>
              <w:spacing w:line="276" w:lineRule="auto"/>
              <w:jc w:val="left"/>
            </w:pPr>
            <w:r w:rsidRPr="00DF7B25">
              <w:t>Shared Socioeconomic Pathways</w:t>
            </w:r>
          </w:p>
          <w:p w14:paraId="413CC33D" w14:textId="0F6BFE97" w:rsidR="002A0170" w:rsidRDefault="009B1FF3" w:rsidP="00634949">
            <w:pPr>
              <w:spacing w:line="276" w:lineRule="auto"/>
              <w:jc w:val="left"/>
              <w:rPr>
                <w:lang w:val="en-US"/>
              </w:rPr>
            </w:pPr>
            <w:r w:rsidRPr="00C72140">
              <w:rPr>
                <w:lang w:val="en-US"/>
              </w:rPr>
              <w:t xml:space="preserve">Institute of Environmental Sciences </w:t>
            </w:r>
            <w:r>
              <w:rPr>
                <w:lang w:val="en-US"/>
              </w:rPr>
              <w:t>at</w:t>
            </w:r>
            <w:r w:rsidRPr="00C72140">
              <w:rPr>
                <w:lang w:val="en-US"/>
              </w:rPr>
              <w:t xml:space="preserve"> Leiden University</w:t>
            </w:r>
          </w:p>
          <w:p w14:paraId="40AE43D6" w14:textId="609B4F44" w:rsidR="007F5E84" w:rsidRDefault="007F5E84" w:rsidP="00634949">
            <w:pPr>
              <w:spacing w:line="276" w:lineRule="auto"/>
              <w:jc w:val="left"/>
              <w:rPr>
                <w:lang w:val="en-US"/>
              </w:rPr>
            </w:pPr>
            <w:r>
              <w:rPr>
                <w:lang w:val="en-US"/>
              </w:rPr>
              <w:t>D</w:t>
            </w:r>
            <w:r w:rsidRPr="00E1065C">
              <w:rPr>
                <w:lang w:val="en-US"/>
              </w:rPr>
              <w:t>ioctyl phosphate</w:t>
            </w:r>
          </w:p>
        </w:tc>
      </w:tr>
    </w:tbl>
    <w:p w14:paraId="23F81977" w14:textId="7C0F5339" w:rsidR="00165646" w:rsidRDefault="00653311" w:rsidP="003559A0">
      <w:pPr>
        <w:spacing w:before="0" w:after="0" w:line="276" w:lineRule="auto"/>
        <w:contextualSpacing w:val="0"/>
        <w:jc w:val="left"/>
        <w:rPr>
          <w:lang w:val="en-US"/>
        </w:rPr>
      </w:pPr>
      <w:r>
        <w:rPr>
          <w:lang w:val="en-US"/>
        </w:rPr>
        <w:br w:type="page"/>
      </w:r>
    </w:p>
    <w:p w14:paraId="45913575" w14:textId="5455E62C" w:rsidR="00165646" w:rsidRDefault="00165646" w:rsidP="008B40FE">
      <w:pPr>
        <w:pStyle w:val="Title"/>
        <w:rPr>
          <w:lang w:val="en-US"/>
        </w:rPr>
      </w:pPr>
      <w:bookmarkStart w:id="3" w:name="_Toc76752256"/>
      <w:r>
        <w:rPr>
          <w:lang w:val="en-US"/>
        </w:rPr>
        <w:lastRenderedPageBreak/>
        <w:t>Executive summary</w:t>
      </w:r>
      <w:bookmarkEnd w:id="3"/>
    </w:p>
    <w:p w14:paraId="6EBCB360" w14:textId="77777777" w:rsidR="00165646" w:rsidRDefault="00165646" w:rsidP="00165646">
      <w:pPr>
        <w:rPr>
          <w:lang w:val="en-US"/>
        </w:rPr>
      </w:pPr>
    </w:p>
    <w:p w14:paraId="583A5CF7" w14:textId="77777777" w:rsidR="00165646" w:rsidRPr="004617D0" w:rsidRDefault="00165646" w:rsidP="00165B32">
      <w:pPr>
        <w:rPr>
          <w:lang w:val="en-US"/>
        </w:rPr>
      </w:pPr>
      <w:r w:rsidRPr="004617D0">
        <w:rPr>
          <w:lang w:val="en-US"/>
        </w:rPr>
        <w:t>The rare-earth elements (REEs) are Europe’s most critical raw-materials group. Their fundamental applicability in green technologies such as electric vehicles and wind turbines is critical to attaining a low-carbon future. The largest REEs deposit is in China, the global leader of the supply chain. Although the resource is not naturally scarce, the Chinese near-monopoly poses a threat in the European demand-supply dynamic.</w:t>
      </w:r>
    </w:p>
    <w:p w14:paraId="520D4992" w14:textId="77777777" w:rsidR="00165646" w:rsidRPr="004617D0" w:rsidRDefault="00165646" w:rsidP="00165646">
      <w:pPr>
        <w:rPr>
          <w:lang w:val="en-US"/>
        </w:rPr>
      </w:pPr>
    </w:p>
    <w:p w14:paraId="62CC37B6" w14:textId="2A918C94" w:rsidR="00165646" w:rsidRPr="004617D0" w:rsidRDefault="00165646" w:rsidP="00165646">
      <w:pPr>
        <w:rPr>
          <w:lang w:val="en-US"/>
        </w:rPr>
      </w:pPr>
      <w:r w:rsidRPr="004617D0">
        <w:rPr>
          <w:lang w:val="en-US"/>
        </w:rPr>
        <w:t xml:space="preserve">The </w:t>
      </w:r>
      <w:proofErr w:type="spellStart"/>
      <w:r w:rsidRPr="004617D0">
        <w:rPr>
          <w:lang w:val="en-US"/>
        </w:rPr>
        <w:t>NdFeB</w:t>
      </w:r>
      <w:proofErr w:type="spellEnd"/>
      <w:r w:rsidRPr="004617D0">
        <w:rPr>
          <w:lang w:val="en-US"/>
        </w:rPr>
        <w:t xml:space="preserve"> permanent magnet is the most common industrial application of Nd, a REE. They are used in computer and laptop’s hard disk drivers (HDDs), electric motors, wind turbines, and electric vehicles. Computer and laptops have a shorter lifespan than the other applications, being part of today’s REEs urban mine. </w:t>
      </w:r>
      <w:r w:rsidR="00040DFD">
        <w:rPr>
          <w:lang w:val="en-US"/>
        </w:rPr>
        <w:t>Industrial r</w:t>
      </w:r>
      <w:r w:rsidRPr="004617D0">
        <w:rPr>
          <w:lang w:val="en-US"/>
        </w:rPr>
        <w:t>ecycling of REEs is not established yet. Industry and academia are working to introduce an economical and environmentally viable route. The VALOMAG project wants to investigate the environmental burdens due to the implementation of a hydrometallurgical recycling route using weak acid at an industrial scale. This thesis reports on that. The Life Cycle Assessment</w:t>
      </w:r>
      <w:r w:rsidR="00BB0FA3">
        <w:rPr>
          <w:lang w:val="en-US"/>
        </w:rPr>
        <w:t xml:space="preserve"> (LCA) </w:t>
      </w:r>
      <w:r w:rsidRPr="004617D0">
        <w:rPr>
          <w:lang w:val="en-US"/>
        </w:rPr>
        <w:t>methodology was applied at a theoretical hydrometallurgical route using acetic acid for leaching and oxalic acid for precipitation. The route also allows chemical recycling through a loop within it. The LCA was applied ex-ante, so the emerging technology was upscaled considering the potential future scenario in which it will be ready for an industrial implementation (in 2030). Afterward, its environmental performance was compared to the established primary production route for REEs. The objective was to identify the potential environmental hotspots of the emerging technology to draw recommendations</w:t>
      </w:r>
      <w:r w:rsidR="00BB0FA3">
        <w:rPr>
          <w:lang w:val="en-US"/>
        </w:rPr>
        <w:t xml:space="preserve"> </w:t>
      </w:r>
      <w:r w:rsidRPr="004617D0">
        <w:rPr>
          <w:lang w:val="en-US"/>
        </w:rPr>
        <w:t xml:space="preserve">contributing to the problem-solution space and, ultimately, launch the technology in an environmentally sound manner </w:t>
      </w:r>
      <w:r w:rsidR="00BB0FA3">
        <w:rPr>
          <w:lang w:val="en-US"/>
        </w:rPr>
        <w:t xml:space="preserve">when </w:t>
      </w:r>
      <w:r w:rsidRPr="004617D0">
        <w:rPr>
          <w:lang w:val="en-US"/>
        </w:rPr>
        <w:t xml:space="preserve">compared to primary production. </w:t>
      </w:r>
    </w:p>
    <w:p w14:paraId="4F821A82" w14:textId="77777777" w:rsidR="00165646" w:rsidRPr="004617D0" w:rsidRDefault="00165646" w:rsidP="00165646">
      <w:pPr>
        <w:rPr>
          <w:lang w:val="en-US"/>
        </w:rPr>
      </w:pPr>
    </w:p>
    <w:p w14:paraId="4D3FBB74" w14:textId="0787671D" w:rsidR="00165646" w:rsidRPr="004617D0" w:rsidRDefault="00165646" w:rsidP="00165646">
      <w:pPr>
        <w:rPr>
          <w:lang w:val="en-US"/>
        </w:rPr>
      </w:pPr>
      <w:r w:rsidRPr="004617D0">
        <w:rPr>
          <w:lang w:val="en-US"/>
        </w:rPr>
        <w:t xml:space="preserve">The LCA results are not a prediction of </w:t>
      </w:r>
      <w:r w:rsidR="00E4012E">
        <w:rPr>
          <w:lang w:val="en-US"/>
        </w:rPr>
        <w:t xml:space="preserve">the </w:t>
      </w:r>
      <w:r w:rsidRPr="004617D0">
        <w:rPr>
          <w:lang w:val="en-US"/>
        </w:rPr>
        <w:t xml:space="preserve">technology’s environmental profile. The ex-ante nature of the analysis brings more uncertainty than usual. Due to that, </w:t>
      </w:r>
      <w:r w:rsidR="00E4012E">
        <w:rPr>
          <w:lang w:val="en-US"/>
        </w:rPr>
        <w:t>results</w:t>
      </w:r>
      <w:r w:rsidRPr="004617D0">
        <w:rPr>
          <w:lang w:val="en-US"/>
        </w:rPr>
        <w:t xml:space="preserve"> should be considered in a reserved way. The route’s hotspots were caught in the fragmentation and RE recovery steps. The RE recovery highly contributes to all impact categories. The oxalic acid used in the precipitation of REEs is the major contributor. Precipitation using oxalic acid also allows the regeneration of acetic acid. Nonetheless, the analysis showed that for the studied </w:t>
      </w:r>
      <w:r w:rsidRPr="004617D0">
        <w:rPr>
          <w:lang w:val="en-US"/>
        </w:rPr>
        <w:lastRenderedPageBreak/>
        <w:t>route, the chemical regeneration causes more environmental harm than good due to the use of oxalic acid as a precursor in acetic acid regeneration.</w:t>
      </w:r>
    </w:p>
    <w:p w14:paraId="28EC492C" w14:textId="77777777" w:rsidR="00165646" w:rsidRPr="004617D0" w:rsidRDefault="00165646" w:rsidP="00165646">
      <w:pPr>
        <w:rPr>
          <w:lang w:val="en-US"/>
        </w:rPr>
      </w:pPr>
      <w:r w:rsidRPr="004617D0">
        <w:rPr>
          <w:lang w:val="en-US"/>
        </w:rPr>
        <w:t xml:space="preserve">Additionally, in impact categories such as freshwater ecotoxicity, freshwater eutrophication, human health carcinogenic effects, and human health non-carcinogenic effects, the fragmentation quarrels to the major contribution. The direct emission of the dust generated in the shredding of HDDs and its treatment are pointed out to offset the contribution of this unit process to these impact categories. </w:t>
      </w:r>
    </w:p>
    <w:p w14:paraId="0BBFD782" w14:textId="77777777" w:rsidR="00165646" w:rsidRPr="004617D0" w:rsidRDefault="00165646" w:rsidP="00165646">
      <w:pPr>
        <w:rPr>
          <w:lang w:val="en-US"/>
        </w:rPr>
      </w:pPr>
    </w:p>
    <w:p w14:paraId="59BB4462" w14:textId="6FE1AD7A" w:rsidR="00165646" w:rsidRPr="004617D0" w:rsidRDefault="00165646" w:rsidP="00165646">
      <w:pPr>
        <w:rPr>
          <w:lang w:val="en-US"/>
        </w:rPr>
      </w:pPr>
      <w:r w:rsidRPr="004617D0">
        <w:rPr>
          <w:lang w:val="en-US"/>
        </w:rPr>
        <w:t>In comparison with primary production, the environmental performance of the recycling route was inferior. However, any declaration is still premature due to the uncertainties inherent to ex-ante LCAs, which entails low robustness to the results. A particular one regards the approach to stipulate the price of compound goods produced in the route</w:t>
      </w:r>
      <w:r w:rsidR="00E4012E">
        <w:rPr>
          <w:lang w:val="en-US"/>
        </w:rPr>
        <w:t>, which</w:t>
      </w:r>
      <w:r w:rsidRPr="004617D0">
        <w:rPr>
          <w:lang w:val="en-US"/>
        </w:rPr>
        <w:t xml:space="preserve"> allocates more burden to the system than it is supposed.</w:t>
      </w:r>
    </w:p>
    <w:p w14:paraId="003B3940" w14:textId="77777777" w:rsidR="00165646" w:rsidRPr="004617D0" w:rsidRDefault="00165646" w:rsidP="00165646">
      <w:pPr>
        <w:rPr>
          <w:lang w:val="en-US"/>
        </w:rPr>
      </w:pPr>
    </w:p>
    <w:p w14:paraId="7B0FF0F6" w14:textId="22558FAA" w:rsidR="00165646" w:rsidRPr="004617D0" w:rsidRDefault="00165646" w:rsidP="00165646">
      <w:pPr>
        <w:rPr>
          <w:lang w:val="en-US"/>
        </w:rPr>
      </w:pPr>
      <w:r w:rsidRPr="004617D0">
        <w:rPr>
          <w:lang w:val="en-US"/>
        </w:rPr>
        <w:t>For the RE recovery unit process, it can be recommended better data collection, investigation of a substitute chemical for oxalic acid, its regeneration, or a change of precipitation technique. For the fragmentation step, it can be recommended to redesign the process to turn it less harsh, generating less dust. A recommendation to improve the modeling lies in an alternative approach to stipulate the price of compound goods coproduced in the route</w:t>
      </w:r>
      <w:r w:rsidR="00D22DA6">
        <w:rPr>
          <w:lang w:val="en-US"/>
        </w:rPr>
        <w:t>, which are</w:t>
      </w:r>
      <w:r w:rsidRPr="004617D0">
        <w:rPr>
          <w:lang w:val="en-US"/>
        </w:rPr>
        <w:t xml:space="preserve"> non-commercialized yet. For that, it is essential to define the function of these products well. In the future, it can be suggested to investigate a change in the leaching solid-liquid ratio to understand the implications to the system’s environmental profile considering the route’s throughput. </w:t>
      </w:r>
    </w:p>
    <w:p w14:paraId="2D9C0DB9" w14:textId="77777777" w:rsidR="00165646" w:rsidRPr="004617D0" w:rsidRDefault="00165646" w:rsidP="00165646">
      <w:pPr>
        <w:rPr>
          <w:lang w:val="en-US"/>
        </w:rPr>
      </w:pPr>
    </w:p>
    <w:p w14:paraId="3287C2FA" w14:textId="36B1F90A" w:rsidR="006478D5" w:rsidRDefault="00165646" w:rsidP="00165646">
      <w:pPr>
        <w:rPr>
          <w:lang w:val="en-US"/>
        </w:rPr>
        <w:sectPr w:rsidR="006478D5" w:rsidSect="004B432C">
          <w:footerReference w:type="default" r:id="rId12"/>
          <w:pgSz w:w="11906" w:h="16838"/>
          <w:pgMar w:top="1418" w:right="1418" w:bottom="1418" w:left="1418" w:header="709" w:footer="709" w:gutter="0"/>
          <w:pgNumType w:fmt="lowerRoman"/>
          <w:cols w:space="708"/>
          <w:docGrid w:linePitch="360"/>
        </w:sectPr>
      </w:pPr>
      <w:r w:rsidRPr="004617D0">
        <w:rPr>
          <w:lang w:val="en-US"/>
        </w:rPr>
        <w:t xml:space="preserve">An assertive declaration about the recycling route’s environmental performance is </w:t>
      </w:r>
      <w:r w:rsidR="000B2DEF">
        <w:rPr>
          <w:lang w:val="en-US"/>
        </w:rPr>
        <w:t xml:space="preserve">still </w:t>
      </w:r>
      <w:r w:rsidRPr="004617D0">
        <w:rPr>
          <w:lang w:val="en-US"/>
        </w:rPr>
        <w:t>premature. The ex-ante LCA has no means to provide it. However, the findings of this work stimulate critical thinking about the new technology’s environmental performance</w:t>
      </w:r>
      <w:r w:rsidR="00B4213A">
        <w:rPr>
          <w:lang w:val="en-US"/>
        </w:rPr>
        <w:t>,</w:t>
      </w:r>
      <w:r w:rsidRPr="004617D0">
        <w:rPr>
          <w:lang w:val="en-US"/>
        </w:rPr>
        <w:t xml:space="preserve"> broadening the research perspective and paving the way towards a truly sustainable resource efficiency practice for REEs recycling</w:t>
      </w:r>
      <w:r w:rsidR="000B2DEF">
        <w:rPr>
          <w:lang w:val="en-US"/>
        </w:rPr>
        <w:t xml:space="preserve"> soon</w:t>
      </w:r>
      <w:r w:rsidR="006478D5">
        <w:rPr>
          <w:lang w:val="en-US"/>
        </w:rPr>
        <w:t>.</w:t>
      </w:r>
    </w:p>
    <w:p w14:paraId="4A130214" w14:textId="06627311" w:rsidR="006478D5" w:rsidRDefault="006478D5">
      <w:pPr>
        <w:spacing w:before="0" w:after="0" w:line="240" w:lineRule="auto"/>
        <w:contextualSpacing w:val="0"/>
        <w:jc w:val="left"/>
        <w:rPr>
          <w:lang w:val="en-US"/>
        </w:rPr>
      </w:pPr>
    </w:p>
    <w:p w14:paraId="3CAC0C7D" w14:textId="06993512" w:rsidR="006478D5" w:rsidRDefault="006478D5" w:rsidP="00165646">
      <w:pPr>
        <w:rPr>
          <w:lang w:val="en-US"/>
        </w:rPr>
        <w:sectPr w:rsidR="006478D5" w:rsidSect="00E323F8">
          <w:footerReference w:type="default" r:id="rId13"/>
          <w:pgSz w:w="11906" w:h="16838"/>
          <w:pgMar w:top="1418" w:right="1418" w:bottom="1418" w:left="1418" w:header="709" w:footer="709" w:gutter="0"/>
          <w:cols w:space="708"/>
          <w:docGrid w:linePitch="360"/>
        </w:sectPr>
      </w:pPr>
    </w:p>
    <w:p w14:paraId="4F8D5554" w14:textId="2117565A" w:rsidR="00032793" w:rsidRPr="00C023D3" w:rsidRDefault="00032793" w:rsidP="00C023D3">
      <w:pPr>
        <w:spacing w:before="0" w:after="0" w:line="240" w:lineRule="auto"/>
        <w:contextualSpacing w:val="0"/>
        <w:jc w:val="left"/>
        <w:rPr>
          <w:lang w:val="en-US"/>
        </w:rPr>
      </w:pPr>
    </w:p>
    <w:p w14:paraId="476F0A31" w14:textId="311CB8D3" w:rsidR="00C10573" w:rsidRPr="009A215A" w:rsidRDefault="00C10573" w:rsidP="00F92ED7">
      <w:pPr>
        <w:pStyle w:val="Heading1"/>
      </w:pPr>
      <w:bookmarkStart w:id="4" w:name="_Toc76752257"/>
      <w:r w:rsidRPr="009A215A">
        <w:t>Introduction</w:t>
      </w:r>
      <w:bookmarkEnd w:id="4"/>
    </w:p>
    <w:p w14:paraId="06FA09FB" w14:textId="59008933" w:rsidR="009B01CE" w:rsidRPr="009A215A" w:rsidRDefault="009B01CE" w:rsidP="009A215A"/>
    <w:p w14:paraId="622A86CF" w14:textId="0EB972DE" w:rsidR="004515FB" w:rsidRDefault="005379DB" w:rsidP="009A215A">
      <w:r w:rsidRPr="009A215A">
        <w:t>The so-called rare-earth elements (</w:t>
      </w:r>
      <w:r w:rsidRPr="003B56FE">
        <w:t>REE</w:t>
      </w:r>
      <w:r w:rsidR="00BC2E81">
        <w:rPr>
          <w:lang w:val="en-US"/>
        </w:rPr>
        <w:t>s</w:t>
      </w:r>
      <w:r w:rsidRPr="009A215A">
        <w:t>) are classified by the International Union of Pure and Applied Chemistry (</w:t>
      </w:r>
      <w:r w:rsidRPr="003B56FE">
        <w:t>IUPAC)</w:t>
      </w:r>
      <w:r w:rsidRPr="009A215A">
        <w:t xml:space="preserve"> as a group of 17 </w:t>
      </w:r>
      <w:r w:rsidR="001D5E01" w:rsidRPr="009A215A">
        <w:t xml:space="preserve">chemically similar </w:t>
      </w:r>
      <w:r w:rsidRPr="009A215A">
        <w:t xml:space="preserve">metallic elements. Their group is constituted of 15 lanthanides, plus scandium and yttrium. Recently </w:t>
      </w:r>
      <w:r w:rsidR="00BC2E81" w:rsidRPr="009A215A">
        <w:t>REE</w:t>
      </w:r>
      <w:r w:rsidR="00BC2E81">
        <w:rPr>
          <w:lang w:val="en-US"/>
        </w:rPr>
        <w:t>s</w:t>
      </w:r>
      <w:r w:rsidR="00BC2E81" w:rsidRPr="009A215A">
        <w:t xml:space="preserve"> </w:t>
      </w:r>
      <w:r w:rsidRPr="009A215A">
        <w:t>are receiving increasing attention due to</w:t>
      </w:r>
      <w:r w:rsidR="00404A19" w:rsidRPr="009A215A">
        <w:t xml:space="preserve"> their </w:t>
      </w:r>
      <w:r w:rsidRPr="009A215A">
        <w:t>critical role in the low-carbon</w:t>
      </w:r>
      <w:r w:rsidR="00404A19" w:rsidRPr="009A215A">
        <w:t>, green</w:t>
      </w:r>
      <w:r w:rsidRPr="009A215A">
        <w:t xml:space="preserve"> future </w:t>
      </w:r>
      <w:r w:rsidR="00DF2846">
        <w:fldChar w:fldCharType="begin" w:fldLock="1"/>
      </w:r>
      <w:r w:rsidR="00CF6E3B">
        <w:instrText>ADDIN CSL_CITATION {"citationItems":[{"id":"ITEM-1","itemData":{"DOI":"10.1016/j.jclepro.2012.12.037","ISSN":"09596526","abstract":"The rare-earth elements (REEs) are becoming increasingly important in the transition to a green economy, due to their essential role in permanent magnets, lamp phosphors, catalysts, rechargeable batteries etc. With China presently producing more than 90% of the global REE output and its increasingly tight export quota, the rest of the world is confronted with a REE supply risk. Mining companies are now actively seeking new exploitable REE deposits while some old mines are being reopened. Because of the absence of economical and/or operational primary deposits on their territory, many countries will have to rely on recycling of REEs from pre-consumer scrap, industrial residues and REE-containing End-of-Life products. REE recycling is also recommended in view of the so-called \"balance problem\". For instance, primary mining of REE ores for neodymium generates an excess of the more abundant elements, lanthanum and cerium. Therefore, recycling of neodymium can reduce the total amount of REE ores that need to be extracted. Despite a vast, mostly lab-scale research effort on REE recycling, up to 2011 less than 1% of the REEs were actually recycled. This is mainly due to inefficient collection, technological problems and, especially, a lack of incentives. A drastic improvement in the recycling of REEs is, therefore, an absolute necessity. This can only be realized by developing efficient, fully integrated recycling routes, which can take advantage of the rich REE recycling literature. This paper provides an overview of this literature, with emphasis on three main applications: permanent magnets, nickel metal hydride batteries and lamp phosphors. The state of the art in preprocessing of End-of-Life materials containing REEs and the final REE recovery is discussed in detail. Both pyrometallurgical and hydrometallurgical routes for REE separation from non-REE elements in the recycled fractions are reviewed. The relevance of Life Cycle Assessment (LCA) for REE recycling is emphasized. The review corroborates that, in addition to mitigating the supply risk, REE recycling can reduce the environmental challenges associated with REE mining and processing. © 2013 Elsevier Ltd. All rights reserved.","author":[{"dropping-particle":"","family":"Binnemans","given":"Koen","non-dropping-particle":"","parse-names":false,"suffix":""},{"dropping-particle":"","family":"Jones","given":"Peter Tom","non-dropping-particle":"","parse-names":false,"suffix":""},{"dropping-particle":"","family":"Blanpain","given":"Bart","non-dropping-particle":"","parse-names":false,"suffix":""},{"dropping-particle":"","family":"Gerven","given":"Tom","non-dropping-particle":"Van","parse-names":false,"suffix":""},{"dropping-particle":"","family":"Yang","given":"Yongxiang","non-dropping-particle":"","parse-names":false,"suffix":""},{"dropping-particle":"","family":"Walton","given":"Allan","non-dropping-particle":"","parse-names":false,"suffix":""},{"dropping-particle":"","family":"Buchert","given":"Matthias","non-dropping-particle":"","parse-names":false,"suffix":""}],"container-title":"Journal of Cleaner Production","id":"ITEM-1","issued":{"date-parts":[["2013"]]},"page":"1-22","publisher":"Elsevier Ltd","title":"Recycling of rare earths: A critical review","type":"article-journal","volume":"51"},"uris":["http://www.mendeley.com/documents/?uuid=ffcb1f27-e0eb-4177-b9d0-80b5c80f1041"]}],"mendeley":{"formattedCitation":"(Binnemans et al., 2013)","plainTextFormattedCitation":"(Binnemans et al., 2013)","previouslyFormattedCitation":"(Binnemans et al., 2013)"},"properties":{"noteIndex":0},"schema":"https://github.com/citation-style-language/schema/raw/master/csl-citation.json"}</w:instrText>
      </w:r>
      <w:r w:rsidR="00DF2846">
        <w:fldChar w:fldCharType="separate"/>
      </w:r>
      <w:r w:rsidR="00CF6E3B" w:rsidRPr="00CF6E3B">
        <w:rPr>
          <w:noProof/>
        </w:rPr>
        <w:t>(Binnemans et al., 2013)</w:t>
      </w:r>
      <w:r w:rsidR="00DF2846">
        <w:fldChar w:fldCharType="end"/>
      </w:r>
      <w:r w:rsidRPr="009A215A">
        <w:t xml:space="preserve">. </w:t>
      </w:r>
      <w:r w:rsidR="00404A19" w:rsidRPr="009A215A">
        <w:t xml:space="preserve">Amongst their application they are found </w:t>
      </w:r>
      <w:r w:rsidRPr="009A215A">
        <w:t xml:space="preserve">in permanent magnets, lamp phosphors, catalysts, and rechargeable batteries. </w:t>
      </w:r>
      <w:r w:rsidR="00A14FFF">
        <w:rPr>
          <w:lang w:val="en-US"/>
        </w:rPr>
        <w:t>Even though</w:t>
      </w:r>
      <w:r w:rsidRPr="009A215A">
        <w:t xml:space="preserve"> being abundant on the Earth's crust, concerns surrounding REE</w:t>
      </w:r>
      <w:r w:rsidR="009F3A79">
        <w:rPr>
          <w:lang w:val="en-US"/>
        </w:rPr>
        <w:t>s</w:t>
      </w:r>
      <w:r w:rsidRPr="009A215A">
        <w:t xml:space="preserve"> supply exists. In its first list of critical raw materials, the European Commission classified REE</w:t>
      </w:r>
      <w:r w:rsidR="009F3A79">
        <w:rPr>
          <w:lang w:val="en-US"/>
        </w:rPr>
        <w:t>s</w:t>
      </w:r>
      <w:r w:rsidRPr="009A215A">
        <w:t xml:space="preserve"> as the most critical raw materials group, with the highest supply risk (European Commission, 2011</w:t>
      </w:r>
      <w:r w:rsidR="002D2692">
        <w:rPr>
          <w:lang w:val="en-US"/>
        </w:rPr>
        <w:t>a</w:t>
      </w:r>
      <w:r w:rsidRPr="009A215A">
        <w:t>). The up-to-date version of the list still bringing REE</w:t>
      </w:r>
      <w:r w:rsidR="009F3A79">
        <w:rPr>
          <w:lang w:val="en-US"/>
        </w:rPr>
        <w:t>s</w:t>
      </w:r>
      <w:r w:rsidRPr="009A215A">
        <w:t xml:space="preserve"> as critical raw material for Europe, having China as the supplier of 98% of EU's REE</w:t>
      </w:r>
      <w:r w:rsidR="009F3A79">
        <w:rPr>
          <w:lang w:val="en-US"/>
        </w:rPr>
        <w:t>s</w:t>
      </w:r>
      <w:r w:rsidRPr="009A215A">
        <w:t xml:space="preserve"> demand (European Commission, 2020).</w:t>
      </w:r>
    </w:p>
    <w:p w14:paraId="6355D640" w14:textId="77777777" w:rsidR="0059530C" w:rsidRDefault="0059530C" w:rsidP="009A215A"/>
    <w:p w14:paraId="7C15A471" w14:textId="5FF91737" w:rsidR="005379DB" w:rsidRPr="009A215A" w:rsidRDefault="005379DB" w:rsidP="009A215A">
      <w:r w:rsidRPr="009A215A">
        <w:t>Usually, the REE</w:t>
      </w:r>
      <w:r w:rsidR="009F3A79">
        <w:rPr>
          <w:lang w:val="en-US"/>
        </w:rPr>
        <w:t>s</w:t>
      </w:r>
      <w:r w:rsidRPr="009A215A">
        <w:t xml:space="preserve"> concentration in an ore is not high enough to justify direct mining exclusively. In this sense, REE</w:t>
      </w:r>
      <w:r w:rsidR="00BC2E81">
        <w:rPr>
          <w:lang w:val="en-US"/>
        </w:rPr>
        <w:t>s</w:t>
      </w:r>
      <w:r w:rsidRPr="009A215A">
        <w:t xml:space="preserve"> are "hitchhikers" metals, meaning that they are mined as "by-products" of other</w:t>
      </w:r>
      <w:r w:rsidR="00AC2BA9" w:rsidRPr="009A215A">
        <w:t>s</w:t>
      </w:r>
      <w:r w:rsidRPr="009A215A">
        <w:t>, more concentrated metals in ore, the "attractors." Today, there are two major supply chains producing REE</w:t>
      </w:r>
      <w:r w:rsidR="00BC2E81">
        <w:rPr>
          <w:lang w:val="en-US"/>
        </w:rPr>
        <w:t>s</w:t>
      </w:r>
      <w:r w:rsidRPr="009A215A">
        <w:t xml:space="preserve"> globally, the Chinese and the Australian</w:t>
      </w:r>
      <w:r w:rsidR="001D36CA">
        <w:rPr>
          <w:lang w:val="en-US"/>
        </w:rPr>
        <w:t xml:space="preserve"> </w:t>
      </w:r>
      <w:r w:rsidR="001D36CA">
        <w:fldChar w:fldCharType="begin" w:fldLock="1"/>
      </w:r>
      <w:r w:rsidR="00CF6E3B">
        <w:instrText>ADDIN CSL_CITATION {"citationItems":[{"id":"ITEM-1","itemData":{"DOI":"10.1016/j.wasman.2015.07.041","ISSN":"18792456","PMID":"26239935","abstract":"NdFeB-type magnets dominate the market for high performance magnetic materials, yet production of 'virgin' magnets via mining is environmentally, financially and energetically costly. Hence, interest is growing in 'magnet to magnet' recycling schemes that offer the potential for cheaper, more environmentally-friendly solutions to the world's growing appetite for rare-earth based magnetic materials. Unfortunately, previously described recycling processes only partially capitalise on this potential, because the methods described to date are limited to 'laboratory scale' or operate only under ideal conditions and result in products that fail to recapture the coercivity of the starting, scrap materials.Herein, we report a commercial scale process (120. kg batches) that completely recovers the properties of the starting scrap magnets. Indeed, 'grain boundary modification', via careful addition of a proprietary mix of blended elements, produces magnets with 'designer properties' that can exceed those of the starting materials and can be closely tailored to meet a wide variety of end-user applications, including high-coercivity (&gt;2000. kA/m), sintered magnets suitable for motor applications.","author":[{"dropping-particle":"","family":"Zakotnik","given":"M.","non-dropping-particle":"","parse-names":false,"suffix":""},{"dropping-particle":"","family":"Tudor","given":"C. O.","non-dropping-particle":"","parse-names":false,"suffix":""}],"container-title":"Waste Management","id":"ITEM-1","issued":{"date-parts":[["2015"]]},"page":"48-54","publisher":"Elsevier Ltd","title":"Commercial-scale recycling of NdFeB-type magnets with grain boundary modification yields products with 'designer properties' that exceed those of starting materials","type":"article-journal","volume":"44"},"uris":["http://www.mendeley.com/documents/?uuid=e3c39ec6-a6d1-48a9-a227-e336069c7031"]}],"mendeley":{"formattedCitation":"(Zakotnik &amp; Tudor, 2015)","plainTextFormattedCitation":"(Zakotnik &amp; Tudor, 2015)","previouslyFormattedCitation":"(Zakotnik &amp; Tudor, 2015)"},"properties":{"noteIndex":0},"schema":"https://github.com/citation-style-language/schema/raw/master/csl-citation.json"}</w:instrText>
      </w:r>
      <w:r w:rsidR="001D36CA">
        <w:fldChar w:fldCharType="separate"/>
      </w:r>
      <w:r w:rsidR="00CF6E3B" w:rsidRPr="00CF6E3B">
        <w:rPr>
          <w:noProof/>
        </w:rPr>
        <w:t>(Zakotnik &amp; Tudor, 2015)</w:t>
      </w:r>
      <w:r w:rsidR="001D36CA">
        <w:fldChar w:fldCharType="end"/>
      </w:r>
      <w:r w:rsidRPr="009A215A">
        <w:t xml:space="preserve">. The deposit of Bayan Obo in China is the largest worldwide, followed by Mount Weld's deposit in Australia </w:t>
      </w:r>
      <w:r w:rsidR="00535D9F">
        <w:fldChar w:fldCharType="begin" w:fldLock="1"/>
      </w:r>
      <w:r w:rsidR="00CF6E3B">
        <w:instrText>ADDIN CSL_CITATION {"citationItems":[{"id":"ITEM-1","itemData":{"DOI":"10.1021/acssuschemeng.7b04165","ISSN":"21680485","abstract":"Neodymium, praseodymium, and dysprosium are rare earth elements often used in high performance magnets. Environmental impacts during the production of a 1 kg of neodymium iron boron (NdFeB) magnet from three major deposits are quantified using life cycle assessment (LCA). The scope of the assessment includes the largest rare earth oxide (REO) production in Bayan Obo (China), the second largest at a mine in Mount Weld (Australia), and a third mine in Mountain Pass (U.S.A.) that closed production in 2015. Consecutively, impacts from metal refining and final magnet production are added. Environmental impacts along the magnet production life cycle are dominated by the production of rare earth components (50-99.9%). Using REOs from the American mine shows the best overall environmental performance due to improved handling of chemicals. The biggest differences from the worst Chinese pathway can be found in freshwater and terrestrial ecotoxicity, acidification, freshwater eutrophication, particulate matter, and human toxicity. The smallest differences are observed for climate change, resource depletion, and marine eutrophication. For the first time, an LCA for the three largest rare earth producers was performed under the same frame of conditions and methodological assumptions. This approach is a step toward getting a consistent picture of environmental impacts.","author":[{"dropping-particle":"","family":"Marx","given":"Josefine","non-dropping-particle":"","parse-names":false,"suffix":""},{"dropping-particle":"","family":"Schreiber","given":"Andrea","non-dropping-particle":"","parse-names":false,"suffix":""},{"dropping-particle":"","family":"Zapp","given":"Petra","non-dropping-particle":"","parse-names":false,"suffix":""},{"dropping-particle":"","family":"Walachowicz","given":"Frank","non-dropping-particle":"","parse-names":false,"suffix":""}],"container-title":"ACS Sustainable Chemistry and Engineering","id":"ITEM-1","issue":"5","issued":{"date-parts":[["2018"]]},"page":"5858-5867","title":"Comparative Life Cycle Assessment of NdFeB Permanent Magnet Production from Different Rare Earth Deposits","type":"article-journal","volume":"6"},"uris":["http://www.mendeley.com/documents/?uuid=d7db58fe-3a9d-48c8-bce5-a23afb98519d"]}],"mendeley":{"formattedCitation":"(Marx et al., 2018)","plainTextFormattedCitation":"(Marx et al., 2018)","previouslyFormattedCitation":"(Marx et al., 2018)"},"properties":{"noteIndex":0},"schema":"https://github.com/citation-style-language/schema/raw/master/csl-citation.json"}</w:instrText>
      </w:r>
      <w:r w:rsidR="00535D9F">
        <w:fldChar w:fldCharType="separate"/>
      </w:r>
      <w:r w:rsidR="00CF6E3B" w:rsidRPr="00CF6E3B">
        <w:rPr>
          <w:noProof/>
        </w:rPr>
        <w:t>(Marx et al., 2018)</w:t>
      </w:r>
      <w:r w:rsidR="00535D9F">
        <w:fldChar w:fldCharType="end"/>
      </w:r>
      <w:r w:rsidR="00410640">
        <w:rPr>
          <w:lang w:val="en-US"/>
        </w:rPr>
        <w:t>. This fact</w:t>
      </w:r>
      <w:r w:rsidRPr="009A215A">
        <w:t xml:space="preserve"> pose</w:t>
      </w:r>
      <w:r w:rsidR="00410640">
        <w:rPr>
          <w:lang w:val="en-US"/>
        </w:rPr>
        <w:t>s</w:t>
      </w:r>
      <w:r w:rsidRPr="009A215A">
        <w:t xml:space="preserve"> a threat to the supply of REE</w:t>
      </w:r>
      <w:r w:rsidR="00BC2E81">
        <w:rPr>
          <w:lang w:val="en-US"/>
        </w:rPr>
        <w:t>s</w:t>
      </w:r>
      <w:r w:rsidRPr="009A215A">
        <w:t xml:space="preserve"> to Europe and any region that does not hold REE</w:t>
      </w:r>
      <w:r w:rsidR="00BC2E81">
        <w:rPr>
          <w:lang w:val="en-US"/>
        </w:rPr>
        <w:t>s</w:t>
      </w:r>
      <w:r w:rsidRPr="009A215A">
        <w:t xml:space="preserve"> deposits. Indeed, this became evident in 2011, when the Chinese government limited the exportation of REE</w:t>
      </w:r>
      <w:r w:rsidR="009F3A79">
        <w:rPr>
          <w:lang w:val="en-US"/>
        </w:rPr>
        <w:t>s</w:t>
      </w:r>
      <w:r w:rsidR="001D040B" w:rsidRPr="009A215A">
        <w:t>,</w:t>
      </w:r>
      <w:r w:rsidR="00AC2BA9" w:rsidRPr="009A215A">
        <w:t xml:space="preserve"> </w:t>
      </w:r>
      <w:r w:rsidR="001D040B" w:rsidRPr="009A215A">
        <w:t>which</w:t>
      </w:r>
      <w:r w:rsidR="00AC2BA9" w:rsidRPr="009A215A">
        <w:t xml:space="preserve"> led to price spikes</w:t>
      </w:r>
      <w:r w:rsidRPr="009A215A">
        <w:t>. The Chinese virtual monopoly over REE</w:t>
      </w:r>
      <w:r w:rsidR="00BC2E81">
        <w:rPr>
          <w:lang w:val="en-US"/>
        </w:rPr>
        <w:t>s</w:t>
      </w:r>
      <w:r w:rsidRPr="009A215A">
        <w:t xml:space="preserve"> production, having 50% of worldwide mineral reserves and 86% market share </w:t>
      </w:r>
      <w:r w:rsidR="00410640">
        <w:fldChar w:fldCharType="begin" w:fldLock="1"/>
      </w:r>
      <w:r w:rsidR="00CF6E3B">
        <w:instrText>ADDIN CSL_CITATION {"citationItems":[{"id":"ITEM-1","itemData":{"DOI":"10.1021/es404596q","ISSN":"15205851","PMID":"24576005","abstract":"Neodymium is one of the more critical rare earth elements with respect to current availability and is most often used in high performance magnets. In this paper, we compare the virgin production route of these magnets with two hypothetical recycling processes in terms of environmental impact the first recycling process looks at manual dismantling of computer hard disk drives (HDDs) combined with a novel hydrogen based recycling process the second process assumes HDDs are shredded. Our life cycle assessment is based both on up to date literature and on our own experimental data. Because the production process of neodymium oxide is generic to all rare earths, we also report the life cycle inventory data for the production of rare earth oxides separately. We conclude that recycling of neodymium, especially via manual dismantling, is preferable to primary production, with some environmental indicators showing an order of magnitude improvement the choice of recycling technology is also important with respect to resource recovery. While manual disassembly allows in principle for all magnetic material to be recovered, shredding leads to very low recovery rates (&lt;10%). © 2014 American Chemical Society.","author":[{"dropping-particle":"","family":"Sprecher","given":"Benjamin","non-dropping-particle":"","parse-names":false,"suffix":""},{"dropping-particle":"","family":"Xiao","given":"Yanping","non-dropping-particle":"","parse-names":false,"suffix":""},{"dropping-particle":"","family":"Walton","given":"Allan","non-dropping-particle":"","parse-names":false,"suffix":""},{"dropping-particle":"","family":"Speight","given":"John","non-dropping-particle":"","parse-names":false,"suffix":""},{"dropping-particle":"","family":"Harris","given":"Rex","non-dropping-particle":"","parse-names":false,"suffix":""},{"dropping-particle":"","family":"Kleijn","given":"Rene","non-dropping-particle":"","parse-names":false,"suffix":""},{"dropping-particle":"","family":"Visser","given":"Geert","non-dropping-particle":"","parse-names":false,"suffix":""},{"dropping-particle":"","family":"Kramer","given":"Gert Jan","non-dropping-particle":"","parse-names":false,"suffix":""}],"container-title":"Environmental Science and Technology","id":"ITEM-1","issue":"7","issued":{"date-parts":[["2014"]]},"page":"3951-3958","title":"Life cycle inventory of the production of rare earths and the subsequent production of NdFeB rare earth permanent magnets","type":"article-journal","volume":"48"},"uris":["http://www.mendeley.com/documents/?uuid=4f532880-a4b6-4d94-873c-56576312064c"]}],"mendeley":{"formattedCitation":"(Sprecher et al., 2014)","plainTextFormattedCitation":"(Sprecher et al., 2014)","previouslyFormattedCitation":"(Sprecher et al., 2014)"},"properties":{"noteIndex":0},"schema":"https://github.com/citation-style-language/schema/raw/master/csl-citation.json"}</w:instrText>
      </w:r>
      <w:r w:rsidR="00410640">
        <w:fldChar w:fldCharType="separate"/>
      </w:r>
      <w:r w:rsidR="00CF6E3B" w:rsidRPr="00CF6E3B">
        <w:rPr>
          <w:noProof/>
        </w:rPr>
        <w:t>(Sprecher et al., 2014)</w:t>
      </w:r>
      <w:r w:rsidR="00410640">
        <w:fldChar w:fldCharType="end"/>
      </w:r>
      <w:r w:rsidR="00410640">
        <w:rPr>
          <w:lang w:val="en-US"/>
        </w:rPr>
        <w:t xml:space="preserve">, </w:t>
      </w:r>
      <w:r w:rsidRPr="009A215A">
        <w:t xml:space="preserve">can be a source of supply-demand disruption leading to constraints in green technology deployment </w:t>
      </w:r>
      <w:r w:rsidR="00410640">
        <w:fldChar w:fldCharType="begin" w:fldLock="1"/>
      </w:r>
      <w:r w:rsidR="00CF6E3B">
        <w:instrText>ADDIN CSL_CITATION {"citationItems":[{"id":"ITEM-1","itemData":{"DOI":"10.1007/s11837-017-2698-7","ISBN":"1183701726987","ISSN":"15431851","abstract":"Rare earth elements (REEs) are critical for many advanced technologies and are faced with potential supply disruptions. Recycling of permanent magnets (PMs) can be good sources for REEs which can help minimize global dependence on freshly mined REEs, but PMs are rarely recycled. Recycling of PMs has been discussed with respect to improving REEs resource sustainability. Some challenges to be addressed in order to establish industrially deployable technologies for PMs recycling have also been discussed, including profitability, energy efficiency and environmental impacts. Key considerations for promoting circular economy via PMs recycling is proposed with the focus on deciding the target points in the supply chain at which the recycled products will be inserted. Important technical considerations for recycling different forms of waste PMs, including swarfs, slags, shredded and intact hard disk drives magnets, have been presented. The aspects of circular economy considered include reusing magnets, remanufacturing magnets and recovering of REEs from waste PMs.","author":[{"dropping-particle":"","family":"Nlebedim","given":"I. C.","non-dropping-particle":"","parse-names":false,"suffix":""},{"dropping-particle":"","family":"King","given":"A. H.","non-dropping-particle":"","parse-names":false,"suffix":""}],"container-title":"Jom","id":"ITEM-1","issue":"2","issued":{"date-parts":[["2018"]]},"page":"115-123","publisher":"Springer US","title":"Addressing Criticality in Rare Earth Elements via Permanent Magnets Recycling","type":"article-journal","volume":"70"},"uris":["http://www.mendeley.com/documents/?uuid=25bc236e-6a7a-4ca2-92de-4239daf36ea4"]}],"mendeley":{"formattedCitation":"(Nlebedim &amp; King, 2018)","plainTextFormattedCitation":"(Nlebedim &amp; King, 2018)","previouslyFormattedCitation":"(Nlebedim &amp; King, 2018)"},"properties":{"noteIndex":0},"schema":"https://github.com/citation-style-language/schema/raw/master/csl-citation.json"}</w:instrText>
      </w:r>
      <w:r w:rsidR="00410640">
        <w:fldChar w:fldCharType="separate"/>
      </w:r>
      <w:r w:rsidR="00CF6E3B" w:rsidRPr="00CF6E3B">
        <w:rPr>
          <w:noProof/>
        </w:rPr>
        <w:t>(Nlebedim &amp; King, 2018)</w:t>
      </w:r>
      <w:r w:rsidR="00410640">
        <w:fldChar w:fldCharType="end"/>
      </w:r>
      <w:r w:rsidR="00410640">
        <w:rPr>
          <w:lang w:val="en-US"/>
        </w:rPr>
        <w:t>.</w:t>
      </w:r>
      <w:r w:rsidRPr="009A215A">
        <w:t xml:space="preserve"> </w:t>
      </w:r>
    </w:p>
    <w:p w14:paraId="65526D99" w14:textId="77777777" w:rsidR="005379DB" w:rsidRPr="009A215A" w:rsidRDefault="005379DB" w:rsidP="009A215A"/>
    <w:p w14:paraId="2AF2176E" w14:textId="3EA55611" w:rsidR="00601556" w:rsidRPr="002D3F7F" w:rsidRDefault="005379DB" w:rsidP="009A215A">
      <w:pPr>
        <w:rPr>
          <w:lang w:val="en-US"/>
        </w:rPr>
      </w:pPr>
      <w:r w:rsidRPr="009A215A">
        <w:t>Facing this challenge,</w:t>
      </w:r>
      <w:r w:rsidR="002D3F7F">
        <w:rPr>
          <w:lang w:val="en-US"/>
        </w:rPr>
        <w:t xml:space="preserve"> </w:t>
      </w:r>
      <w:r w:rsidR="002D3F7F">
        <w:rPr>
          <w:lang w:val="en-US"/>
        </w:rPr>
        <w:fldChar w:fldCharType="begin" w:fldLock="1"/>
      </w:r>
      <w:r w:rsidR="00CF6E3B">
        <w:rPr>
          <w:lang w:val="en-US"/>
        </w:rPr>
        <w:instrText>ADDIN CSL_CITATION {"citationItems":[{"id":"ITEM-1","itemData":{"DOI":"10.1016/j.jclepro.2012.12.037","ISSN":"09596526","abstract":"The rare-earth elements (REEs) are becoming increasingly important in the transition to a green economy, due to their essential role in permanent magnets, lamp phosphors, catalysts, rechargeable batteries etc. With China presently producing more than 90% of the global REE output and its increasingly tight export quota, the rest of the world is confronted with a REE supply risk. Mining companies are now actively seeking new exploitable REE deposits while some old mines are being reopened. Because of the absence of economical and/or operational primary deposits on their territory, many countries will have to rely on recycling of REEs from pre-consumer scrap, industrial residues and REE-containing End-of-Life products. REE recycling is also recommended in view of the so-called \"balance problem\". For instance, primary mining of REE ores for neodymium generates an excess of the more abundant elements, lanthanum and cerium. Therefore, recycling of neodymium can reduce the total amount of REE ores that need to be extracted. Despite a vast, mostly lab-scale research effort on REE recycling, up to 2011 less than 1% of the REEs were actually recycled. This is mainly due to inefficient collection, technological problems and, especially, a lack of incentives. A drastic improvement in the recycling of REEs is, therefore, an absolute necessity. This can only be realized by developing efficient, fully integrated recycling routes, which can take advantage of the rich REE recycling literature. This paper provides an overview of this literature, with emphasis on three main applications: permanent magnets, nickel metal hydride batteries and lamp phosphors. The state of the art in preprocessing of End-of-Life materials containing REEs and the final REE recovery is discussed in detail. Both pyrometallurgical and hydrometallurgical routes for REE separation from non-REE elements in the recycled fractions are reviewed. The relevance of Life Cycle Assessment (LCA) for REE recycling is emphasized. The review corroborates that, in addition to mitigating the supply risk, REE recycling can reduce the environmental challenges associated with REE mining and processing. © 2013 Elsevier Ltd. All rights reserved.","author":[{"dropping-particle":"","family":"Binnemans","given":"Koen","non-dropping-particle":"","parse-names":false,"suffix":""},{"dropping-particle":"","family":"Jones","given":"Peter Tom","non-dropping-particle":"","parse-names":false,"suffix":""},{"dropping-particle":"","family":"Blanpain","given":"Bart","non-dropping-particle":"","parse-names":false,"suffix":""},{"dropping-particle":"","family":"Gerven","given":"Tom","non-dropping-particle":"Van","parse-names":false,"suffix":""},{"dropping-particle":"","family":"Yang","given":"Yongxiang","non-dropping-particle":"","parse-names":false,"suffix":""},{"dropping-particle":"","family":"Walton","given":"Allan","non-dropping-particle":"","parse-names":false,"suffix":""},{"dropping-particle":"","family":"Buchert","given":"Matthias","non-dropping-particle":"","parse-names":false,"suffix":""}],"container-title":"Journal of Cleaner Production","id":"ITEM-1","issued":{"date-parts":[["2013"]]},"page":"1-22","publisher":"Elsevier Ltd","title":"Recycling of rare earths: A critical review","type":"article-journal","volume":"51"},"uris":["http://www.mendeley.com/documents/?uuid=05101184-f8e5-490d-aa60-74e73c334669"]}],"mendeley":{"formattedCitation":"(Binnemans et al., 2013)","manualFormatting":"Binnemans et al. (2013)","plainTextFormattedCitation":"(Binnemans et al., 2013)","previouslyFormattedCitation":"(Binnemans et al., 2013)"},"properties":{"noteIndex":0},"schema":"https://github.com/citation-style-language/schema/raw/master/csl-citation.json"}</w:instrText>
      </w:r>
      <w:r w:rsidR="002D3F7F">
        <w:rPr>
          <w:lang w:val="en-US"/>
        </w:rPr>
        <w:fldChar w:fldCharType="separate"/>
      </w:r>
      <w:r w:rsidR="002D3F7F" w:rsidRPr="002D3F7F">
        <w:rPr>
          <w:noProof/>
          <w:lang w:val="en-US"/>
        </w:rPr>
        <w:t>Binnemans et al.</w:t>
      </w:r>
      <w:r w:rsidR="002D3F7F">
        <w:rPr>
          <w:noProof/>
          <w:lang w:val="en-US"/>
        </w:rPr>
        <w:t xml:space="preserve"> (</w:t>
      </w:r>
      <w:r w:rsidR="002D3F7F" w:rsidRPr="002D3F7F">
        <w:rPr>
          <w:noProof/>
          <w:lang w:val="en-US"/>
        </w:rPr>
        <w:t>2013)</w:t>
      </w:r>
      <w:r w:rsidR="002D3F7F">
        <w:rPr>
          <w:lang w:val="en-US"/>
        </w:rPr>
        <w:fldChar w:fldCharType="end"/>
      </w:r>
      <w:r w:rsidRPr="009A215A">
        <w:t xml:space="preserve"> proposed an approach to overcome the REE</w:t>
      </w:r>
      <w:r w:rsidR="00BC2E81">
        <w:rPr>
          <w:lang w:val="en-US"/>
        </w:rPr>
        <w:t>s</w:t>
      </w:r>
      <w:r w:rsidRPr="009A215A">
        <w:t xml:space="preserve"> supply issues</w:t>
      </w:r>
      <w:r w:rsidR="004E0C98">
        <w:rPr>
          <w:lang w:val="en-US"/>
        </w:rPr>
        <w:t xml:space="preserve"> (</w:t>
      </w:r>
      <w:r w:rsidR="00ED0388">
        <w:rPr>
          <w:lang w:val="en-US"/>
        </w:rPr>
        <w:fldChar w:fldCharType="begin"/>
      </w:r>
      <w:r w:rsidR="00ED0388">
        <w:rPr>
          <w:lang w:val="en-US"/>
        </w:rPr>
        <w:instrText xml:space="preserve"> REF _Ref74758982 \h </w:instrText>
      </w:r>
      <w:r w:rsidR="00ED0388">
        <w:rPr>
          <w:lang w:val="en-US"/>
        </w:rPr>
      </w:r>
      <w:r w:rsidR="00ED0388">
        <w:rPr>
          <w:lang w:val="en-US"/>
        </w:rPr>
        <w:fldChar w:fldCharType="separate"/>
      </w:r>
      <w:r w:rsidR="00BC31F4">
        <w:t xml:space="preserve">Figure </w:t>
      </w:r>
      <w:r w:rsidR="00BC31F4">
        <w:rPr>
          <w:noProof/>
        </w:rPr>
        <w:t>1</w:t>
      </w:r>
      <w:r w:rsidR="00BC31F4">
        <w:t>.</w:t>
      </w:r>
      <w:r w:rsidR="00BC31F4">
        <w:rPr>
          <w:noProof/>
        </w:rPr>
        <w:t>1</w:t>
      </w:r>
      <w:r w:rsidR="00ED0388">
        <w:rPr>
          <w:lang w:val="en-US"/>
        </w:rPr>
        <w:fldChar w:fldCharType="end"/>
      </w:r>
      <w:r w:rsidR="004E0C98">
        <w:rPr>
          <w:lang w:val="en-US"/>
        </w:rPr>
        <w:t>)</w:t>
      </w:r>
      <w:r w:rsidRPr="009A215A">
        <w:t xml:space="preserve">. The outlook is based on a comprehensive raw materials policy, including commodity recycling and alternative commodities development that could potentially substitute critical rare earths with less critical metals. </w:t>
      </w:r>
      <w:r w:rsidR="00217691">
        <w:rPr>
          <w:lang w:val="en-US"/>
        </w:rPr>
        <w:t>For the latter, t</w:t>
      </w:r>
      <w:r w:rsidR="009F3A79">
        <w:rPr>
          <w:lang w:val="en-US"/>
        </w:rPr>
        <w:t xml:space="preserve">he fact that </w:t>
      </w:r>
      <w:r w:rsidRPr="009A215A">
        <w:t>the physical properties offered by</w:t>
      </w:r>
      <w:r w:rsidR="0070327A">
        <w:rPr>
          <w:lang w:val="en-US"/>
        </w:rPr>
        <w:t xml:space="preserve"> </w:t>
      </w:r>
      <w:r w:rsidRPr="009A215A">
        <w:t>permanent magnets</w:t>
      </w:r>
      <w:r w:rsidR="009F3A79">
        <w:rPr>
          <w:lang w:val="en-US"/>
        </w:rPr>
        <w:t xml:space="preserve"> </w:t>
      </w:r>
      <w:r w:rsidRPr="009A215A">
        <w:t>hav</w:t>
      </w:r>
      <w:r w:rsidR="00217691">
        <w:rPr>
          <w:lang w:val="en-US"/>
        </w:rPr>
        <w:t>e</w:t>
      </w:r>
      <w:r w:rsidRPr="009A215A">
        <w:t xml:space="preserve"> a crucial role in t</w:t>
      </w:r>
      <w:r w:rsidR="00217691">
        <w:rPr>
          <w:lang w:val="en-US"/>
        </w:rPr>
        <w:t>he</w:t>
      </w:r>
      <w:r w:rsidRPr="009A215A">
        <w:t xml:space="preserve"> functionality</w:t>
      </w:r>
      <w:r w:rsidR="00217691">
        <w:rPr>
          <w:lang w:val="en-US"/>
        </w:rPr>
        <w:t xml:space="preserve"> of </w:t>
      </w:r>
      <w:r w:rsidR="00217691" w:rsidRPr="009A215A">
        <w:t>most</w:t>
      </w:r>
      <w:r w:rsidR="00217691">
        <w:rPr>
          <w:lang w:val="en-US"/>
        </w:rPr>
        <w:t xml:space="preserve"> </w:t>
      </w:r>
      <w:r w:rsidR="00217691" w:rsidRPr="009A215A">
        <w:t>low-carbon technologies</w:t>
      </w:r>
      <w:r w:rsidR="00500D51">
        <w:rPr>
          <w:lang w:val="en-US"/>
        </w:rPr>
        <w:t>,</w:t>
      </w:r>
      <w:r w:rsidR="00217691">
        <w:rPr>
          <w:lang w:val="en-US"/>
        </w:rPr>
        <w:t xml:space="preserve"> makes the </w:t>
      </w:r>
      <w:r w:rsidR="009F3A79">
        <w:rPr>
          <w:lang w:val="en-US"/>
        </w:rPr>
        <w:t>substituti</w:t>
      </w:r>
      <w:r w:rsidR="008E0AD4">
        <w:rPr>
          <w:lang w:val="en-US"/>
        </w:rPr>
        <w:t>on for</w:t>
      </w:r>
      <w:r w:rsidR="009F3A79">
        <w:rPr>
          <w:lang w:val="en-US"/>
        </w:rPr>
        <w:t xml:space="preserve"> less critical metals </w:t>
      </w:r>
      <w:r w:rsidRPr="009A215A">
        <w:t xml:space="preserve">not a reality yet </w:t>
      </w:r>
      <w:r w:rsidR="002D3F7F">
        <w:fldChar w:fldCharType="begin" w:fldLock="1"/>
      </w:r>
      <w:r w:rsidR="00CF6E3B">
        <w:instrText>ADDIN CSL_CITATION {"citationItems":[{"id":"ITEM-1","itemData":{"DOI":"10.21062/MFT.2020.098","ISSN":"12132489","abstract":"Very dynamic development in the field of computerization and industry robotization, as well as an implementation of the Industry 4.0 assumptions are the main reason for the increased demand for magnetic materials. The limited rare earths availability and the sustainable development in the field of material engineering indicate that the methods of recycling magnetic materials from Waste of Electrical and Electronic Equipment are necessary. This paper presents the impovement stages of magnets recovery process - extrusion process of magnetic scraps/particles with polymer (magnetic scraps and particles obtained from WEEE). The process is developed based on the Process Failure Mode and Effects Analysis. The reserch pointed the irregularities, that pose the greatest risk of failure in the process. The paper presents changes in the process based on the values of the indicators: severity (S), probability of occurrence (O), probability of detection (D) and the Risk Performance Number (RPN). Based on the PFMEA, 5 operations were added to the process. Due to changes in the process course, it is possible to minimize the effects of the irregularities occurrence.","author":[{"dropping-particle":"","family":"Kapustka","given":"Katarzyna","non-dropping-particle":"","parse-names":false,"suffix":""},{"dropping-particle":"","family":"Ziegmann","given":"Gerhard","non-dropping-particle":"","parse-names":false,"suffix":""},{"dropping-particle":"","family":"Klimecka-Tatar","given":"Dorota","non-dropping-particle":"","parse-names":false,"suffix":""},{"dropping-particle":"","family":"Nakonczy","given":"Sara","non-dropping-particle":"","parse-names":false,"suffix":""}],"container-title":"Manufacturing Technology","id":"ITEM-1","issue":"5","issued":{"date-parts":[["2020"]]},"page":"617-624","publisher":"Manufacturing Technology","title":"Process Management and Technological Challenges in the Aspect of Permanent Magnets Recovery - the Second Life of Neodymium Magnets","type":"article-journal","volume":"20"},"uris":["http://www.mendeley.com/documents/?uuid=af79081e-0147-4129-a295-c2e0c5aa589e"]}],"mendeley":{"formattedCitation":"(Kapustka et al., 2020)","plainTextFormattedCitation":"(Kapustka et al., 2020)","previouslyFormattedCitation":"(Kapustka et al., 2020)"},"properties":{"noteIndex":0},"schema":"https://github.com/citation-style-language/schema/raw/master/csl-citation.json"}</w:instrText>
      </w:r>
      <w:r w:rsidR="002D3F7F">
        <w:fldChar w:fldCharType="separate"/>
      </w:r>
      <w:r w:rsidR="00CF6E3B" w:rsidRPr="00CF6E3B">
        <w:rPr>
          <w:noProof/>
        </w:rPr>
        <w:t>(Kapustka et al., 2020)</w:t>
      </w:r>
      <w:r w:rsidR="002D3F7F">
        <w:fldChar w:fldCharType="end"/>
      </w:r>
      <w:r w:rsidR="002D3F7F">
        <w:rPr>
          <w:lang w:val="en-US"/>
        </w:rPr>
        <w:t>.</w:t>
      </w:r>
    </w:p>
    <w:p w14:paraId="56D16FE6" w14:textId="77777777" w:rsidR="00601556" w:rsidRPr="009A215A" w:rsidRDefault="00601556" w:rsidP="009A215A"/>
    <w:p w14:paraId="3478E3F5" w14:textId="77777777" w:rsidR="00114E9C" w:rsidRDefault="00024C6A" w:rsidP="00112FBA">
      <w:pPr>
        <w:keepNext/>
        <w:jc w:val="center"/>
      </w:pPr>
      <w:r w:rsidRPr="009A215A">
        <w:rPr>
          <w:noProof/>
        </w:rPr>
        <w:drawing>
          <wp:inline distT="0" distB="0" distL="0" distR="0" wp14:anchorId="053F7D0E" wp14:editId="395EE8BB">
            <wp:extent cx="4318021" cy="3056964"/>
            <wp:effectExtent l="0" t="0" r="0" b="381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7478" cy="3120296"/>
                    </a:xfrm>
                    <a:prstGeom prst="rect">
                      <a:avLst/>
                    </a:prstGeom>
                  </pic:spPr>
                </pic:pic>
              </a:graphicData>
            </a:graphic>
          </wp:inline>
        </w:drawing>
      </w:r>
    </w:p>
    <w:p w14:paraId="3A1E7850" w14:textId="7389ADCC" w:rsidR="0041271A" w:rsidRDefault="00114E9C" w:rsidP="0041271A">
      <w:pPr>
        <w:pStyle w:val="Caption"/>
      </w:pPr>
      <w:bookmarkStart w:id="5" w:name="_Ref74758982"/>
      <w:bookmarkStart w:id="6" w:name="_Toc76729600"/>
      <w:r>
        <w:t xml:space="preserve">Figure </w:t>
      </w:r>
      <w:r w:rsidR="00BE45E3">
        <w:fldChar w:fldCharType="begin"/>
      </w:r>
      <w:r w:rsidR="00BE45E3">
        <w:instrText xml:space="preserve"> STYLEREF 1 \s </w:instrText>
      </w:r>
      <w:r w:rsidR="00BE45E3">
        <w:fldChar w:fldCharType="separate"/>
      </w:r>
      <w:r w:rsidR="00BC31F4">
        <w:rPr>
          <w:noProof/>
        </w:rPr>
        <w:t>1</w:t>
      </w:r>
      <w:r w:rsidR="00BE45E3">
        <w:rPr>
          <w:noProof/>
        </w:rPr>
        <w:fldChar w:fldCharType="end"/>
      </w:r>
      <w:r w:rsidR="001150DB">
        <w:t>.</w:t>
      </w:r>
      <w:r w:rsidR="00BE45E3">
        <w:fldChar w:fldCharType="begin"/>
      </w:r>
      <w:r w:rsidR="00BE45E3">
        <w:instrText xml:space="preserve"> </w:instrText>
      </w:r>
      <w:r w:rsidR="00BE45E3">
        <w:instrText xml:space="preserve">SEQ Figure \* ARABIC \s 1 </w:instrText>
      </w:r>
      <w:r w:rsidR="00BE45E3">
        <w:fldChar w:fldCharType="separate"/>
      </w:r>
      <w:r w:rsidR="00BC31F4">
        <w:rPr>
          <w:noProof/>
        </w:rPr>
        <w:t>1</w:t>
      </w:r>
      <w:r w:rsidR="00BE45E3">
        <w:rPr>
          <w:noProof/>
        </w:rPr>
        <w:fldChar w:fldCharType="end"/>
      </w:r>
      <w:bookmarkEnd w:id="5"/>
      <w:r>
        <w:rPr>
          <w:lang w:val="en-US"/>
        </w:rPr>
        <w:t xml:space="preserve"> </w:t>
      </w:r>
      <w:r w:rsidRPr="001C10EF">
        <w:rPr>
          <w:lang w:val="en-US"/>
        </w:rPr>
        <w:t xml:space="preserve">Raw materials supply strategy, a comprehensive approach. Source: </w:t>
      </w:r>
      <w:proofErr w:type="spellStart"/>
      <w:r w:rsidRPr="001C10EF">
        <w:rPr>
          <w:lang w:val="en-US"/>
        </w:rPr>
        <w:t>Binnemans</w:t>
      </w:r>
      <w:proofErr w:type="spellEnd"/>
      <w:r w:rsidRPr="001C10EF">
        <w:rPr>
          <w:lang w:val="en-US"/>
        </w:rPr>
        <w:t xml:space="preserve"> et al. (2013).</w:t>
      </w:r>
      <w:bookmarkEnd w:id="6"/>
    </w:p>
    <w:p w14:paraId="66BC3F7C" w14:textId="77777777" w:rsidR="0059530C" w:rsidRDefault="0059530C" w:rsidP="009A215A"/>
    <w:p w14:paraId="469C14B4" w14:textId="7465CF8D" w:rsidR="00E75FC1" w:rsidRPr="009A215A" w:rsidRDefault="00E75FC1" w:rsidP="009A215A">
      <w:r w:rsidRPr="009A215A">
        <w:t>REE</w:t>
      </w:r>
      <w:r w:rsidR="00916106">
        <w:rPr>
          <w:lang w:val="en-US"/>
        </w:rPr>
        <w:t>s</w:t>
      </w:r>
      <w:r w:rsidRPr="009A215A">
        <w:t xml:space="preserve"> are divided into two groups according to </w:t>
      </w:r>
      <w:r w:rsidR="004D1F0A">
        <w:rPr>
          <w:lang w:val="en-US"/>
        </w:rPr>
        <w:t xml:space="preserve">their </w:t>
      </w:r>
      <w:r w:rsidRPr="009A215A">
        <w:t xml:space="preserve">atomic weight: light and heavy. The </w:t>
      </w:r>
      <w:r w:rsidRPr="003B56FE">
        <w:t>light rare earth elements (LREE</w:t>
      </w:r>
      <w:r w:rsidR="00BC2E81" w:rsidRPr="003B56FE">
        <w:rPr>
          <w:lang w:val="en-US"/>
        </w:rPr>
        <w:t>s</w:t>
      </w:r>
      <w:r w:rsidRPr="003B56FE">
        <w:t>)</w:t>
      </w:r>
      <w:r w:rsidRPr="009A215A">
        <w:t xml:space="preserve"> include lanthanum through gadolinium (atomic numbers 57 through 64). The </w:t>
      </w:r>
      <w:r w:rsidRPr="003B56FE">
        <w:t>heavy rare earth elements (HREE</w:t>
      </w:r>
      <w:r w:rsidR="00BC2E81" w:rsidRPr="003B56FE">
        <w:rPr>
          <w:lang w:val="en-US"/>
        </w:rPr>
        <w:t>s</w:t>
      </w:r>
      <w:r w:rsidRPr="003B56FE">
        <w:t>)</w:t>
      </w:r>
      <w:r w:rsidRPr="009A215A">
        <w:t xml:space="preserve"> include terbium through lutetium (atomic numbers 65 through 71) plus Yttrium, although its light atomic number </w:t>
      </w:r>
      <w:r w:rsidR="00CF6E3B">
        <w:fldChar w:fldCharType="begin" w:fldLock="1"/>
      </w:r>
      <w:r w:rsidR="00CF6E3B">
        <w:instrText>ADDIN CSL_CITATION {"citationItems":[{"id":"ITEM-1","itemData":{"author":[{"dropping-particle":"","family":"Gosen, Bradley S ; Philip L. Verplanck","given":"Robert R. Seal II; Keith R. Long;","non-dropping-particle":"Van","parse-names":false,"suffix":""},{"dropping-particle":"","family":"Gambogi","given":"Joseph","non-dropping-particle":"","parse-names":false,"suffix":""}],"id":"ITEM-1","issued":{"date-parts":[["2017"]]},"title":"Critical mineral resources of the United States— Economic and environmental geology and prospects for future supply: U.S. Geological Survey Professional Paper 1802, p. O1– O31,","type":"article-journal"},"uris":["http://www.mendeley.com/documents/?uuid=e880fc07-4304-4dd1-a865-5eb4404588d8"]}],"mendeley":{"formattedCitation":"(Van Gosen, Bradley S ; Philip L. Verplanck &amp; Gambogi, 2017)","manualFormatting":"(Van Gosen et al., 2017)","plainTextFormattedCitation":"(Van Gosen, Bradley S ; Philip L. Verplanck &amp; Gambogi, 2017)","previouslyFormattedCitation":"(Van Gosen, Bradley S ; Philip L. Verplanck &amp; Gambogi, 2017)"},"properties":{"noteIndex":0},"schema":"https://github.com/citation-style-language/schema/raw/master/csl-citation.json"}</w:instrText>
      </w:r>
      <w:r w:rsidR="00CF6E3B">
        <w:fldChar w:fldCharType="separate"/>
      </w:r>
      <w:r w:rsidR="00CF6E3B" w:rsidRPr="00CF6E3B">
        <w:rPr>
          <w:noProof/>
        </w:rPr>
        <w:t>(Van Gosen</w:t>
      </w:r>
      <w:r w:rsidR="00CF6E3B">
        <w:rPr>
          <w:noProof/>
          <w:lang w:val="en-US"/>
        </w:rPr>
        <w:t xml:space="preserve"> et al., 2017</w:t>
      </w:r>
      <w:r w:rsidR="00CF6E3B" w:rsidRPr="00CF6E3B">
        <w:rPr>
          <w:noProof/>
        </w:rPr>
        <w:t>)</w:t>
      </w:r>
      <w:r w:rsidR="00CF6E3B">
        <w:fldChar w:fldCharType="end"/>
      </w:r>
      <w:r w:rsidR="00CF6E3B">
        <w:rPr>
          <w:lang w:val="en-US"/>
        </w:rPr>
        <w:t xml:space="preserve">. </w:t>
      </w:r>
      <w:r w:rsidRPr="0043415A">
        <w:t>Neodymium</w:t>
      </w:r>
      <w:r w:rsidR="009E1660" w:rsidRPr="0043415A">
        <w:t xml:space="preserve"> (Nd)</w:t>
      </w:r>
      <w:r w:rsidRPr="009A215A">
        <w:t xml:space="preserve"> is a REE that has an atomic weight of 60, belonging to the LREE</w:t>
      </w:r>
      <w:r w:rsidR="00BC2E81">
        <w:rPr>
          <w:lang w:val="en-US"/>
        </w:rPr>
        <w:t>s</w:t>
      </w:r>
      <w:r w:rsidRPr="009A215A">
        <w:t xml:space="preserve"> category. Its primary application in the industry is in permanent magnets. Neodymium alloys are used in magnets, and the most common is </w:t>
      </w:r>
      <w:r w:rsidRPr="0043415A">
        <w:t xml:space="preserve">Neodymium </w:t>
      </w:r>
      <w:r w:rsidR="005C1D66" w:rsidRPr="0043415A">
        <w:t>I</w:t>
      </w:r>
      <w:r w:rsidRPr="0043415A">
        <w:t xml:space="preserve">ron </w:t>
      </w:r>
      <w:r w:rsidR="005C1D66" w:rsidRPr="0043415A">
        <w:t>B</w:t>
      </w:r>
      <w:r w:rsidRPr="0043415A">
        <w:t>oron (NdFeB).</w:t>
      </w:r>
      <w:r w:rsidRPr="009A215A">
        <w:t xml:space="preserve"> NdFeB </w:t>
      </w:r>
      <w:r w:rsidR="003D585F">
        <w:rPr>
          <w:lang w:val="en-US"/>
        </w:rPr>
        <w:t xml:space="preserve">magnets </w:t>
      </w:r>
      <w:r w:rsidRPr="009A215A">
        <w:t xml:space="preserve">present high-density electromagnetic energy, one of the strongest currently available in the market </w:t>
      </w:r>
      <w:r w:rsidR="001761E2">
        <w:fldChar w:fldCharType="begin" w:fldLock="1"/>
      </w:r>
      <w:r w:rsidR="001761E2">
        <w:instrText>ADDIN CSL_CITATION {"citationItems":[{"id":"ITEM-1","itemData":{"DOI":"10.1111/jiec.12575","ISSN":"15309290","abstract":"In order to address methodological challenges during life cycle sustainability assessment (LCSA), this article combines the results of a life cycle assessment (LCA), a life cycle costing, and a social LCA using the example of a complex product: a rare earth permanent magnet for use in wind turbines. The article presents different approaches for combining the results of separate assessments with its attendant methodological challenges. Different normalization, aggregation methods, and weighing factors are applied and their impacts on the results are compared. The underlying case study makes an evaluation of these different methodologies more concrete. Results show that the normalization method applied has a greater influence on the overall results than the aggregation method or weighting factors. Additionally, this study shows that indifference thresholds should be applied to avoid overestimation of small impacts. Indifference thresholds ensure that impact categories with nearly the same results for all analyzed options are treated as identical results. The study also indicates the importance of the question of how much compensation between impacts is desirable. Despite the impact of these factors, the chosen case study of an LCSA for permanent magnets with different supply routes for rare earths shows that the ranking of Chinese production is the most problematic irrespective of the approaches applied.","author":[{"dropping-particle":"","family":"Wulf","given":"Christina","non-dropping-particle":"","parse-names":false,"suffix":""},{"dropping-particle":"","family":"Zapp","given":"Petra","non-dropping-particle":"","parse-names":false,"suffix":""},{"dropping-particle":"","family":"Schreiber","given":"Andrea","non-dropping-particle":"","parse-names":false,"suffix":""},{"dropping-particle":"","family":"Marx","given":"Josefine","non-dropping-particle":"","parse-names":false,"suffix":""},{"dropping-particle":"","family":"Schlör","given":"Holger","non-dropping-particle":"","parse-names":false,"suffix":""}],"container-title":"Journal of Industrial Ecology","id":"ITEM-1","issue":"6","issued":{"date-parts":[["2017"]]},"page":"1578-1590","title":"Lessons Learned from a Life Cycle Sustainability Assessment of Rare Earth Permanent Magnets","type":"article-journal","volume":"21"},"uris":["http://www.mendeley.com/documents/?uuid=1f5f326c-dde6-4c41-ba35-77add0248249"]}],"mendeley":{"formattedCitation":"(Wulf et al., 2017)","plainTextFormattedCitation":"(Wulf et al., 2017)","previouslyFormattedCitation":"(Wulf et al., 2017)"},"properties":{"noteIndex":0},"schema":"https://github.com/citation-style-language/schema/raw/master/csl-citation.json"}</w:instrText>
      </w:r>
      <w:r w:rsidR="001761E2">
        <w:fldChar w:fldCharType="separate"/>
      </w:r>
      <w:r w:rsidR="001761E2" w:rsidRPr="001761E2">
        <w:rPr>
          <w:noProof/>
        </w:rPr>
        <w:t>(Wulf et al., 2017)</w:t>
      </w:r>
      <w:r w:rsidR="001761E2">
        <w:fldChar w:fldCharType="end"/>
      </w:r>
      <w:r w:rsidR="001761E2">
        <w:rPr>
          <w:lang w:val="en-US"/>
        </w:rPr>
        <w:t xml:space="preserve">. </w:t>
      </w:r>
      <w:r w:rsidRPr="009A215A">
        <w:t>The optimized magnetic properties are attractive to green technologies' performance while reducing weight, wh</w:t>
      </w:r>
      <w:r w:rsidR="003D585F">
        <w:rPr>
          <w:lang w:val="en-US"/>
        </w:rPr>
        <w:t>ich</w:t>
      </w:r>
      <w:r w:rsidRPr="009A215A">
        <w:t xml:space="preserve"> justify the intensive growth of research on this topic lately </w:t>
      </w:r>
      <w:r w:rsidR="001761E2">
        <w:fldChar w:fldCharType="begin" w:fldLock="1"/>
      </w:r>
      <w:r w:rsidR="00546274">
        <w:instrText>ADDIN CSL_CITATION {"citationItems":[{"id":"ITEM-1","itemData":{"DOI":"10.1016/j.rser.2020.110616","ISSN":"18790690","abstract":"Rare Earth Magnets (REM), especially the NdFeB type, are essential components in high-performance electric motors and wind turbines, playing an important role in the shift towards a low-carbon energy matrix. However, little work has been done to understand how the production of REM can be in line with the global sustainable transition. To overcome this lack and help with future research, as well as decision-making, this paper provides a literature overview of which aspects of sustainability are being investigated in the REM supply chain, and how each of them contributes to achieving Sustainable Development Goals (SDG). This research is developed through a consistent analysis of 44 peer-reviewed publications, followed by an analysis of strengths, weaknesses, opportunities, and threats. Four main subjects of studies were identified: environmental impact; social impact; economic aspects and circular economy. Most of the studies focus on computing the environmental impact through life cycle assessment and discussing techniques towards exploring the circular economy concept. In addition to contributing to a greener economy, the majors identified strengths of REM are the great potential of its supply chain in reducing primary resource extraction, since REM recovery and recycling seem to be viable, and the promising techniques to minimize environmental impacts along the rare earth elements production chain.","author":[{"dropping-particle":"","family":"Bonfante","given":"Mariele Canal","non-dropping-particle":"","parse-names":false,"suffix":""},{"dropping-particle":"","family":"Raspini","given":"Jéssica Prats","non-dropping-particle":"","parse-names":false,"suffix":""},{"dropping-particle":"","family":"Fernandes","given":"Ivan Belo","non-dropping-particle":"","parse-names":false,"suffix":""},{"dropping-particle":"","family":"Fernandes","given":"Suélen","non-dropping-particle":"","parse-names":false,"suffix":""},{"dropping-particle":"","family":"Campos","given":"Lucila M.S.","non-dropping-particle":"","parse-names":false,"suffix":""},{"dropping-particle":"","family":"Alarcon","given":"Orestes Estevam","non-dropping-particle":"","parse-names":false,"suffix":""}],"container-title":"Renewable and Sustainable Energy Reviews","id":"ITEM-1","issue":"October 2020","issued":{"date-parts":[["2021"]]},"title":"Achieving Sustainable Development Goals in rare earth magnets production: A review on state of the art and SWOT analysis","type":"article-journal","volume":"137"},"uris":["http://www.mendeley.com/documents/?uuid=60198660-cbec-419b-b420-3f70ada4c196"]}],"mendeley":{"formattedCitation":"(Bonfante et al., 2021)","plainTextFormattedCitation":"(Bonfante et al., 2021)","previouslyFormattedCitation":"(Bonfante et al., 2021)"},"properties":{"noteIndex":0},"schema":"https://github.com/citation-style-language/schema/raw/master/csl-citation.json"}</w:instrText>
      </w:r>
      <w:r w:rsidR="001761E2">
        <w:fldChar w:fldCharType="separate"/>
      </w:r>
      <w:r w:rsidR="001761E2" w:rsidRPr="001761E2">
        <w:rPr>
          <w:noProof/>
        </w:rPr>
        <w:t>(Bonfante et al., 2021)</w:t>
      </w:r>
      <w:r w:rsidR="001761E2">
        <w:fldChar w:fldCharType="end"/>
      </w:r>
      <w:r w:rsidR="001761E2">
        <w:rPr>
          <w:lang w:val="en-US"/>
        </w:rPr>
        <w:t xml:space="preserve">. </w:t>
      </w:r>
      <w:r w:rsidRPr="009A215A">
        <w:t xml:space="preserve">Spotted applications of NdFeB include wind turbines, electric motors, electric cars, computer </w:t>
      </w:r>
      <w:r w:rsidRPr="0043415A">
        <w:t>hard disk drivers (HDD</w:t>
      </w:r>
      <w:r w:rsidR="004D1F0A" w:rsidRPr="0043415A">
        <w:rPr>
          <w:lang w:val="en-US"/>
        </w:rPr>
        <w:t>s</w:t>
      </w:r>
      <w:r w:rsidRPr="0043415A">
        <w:t>),</w:t>
      </w:r>
      <w:r w:rsidRPr="009A215A">
        <w:t xml:space="preserve"> and electric bikes.</w:t>
      </w:r>
    </w:p>
    <w:p w14:paraId="6CD325FD" w14:textId="77777777" w:rsidR="00E75FC1" w:rsidRPr="009A215A" w:rsidRDefault="00E75FC1" w:rsidP="009A215A"/>
    <w:p w14:paraId="33541D93" w14:textId="15F4E0BD" w:rsidR="00FB4E95" w:rsidRPr="009A215A" w:rsidRDefault="00E75FC1" w:rsidP="009A215A">
      <w:r w:rsidRPr="009A215A">
        <w:t xml:space="preserve">Alloys of NdFeB contain mostly Nd and </w:t>
      </w:r>
      <w:r w:rsidRPr="0043415A">
        <w:t>Praseodymium (Pr)</w:t>
      </w:r>
      <w:r w:rsidRPr="009A215A">
        <w:t xml:space="preserve"> with some other small quantity of </w:t>
      </w:r>
      <w:r w:rsidRPr="0043415A">
        <w:t>Dysprosium (Dy)</w:t>
      </w:r>
      <w:r w:rsidRPr="009A215A">
        <w:t xml:space="preserve">, </w:t>
      </w:r>
      <w:r w:rsidRPr="0043415A">
        <w:t>Terbium (Tb),</w:t>
      </w:r>
      <w:r w:rsidRPr="009A215A">
        <w:t xml:space="preserve"> and </w:t>
      </w:r>
      <w:r w:rsidRPr="0043415A">
        <w:t>Gadolinium (Gd)</w:t>
      </w:r>
      <w:r w:rsidRPr="009A215A">
        <w:t xml:space="preserve"> which varies according to the specific application they will encounter </w:t>
      </w:r>
      <w:r w:rsidR="00546274">
        <w:fldChar w:fldCharType="begin" w:fldLock="1"/>
      </w:r>
      <w:r w:rsidR="00A971D2">
        <w:instrText>ADDIN CSL_CITATION {"citationItems":[{"id":"ITEM-1","itemData":{"DOI":"10.1016/j.rser.2019.02.029","ISSN":"18790690","abstract":"The rare earth elements (REEs) were classified as critical raw materials for Europe for their economic relevance and the supply risk. Currently, most of REE production is concentrated in the Chinese area and it is used for the production of many technologies including: fluorescent lamps, fluid catalytic cracking catalysts and permanent magnets. At the end of their life, these products can cause management problems, mainly due to the hazardous component presence. Nevertheless, this critical issue is combined with the significant content of REEs, which makes them a potential resource of secondary raw materials. In this regard, the literature reports many processes for the waste exploitation, but the effective sustainability is often neglected. In this context, the present paper took into account three processes, one for each mentioned waste, to assess both the environmental and the economic aspects. The obtained results were allocated on the basis of metals market price proving an advantage for most of the elements, compared to the primary production. Following the paper evaluation, the fulfillment of the circular economy approach could reduce up to 200 times the impact in the climate change category and up to 70 times the cost due to the REE mining.","author":[{"dropping-particle":"","family":"Amato","given":"A.","non-dropping-particle":"","parse-names":false,"suffix":""},{"dropping-particle":"","family":"Becci","given":"A.","non-dropping-particle":"","parse-names":false,"suffix":""},{"dropping-particle":"","family":"Birloaga","given":"I.","non-dropping-particle":"","parse-names":false,"suffix":""},{"dropping-particle":"","family":"Michelis","given":"I.","non-dropping-particle":"De","parse-names":false,"suffix":""},{"dropping-particle":"","family":"Ferella","given":"F.","non-dropping-particle":"","parse-names":false,"suffix":""},{"dropping-particle":"","family":"Innocenzi","given":"V.","non-dropping-particle":"","parse-names":false,"suffix":""},{"dropping-particle":"","family":"Ippolito","given":"N. M.","non-dropping-particle":"","parse-names":false,"suffix":""},{"dropping-particle":"","family":"Pillar Jimenez Gomez","given":"C.","non-dropping-particle":"","parse-names":false,"suffix":""},{"dropping-particle":"","family":"Vegliò","given":"F.","non-dropping-particle":"","parse-names":false,"suffix":""},{"dropping-particle":"","family":"Beolchini","given":"F.","non-dropping-particle":"","parse-names":false,"suffix":""}],"container-title":"Renewable and Sustainable Energy Reviews","id":"ITEM-1","issue":"December 2018","issued":{"date-parts":[["2019"]]},"page":"41-53","publisher":"Elsevier Ltd","title":"Sustainability analysis of innovative technologies for the rare earth elements recovery","type":"article-journal","volume":"106"},"uris":["http://www.mendeley.com/documents/?uuid=b16c7c5a-ffc2-4f1e-b3ea-4c87b65d63bb"]}],"mendeley":{"formattedCitation":"(Amato et al., 2019)","plainTextFormattedCitation":"(Amato et al., 2019)","previouslyFormattedCitation":"(Amato et al., 2019)"},"properties":{"noteIndex":0},"schema":"https://github.com/citation-style-language/schema/raw/master/csl-citation.json"}</w:instrText>
      </w:r>
      <w:r w:rsidR="00546274">
        <w:fldChar w:fldCharType="separate"/>
      </w:r>
      <w:r w:rsidR="00546274" w:rsidRPr="00546274">
        <w:rPr>
          <w:noProof/>
        </w:rPr>
        <w:t>(Amato et al., 2019)</w:t>
      </w:r>
      <w:r w:rsidR="00546274">
        <w:fldChar w:fldCharType="end"/>
      </w:r>
      <w:r w:rsidRPr="009A215A">
        <w:t xml:space="preserve">. </w:t>
      </w:r>
      <w:r w:rsidR="00AF3D38" w:rsidRPr="009A215A">
        <w:t>In</w:t>
      </w:r>
      <w:r w:rsidRPr="009A215A">
        <w:t xml:space="preserve"> 2012,</w:t>
      </w:r>
      <w:r w:rsidR="00A971D2" w:rsidRPr="00D31E7F">
        <w:rPr>
          <w:lang w:val="nl-NL"/>
        </w:rPr>
        <w:t xml:space="preserve"> </w:t>
      </w:r>
      <w:r w:rsidR="00A971D2">
        <w:rPr>
          <w:lang w:val="en-US"/>
        </w:rPr>
        <w:fldChar w:fldCharType="begin" w:fldLock="1"/>
      </w:r>
      <w:r w:rsidR="00F221BC" w:rsidRPr="00D31E7F">
        <w:rPr>
          <w:lang w:val="nl-NL"/>
        </w:rPr>
        <w:instrText>ADDIN CSL_CITATION {"citationItems":[{"id":"ITEM-1","itemData":{"DOI":"10.1021/es3011354","ISSN":"0013936X","author":[{"dropping-particle":"","family":"Alonso","given":"Elisa","non-dropping-particle":"","parse-names":false,"suffix":""},{"dropping-particle":"","family":"Sherman","given":"Andrew M.","non-dropping-particle":"","parse-names":false,"suffix":""},{"dropping-particle":"","family":"Wallington","given":"Timothy J.","non-dropping-particle":"","parse-names":false,"suffix":""},{"dropping-particle":"","family":"Everson","given":"Mark P.","non-dropping-particle":"","parse-names":false,"suffix":""},{"dropping-particle":"","family":"Field","given":"Frank R.","non-dropping-particle":"","parse-names":false,"suffix":""},{"dropping-particle":"","family":"Roth","given":"Richard","non-dropping-particle":"","parse-names":false,"suffix":""},{"dropping-particle":"","family":"Kirchain","given":"Randolph E.","non-dropping-particle":"","parse-names":false,"suffix":""}],"container-title":"Environmental Science and Technology","id":"ITEM-1","issue":"8","issued":{"date-parts":[["2012"]]},"page":"4684","title":"Erratum: Evaluating rare earth element availability: A case with revolutionary demand from clean technologies (Environmental Science and Technology (2012) 46:6 (3406-3414) DOI: 10.1021/es203518d)","type":"article-journal","volume":"46"},"uris":["http://www.mendeley.com/documents/?uuid=af631ba1-ff7d-40d2-b27b-065a58b9a2c4"]}],"mendeley":{"formattedCitation":"(Alonso et al., 2012)","manualFormatting":"Alonso et al. (2012)","plainTextFormattedCitation":"(Alonso et al., 2012)","previouslyFormattedCitation":"(Alonso et al., 2012)"},"properties":{"noteIndex":0},"schema":"https://github.com/citation-style-language/schema/raw/master/csl-citation.json"}</w:instrText>
      </w:r>
      <w:r w:rsidR="00A971D2">
        <w:rPr>
          <w:lang w:val="en-US"/>
        </w:rPr>
        <w:fldChar w:fldCharType="separate"/>
      </w:r>
      <w:r w:rsidR="00A971D2" w:rsidRPr="00D31E7F">
        <w:rPr>
          <w:noProof/>
          <w:lang w:val="nl-NL"/>
        </w:rPr>
        <w:t xml:space="preserve">Alonso et al. </w:t>
      </w:r>
      <w:r w:rsidR="00A971D2" w:rsidRPr="009E6D77">
        <w:rPr>
          <w:noProof/>
          <w:lang w:val="nl-NL"/>
        </w:rPr>
        <w:t>(2012)</w:t>
      </w:r>
      <w:r w:rsidR="00A971D2">
        <w:rPr>
          <w:lang w:val="en-US"/>
        </w:rPr>
        <w:fldChar w:fldCharType="end"/>
      </w:r>
      <w:r w:rsidR="00A971D2" w:rsidRPr="009E6D77">
        <w:rPr>
          <w:lang w:val="nl-NL"/>
        </w:rPr>
        <w:t xml:space="preserve"> </w:t>
      </w:r>
      <w:r w:rsidRPr="009A215A">
        <w:t xml:space="preserve">estimated </w:t>
      </w:r>
      <w:r w:rsidRPr="009A215A">
        <w:lastRenderedPageBreak/>
        <w:t xml:space="preserve">that in the following 25 years, the demand for Neodymium and Dysprosium would rise more than 700% and 2600%, respectively, if needs in automotive and wind applications would </w:t>
      </w:r>
      <w:proofErr w:type="spellStart"/>
      <w:r w:rsidR="006040F9" w:rsidRPr="009E6D77">
        <w:rPr>
          <w:lang w:val="nl-NL"/>
        </w:rPr>
        <w:t>need</w:t>
      </w:r>
      <w:proofErr w:type="spellEnd"/>
      <w:r w:rsidR="006040F9" w:rsidRPr="009E6D77">
        <w:rPr>
          <w:lang w:val="nl-NL"/>
        </w:rPr>
        <w:t xml:space="preserve"> </w:t>
      </w:r>
      <w:r w:rsidRPr="009A215A">
        <w:t xml:space="preserve">to cope with the stabilization of atmospheric CO2 concentration of 450 ppm. </w:t>
      </w:r>
      <w:r w:rsidRPr="00840332">
        <w:t xml:space="preserve">In this </w:t>
      </w:r>
      <w:r w:rsidR="00AB6E29">
        <w:rPr>
          <w:lang w:val="en-US"/>
        </w:rPr>
        <w:t>sense</w:t>
      </w:r>
      <w:r w:rsidR="00D06EB6">
        <w:rPr>
          <w:lang w:val="en-US"/>
        </w:rPr>
        <w:t>,</w:t>
      </w:r>
      <w:r w:rsidRPr="00840332">
        <w:t xml:space="preserve"> the recycling of NdFeB magnets is strategic.</w:t>
      </w:r>
      <w:r w:rsidR="00CC7AD8" w:rsidRPr="009A215A">
        <w:t xml:space="preserve"> </w:t>
      </w:r>
    </w:p>
    <w:p w14:paraId="2EC690BF" w14:textId="77777777" w:rsidR="00FB4E95" w:rsidRPr="009A215A" w:rsidRDefault="00FB4E95" w:rsidP="009A215A"/>
    <w:p w14:paraId="53D05FA4" w14:textId="1272EF73" w:rsidR="00E75FC1" w:rsidRPr="009A215A" w:rsidRDefault="00FB4E95" w:rsidP="009A215A">
      <w:r w:rsidRPr="009A215A">
        <w:t>Furthermore</w:t>
      </w:r>
      <w:r w:rsidR="00E75FC1" w:rsidRPr="009A215A">
        <w:t xml:space="preserve">, recycling of these magnets </w:t>
      </w:r>
      <w:r w:rsidR="008A074A">
        <w:rPr>
          <w:lang w:val="en-US"/>
        </w:rPr>
        <w:t>can assure</w:t>
      </w:r>
      <w:r w:rsidR="00E75FC1" w:rsidRPr="009A215A">
        <w:t xml:space="preserve"> resource efficiency and lower environmental burdens caused by primary mining. </w:t>
      </w:r>
      <w:r w:rsidR="00F221BC">
        <w:fldChar w:fldCharType="begin" w:fldLock="1"/>
      </w:r>
      <w:r w:rsidR="003E713C">
        <w:instrText>ADDIN CSL_CITATION {"citationItems":[{"id":"ITEM-1","itemData":{"DOI":"10.1016/j.rser.2020.110616","ISSN":"18790690","abstract":"Rare Earth Magnets (REM), especially the NdFeB type, are essential components in high-performance electric motors and wind turbines, playing an important role in the shift towards a low-carbon energy matrix. However, little work has been done to understand how the production of REM can be in line with the global sustainable transition. To overcome this lack and help with future research, as well as decision-making, this paper provides a literature overview of which aspects of sustainability are being investigated in the REM supply chain, and how each of them contributes to achieving Sustainable Development Goals (SDG). This research is developed through a consistent analysis of 44 peer-reviewed publications, followed by an analysis of strengths, weaknesses, opportunities, and threats. Four main subjects of studies were identified: environmental impact; social impact; economic aspects and circular economy. Most of the studies focus on computing the environmental impact through life cycle assessment and discussing techniques towards exploring the circular economy concept. In addition to contributing to a greener economy, the majors identified strengths of REM are the great potential of its supply chain in reducing primary resource extraction, since REM recovery and recycling seem to be viable, and the promising techniques to minimize environmental impacts along the rare earth elements production chain.","author":[{"dropping-particle":"","family":"Bonfante","given":"Mariele Canal","non-dropping-particle":"","parse-names":false,"suffix":""},{"dropping-particle":"","family":"Raspini","given":"Jéssica Prats","non-dropping-particle":"","parse-names":false,"suffix":""},{"dropping-particle":"","family":"Fernandes","given":"Ivan Belo","non-dropping-particle":"","parse-names":false,"suffix":""},{"dropping-particle":"","family":"Fernandes","given":"Suélen","non-dropping-particle":"","parse-names":false,"suffix":""},{"dropping-particle":"","family":"Campos","given":"Lucila M.S.","non-dropping-particle":"","parse-names":false,"suffix":""},{"dropping-particle":"","family":"Alarcon","given":"Orestes Estevam","non-dropping-particle":"","parse-names":false,"suffix":""}],"container-title":"Renewable and Sustainable Energy Reviews","id":"ITEM-1","issue":"October 2020","issued":{"date-parts":[["2021"]]},"title":"Achieving Sustainable Development Goals in rare earth magnets production: A review on state of the art and SWOT analysis","type":"article-journal","volume":"137"},"uris":["http://www.mendeley.com/documents/?uuid=60198660-cbec-419b-b420-3f70ada4c196"]}],"mendeley":{"formattedCitation":"(Bonfante et al., 2021)","manualFormatting":"Bonfante et al. (2021)","plainTextFormattedCitation":"(Bonfante et al., 2021)","previouslyFormattedCitation":"(Bonfante et al., 2021)"},"properties":{"noteIndex":0},"schema":"https://github.com/citation-style-language/schema/raw/master/csl-citation.json"}</w:instrText>
      </w:r>
      <w:r w:rsidR="00F221BC">
        <w:fldChar w:fldCharType="separate"/>
      </w:r>
      <w:r w:rsidR="00F221BC" w:rsidRPr="00F221BC">
        <w:rPr>
          <w:noProof/>
        </w:rPr>
        <w:t xml:space="preserve">Bonfante et al. </w:t>
      </w:r>
      <w:r w:rsidR="00F221BC">
        <w:rPr>
          <w:noProof/>
          <w:lang w:val="en-US"/>
        </w:rPr>
        <w:t>(</w:t>
      </w:r>
      <w:r w:rsidR="00F221BC" w:rsidRPr="00F221BC">
        <w:rPr>
          <w:noProof/>
        </w:rPr>
        <w:t>2021)</w:t>
      </w:r>
      <w:r w:rsidR="00F221BC">
        <w:fldChar w:fldCharType="end"/>
      </w:r>
      <w:r w:rsidR="00E75FC1" w:rsidRPr="009A215A">
        <w:t xml:space="preserve"> emphasize that raw material production for permanent magnets involves significant social and environmental impacts due to heavy chemicals and the generation of radioactive co-products such as Thorium and Uranium. The authors performed a holistic overview to evaluate NdFeB magnets production's sustainability considering the </w:t>
      </w:r>
      <w:r w:rsidR="00E75FC1" w:rsidRPr="0043415A">
        <w:t>Sustainable Development Goals (SDGs).</w:t>
      </w:r>
      <w:r w:rsidR="00E75FC1" w:rsidRPr="009A215A">
        <w:t xml:space="preserve"> They alert that this production activity's impact must be managed appropriately to achieve the SDGs </w:t>
      </w:r>
      <w:r w:rsidR="003E713C">
        <w:fldChar w:fldCharType="begin" w:fldLock="1"/>
      </w:r>
      <w:r w:rsidR="00C93364">
        <w:instrText>ADDIN CSL_CITATION {"citationItems":[{"id":"ITEM-1","itemData":{"DOI":"10.1016/j.rser.2020.110616","ISSN":"18790690","abstract":"Rare Earth Magnets (REM), especially the NdFeB type, are essential components in high-performance electric motors and wind turbines, playing an important role in the shift towards a low-carbon energy matrix. However, little work has been done to understand how the production of REM can be in line with the global sustainable transition. To overcome this lack and help with future research, as well as decision-making, this paper provides a literature overview of which aspects of sustainability are being investigated in the REM supply chain, and how each of them contributes to achieving Sustainable Development Goals (SDG). This research is developed through a consistent analysis of 44 peer-reviewed publications, followed by an analysis of strengths, weaknesses, opportunities, and threats. Four main subjects of studies were identified: environmental impact; social impact; economic aspects and circular economy. Most of the studies focus on computing the environmental impact through life cycle assessment and discussing techniques towards exploring the circular economy concept. In addition to contributing to a greener economy, the majors identified strengths of REM are the great potential of its supply chain in reducing primary resource extraction, since REM recovery and recycling seem to be viable, and the promising techniques to minimize environmental impacts along the rare earth elements production chain.","author":[{"dropping-particle":"","family":"Bonfante","given":"Mariele Canal","non-dropping-particle":"","parse-names":false,"suffix":""},{"dropping-particle":"","family":"Raspini","given":"Jéssica Prats","non-dropping-particle":"","parse-names":false,"suffix":""},{"dropping-particle":"","family":"Fernandes","given":"Ivan Belo","non-dropping-particle":"","parse-names":false,"suffix":""},{"dropping-particle":"","family":"Fernandes","given":"Suélen","non-dropping-particle":"","parse-names":false,"suffix":""},{"dropping-particle":"","family":"Campos","given":"Lucila M.S.","non-dropping-particle":"","parse-names":false,"suffix":""},{"dropping-particle":"","family":"Alarcon","given":"Orestes Estevam","non-dropping-particle":"","parse-names":false,"suffix":""}],"container-title":"Renewable and Sustainable Energy Reviews","id":"ITEM-1","issue":"October 2020","issued":{"date-parts":[["2021"]]},"title":"Achieving Sustainable Development Goals in rare earth magnets production: A review on state of the art and SWOT analysis","type":"article-journal","volume":"137"},"uris":["http://www.mendeley.com/documents/?uuid=60198660-cbec-419b-b420-3f70ada4c196"]}],"mendeley":{"formattedCitation":"(Bonfante et al., 2021)","plainTextFormattedCitation":"(Bonfante et al., 2021)","previouslyFormattedCitation":"(Bonfante et al., 2021)"},"properties":{"noteIndex":0},"schema":"https://github.com/citation-style-language/schema/raw/master/csl-citation.json"}</w:instrText>
      </w:r>
      <w:r w:rsidR="003E713C">
        <w:fldChar w:fldCharType="separate"/>
      </w:r>
      <w:r w:rsidR="003E713C" w:rsidRPr="003E713C">
        <w:rPr>
          <w:noProof/>
        </w:rPr>
        <w:t>(Bonfante et al., 2021)</w:t>
      </w:r>
      <w:r w:rsidR="003E713C">
        <w:fldChar w:fldCharType="end"/>
      </w:r>
      <w:r w:rsidR="003E713C">
        <w:rPr>
          <w:lang w:val="en-US"/>
        </w:rPr>
        <w:t xml:space="preserve">. </w:t>
      </w:r>
      <w:r w:rsidR="00E75FC1" w:rsidRPr="009A215A">
        <w:t xml:space="preserve">Amongst the negative impacts that primary production brings, </w:t>
      </w:r>
      <w:r w:rsidR="006040F9">
        <w:rPr>
          <w:lang w:val="en-US"/>
        </w:rPr>
        <w:t xml:space="preserve">are </w:t>
      </w:r>
      <w:r w:rsidR="00E75FC1" w:rsidRPr="009A215A">
        <w:t xml:space="preserve">groundwater contamination, damage to humans, fauna, and flora. </w:t>
      </w:r>
      <w:r w:rsidR="00C93364">
        <w:fldChar w:fldCharType="begin" w:fldLock="1"/>
      </w:r>
      <w:r w:rsidR="00A51FA7">
        <w:instrText>ADDIN CSL_CITATION {"citationItems":[{"id":"ITEM-1","itemData":{"DOI":"10.1016/j.wasman.2015.07.041","ISSN":"18792456","PMID":"26239935","abstract":"NdFeB-type magnets dominate the market for high performance magnetic materials, yet production of 'virgin' magnets via mining is environmentally, financially and energetically costly. Hence, interest is growing in 'magnet to magnet' recycling schemes that offer the potential for cheaper, more environmentally-friendly solutions to the world's growing appetite for rare-earth based magnetic materials. Unfortunately, previously described recycling processes only partially capitalise on this potential, because the methods described to date are limited to 'laboratory scale' or operate only under ideal conditions and result in products that fail to recapture the coercivity of the starting, scrap materials.Herein, we report a commercial scale process (120. kg batches) that completely recovers the properties of the starting scrap magnets. Indeed, 'grain boundary modification', via careful addition of a proprietary mix of blended elements, produces magnets with 'designer properties' that can exceed those of the starting materials and can be closely tailored to meet a wide variety of end-user applications, including high-coercivity (&gt;2000. kA/m), sintered magnets suitable for motor applications.","author":[{"dropping-particle":"","family":"Zakotnik","given":"M.","non-dropping-particle":"","parse-names":false,"suffix":""},{"dropping-particle":"","family":"Tudor","given":"C. O.","non-dropping-particle":"","parse-names":false,"suffix":""}],"container-title":"Waste Management","id":"ITEM-1","issued":{"date-parts":[["2015"]]},"page":"48-54","publisher":"Elsevier Ltd","title":"Commercial-scale recycling of NdFeB-type magnets with grain boundary modification yields products with 'designer properties' that exceed those of starting materials","type":"article-journal","volume":"44"},"uris":["http://www.mendeley.com/documents/?uuid=e3c39ec6-a6d1-48a9-a227-e336069c7031"]}],"mendeley":{"formattedCitation":"(Zakotnik &amp; Tudor, 2015)","manualFormatting":"Zakotnik &amp; Tudor (2015)","plainTextFormattedCitation":"(Zakotnik &amp; Tudor, 2015)","previouslyFormattedCitation":"(Zakotnik &amp; Tudor, 2015)"},"properties":{"noteIndex":0},"schema":"https://github.com/citation-style-language/schema/raw/master/csl-citation.json"}</w:instrText>
      </w:r>
      <w:r w:rsidR="00C93364">
        <w:fldChar w:fldCharType="separate"/>
      </w:r>
      <w:r w:rsidR="00C93364" w:rsidRPr="00C93364">
        <w:rPr>
          <w:noProof/>
        </w:rPr>
        <w:t>Zakotnik &amp; Tudor</w:t>
      </w:r>
      <w:r w:rsidR="00C93364">
        <w:rPr>
          <w:noProof/>
          <w:lang w:val="en-US"/>
        </w:rPr>
        <w:t xml:space="preserve"> (</w:t>
      </w:r>
      <w:r w:rsidR="00C93364" w:rsidRPr="00C93364">
        <w:rPr>
          <w:noProof/>
        </w:rPr>
        <w:t>2015)</w:t>
      </w:r>
      <w:r w:rsidR="00C93364">
        <w:fldChar w:fldCharType="end"/>
      </w:r>
      <w:r w:rsidR="00E75FC1" w:rsidRPr="009A215A">
        <w:t xml:space="preserve"> mentioned that environmental damages from REE</w:t>
      </w:r>
      <w:r w:rsidR="00BC2E81">
        <w:rPr>
          <w:lang w:val="en-US"/>
        </w:rPr>
        <w:t>s</w:t>
      </w:r>
      <w:r w:rsidR="00E75FC1" w:rsidRPr="009A215A">
        <w:t xml:space="preserve"> mining caused an increased incidence of congenital disabilities and leukemia in the exposed community. From the resource efficiency perspective, recycling of NdFeB magnets offers not only saves on Nd extraction but also on the "attractor" metal and other metals which are forced mined in circumstances of Nd mining</w:t>
      </w:r>
      <w:r w:rsidR="00A51FA7">
        <w:rPr>
          <w:lang w:val="en-US"/>
        </w:rPr>
        <w:t xml:space="preserve"> </w:t>
      </w:r>
      <w:r w:rsidR="00A51FA7">
        <w:rPr>
          <w:lang w:val="en-US"/>
        </w:rPr>
        <w:fldChar w:fldCharType="begin" w:fldLock="1"/>
      </w:r>
      <w:r w:rsidR="00A51FA7">
        <w:rPr>
          <w:lang w:val="en-US"/>
        </w:rPr>
        <w:instrText>ADDIN CSL_CITATION {"citationItems":[{"id":"ITEM-1","itemData":{"DOI":"10.1016/j.jclepro.2012.12.037","ISSN":"09596526","abstract":"The rare-earth elements (REEs) are becoming increasingly important in the transition to a green economy, due to their essential role in permanent magnets, lamp phosphors, catalysts, rechargeable batteries etc. With China presently producing more than 90% of the global REE output and its increasingly tight export quota, the rest of the world is confronted with a REE supply risk. Mining companies are now actively seeking new exploitable REE deposits while some old mines are being reopened. Because of the absence of economical and/or operational primary deposits on their territory, many countries will have to rely on recycling of REEs from pre-consumer scrap, industrial residues and REE-containing End-of-Life products. REE recycling is also recommended in view of the so-called \"balance problem\". For instance, primary mining of REE ores for neodymium generates an excess of the more abundant elements, lanthanum and cerium. Therefore, recycling of neodymium can reduce the total amount of REE ores that need to be extracted. Despite a vast, mostly lab-scale research effort on REE recycling, up to 2011 less than 1% of the REEs were actually recycled. This is mainly due to inefficient collection, technological problems and, especially, a lack of incentives. A drastic improvement in the recycling of REEs is, therefore, an absolute necessity. This can only be realized by developing efficient, fully integrated recycling routes, which can take advantage of the rich REE recycling literature. This paper provides an overview of this literature, with emphasis on three main applications: permanent magnets, nickel metal hydride batteries and lamp phosphors. The state of the art in preprocessing of End-of-Life materials containing REEs and the final REE recovery is discussed in detail. Both pyrometallurgical and hydrometallurgical routes for REE separation from non-REE elements in the recycled fractions are reviewed. The relevance of Life Cycle Assessment (LCA) for REE recycling is emphasized. The review corroborates that, in addition to mitigating the supply risk, REE recycling can reduce the environmental challenges associated with REE mining and processing. © 2013 Elsevier Ltd. All rights reserved.","author":[{"dropping-particle":"","family":"Binnemans","given":"Koen","non-dropping-particle":"","parse-names":false,"suffix":""},{"dropping-particle":"","family":"Jones","given":"Peter Tom","non-dropping-particle":"","parse-names":false,"suffix":""},{"dropping-particle":"","family":"Blanpain","given":"Bart","non-dropping-particle":"","parse-names":false,"suffix":""},{"dropping-particle":"","family":"Gerven","given":"Tom","non-dropping-particle":"Van","parse-names":false,"suffix":""},{"dropping-particle":"","family":"Yang","given":"Yongxiang","non-dropping-particle":"","parse-names":false,"suffix":""},{"dropping-particle":"","family":"Walton","given":"Allan","non-dropping-particle":"","parse-names":false,"suffix":""},{"dropping-particle":"","family":"Buchert","given":"Matthias","non-dropping-particle":"","parse-names":false,"suffix":""}],"container-title":"Journal of Cleaner Production","id":"ITEM-1","issued":{"date-parts":[["2013"]]},"page":"1-22","publisher":"Elsevier Ltd","title":"Recycling of rare earths: A critical review","type":"article-journal","volume":"51"},"uris":["http://www.mendeley.com/documents/?uuid=ffcb1f27-e0eb-4177-b9d0-80b5c80f1041"]}],"mendeley":{"formattedCitation":"(Binnemans et al., 2013)","plainTextFormattedCitation":"(Binnemans et al., 2013)","previouslyFormattedCitation":"(Binnemans et al., 2013)"},"properties":{"noteIndex":0},"schema":"https://github.com/citation-style-language/schema/raw/master/csl-citation.json"}</w:instrText>
      </w:r>
      <w:r w:rsidR="00A51FA7">
        <w:rPr>
          <w:lang w:val="en-US"/>
        </w:rPr>
        <w:fldChar w:fldCharType="separate"/>
      </w:r>
      <w:r w:rsidR="00A51FA7" w:rsidRPr="00A51FA7">
        <w:rPr>
          <w:noProof/>
          <w:lang w:val="en-US"/>
        </w:rPr>
        <w:t>(Binnemans et al., 2013)</w:t>
      </w:r>
      <w:r w:rsidR="00A51FA7">
        <w:rPr>
          <w:lang w:val="en-US"/>
        </w:rPr>
        <w:fldChar w:fldCharType="end"/>
      </w:r>
      <w:r w:rsidR="00E75FC1" w:rsidRPr="009A215A">
        <w:t xml:space="preserve">. </w:t>
      </w:r>
      <w:r w:rsidR="00E75FC1" w:rsidRPr="00840332">
        <w:t xml:space="preserve">Moreover, Nd's recycling from </w:t>
      </w:r>
      <w:r w:rsidR="00DC14D3" w:rsidRPr="0043415A">
        <w:rPr>
          <w:lang w:val="en-US"/>
        </w:rPr>
        <w:t>end-of-life (</w:t>
      </w:r>
      <w:r w:rsidR="00E75FC1" w:rsidRPr="0043415A">
        <w:t>EOL</w:t>
      </w:r>
      <w:r w:rsidR="00DC14D3" w:rsidRPr="0043415A">
        <w:rPr>
          <w:lang w:val="en-US"/>
        </w:rPr>
        <w:t>)</w:t>
      </w:r>
      <w:r w:rsidR="00E75FC1" w:rsidRPr="00840332">
        <w:t xml:space="preserve"> scrap is one way to close the material loop</w:t>
      </w:r>
      <w:r w:rsidR="00B258A0" w:rsidRPr="00840332">
        <w:t xml:space="preserve">, contributing to </w:t>
      </w:r>
      <w:r w:rsidR="00E75FC1" w:rsidRPr="00840332">
        <w:t>circular economy</w:t>
      </w:r>
      <w:r w:rsidR="00A51FA7">
        <w:rPr>
          <w:lang w:val="en-US"/>
        </w:rPr>
        <w:t xml:space="preserve"> </w:t>
      </w:r>
      <w:r w:rsidR="00A51FA7">
        <w:rPr>
          <w:lang w:val="en-US"/>
        </w:rPr>
        <w:fldChar w:fldCharType="begin" w:fldLock="1"/>
      </w:r>
      <w:r w:rsidR="008D16B0">
        <w:rPr>
          <w:lang w:val="en-US"/>
        </w:rPr>
        <w:instrText>ADDIN CSL_CITATION {"citationItems":[{"id":"ITEM-1","itemData":{"DOI":"10.1016/j.jclepro.2012.12.037","ISSN":"09596526","abstract":"The rare-earth elements (REEs) are becoming increasingly important in the transition to a green economy, due to their essential role in permanent magnets, lamp phosphors, catalysts, rechargeable batteries etc. With China presently producing more than 90% of the global REE output and its increasingly tight export quota, the rest of the world is confronted with a REE supply risk. Mining companies are now actively seeking new exploitable REE deposits while some old mines are being reopened. Because of the absence of economical and/or operational primary deposits on their territory, many countries will have to rely on recycling of REEs from pre-consumer scrap, industrial residues and REE-containing End-of-Life products. REE recycling is also recommended in view of the so-called \"balance problem\". For instance, primary mining of REE ores for neodymium generates an excess of the more abundant elements, lanthanum and cerium. Therefore, recycling of neodymium can reduce the total amount of REE ores that need to be extracted. Despite a vast, mostly lab-scale research effort on REE recycling, up to 2011 less than 1% of the REEs were actually recycled. This is mainly due to inefficient collection, technological problems and, especially, a lack of incentives. A drastic improvement in the recycling of REEs is, therefore, an absolute necessity. This can only be realized by developing efficient, fully integrated recycling routes, which can take advantage of the rich REE recycling literature. This paper provides an overview of this literature, with emphasis on three main applications: permanent magnets, nickel metal hydride batteries and lamp phosphors. The state of the art in preprocessing of End-of-Life materials containing REEs and the final REE recovery is discussed in detail. Both pyrometallurgical and hydrometallurgical routes for REE separation from non-REE elements in the recycled fractions are reviewed. The relevance of Life Cycle Assessment (LCA) for REE recycling is emphasized. The review corroborates that, in addition to mitigating the supply risk, REE recycling can reduce the environmental challenges associated with REE mining and processing. © 2013 Elsevier Ltd. All rights reserved.","author":[{"dropping-particle":"","family":"Binnemans","given":"Koen","non-dropping-particle":"","parse-names":false,"suffix":""},{"dropping-particle":"","family":"Jones","given":"Peter Tom","non-dropping-particle":"","parse-names":false,"suffix":""},{"dropping-particle":"","family":"Blanpain","given":"Bart","non-dropping-particle":"","parse-names":false,"suffix":""},{"dropping-particle":"","family":"Gerven","given":"Tom","non-dropping-particle":"Van","parse-names":false,"suffix":""},{"dropping-particle":"","family":"Yang","given":"Yongxiang","non-dropping-particle":"","parse-names":false,"suffix":""},{"dropping-particle":"","family":"Walton","given":"Allan","non-dropping-particle":"","parse-names":false,"suffix":""},{"dropping-particle":"","family":"Buchert","given":"Matthias","non-dropping-particle":"","parse-names":false,"suffix":""}],"container-title":"Journal of Cleaner Production","id":"ITEM-1","issued":{"date-parts":[["2013"]]},"page":"1-22","publisher":"Elsevier Ltd","title":"Recycling of rare earths: A critical review","type":"article-journal","volume":"51"},"uris":["http://www.mendeley.com/documents/?uuid=ffcb1f27-e0eb-4177-b9d0-80b5c80f1041"]}],"mendeley":{"formattedCitation":"(Binnemans et al., 2013)","plainTextFormattedCitation":"(Binnemans et al., 2013)","previouslyFormattedCitation":"(Binnemans et al., 2013)"},"properties":{"noteIndex":0},"schema":"https://github.com/citation-style-language/schema/raw/master/csl-citation.json"}</w:instrText>
      </w:r>
      <w:r w:rsidR="00A51FA7">
        <w:rPr>
          <w:lang w:val="en-US"/>
        </w:rPr>
        <w:fldChar w:fldCharType="separate"/>
      </w:r>
      <w:r w:rsidR="00A51FA7" w:rsidRPr="00A51FA7">
        <w:rPr>
          <w:noProof/>
          <w:lang w:val="en-US"/>
        </w:rPr>
        <w:t>(Binnemans et al., 2013)</w:t>
      </w:r>
      <w:r w:rsidR="00A51FA7">
        <w:rPr>
          <w:lang w:val="en-US"/>
        </w:rPr>
        <w:fldChar w:fldCharType="end"/>
      </w:r>
      <w:r w:rsidR="00E75FC1" w:rsidRPr="00840332">
        <w:t>. Thus, Nd recycling from magnets has many potential benefits. However,</w:t>
      </w:r>
      <w:r w:rsidR="006040F9" w:rsidRPr="00840332">
        <w:rPr>
          <w:lang w:val="en-US"/>
        </w:rPr>
        <w:t xml:space="preserve"> industrial</w:t>
      </w:r>
      <w:r w:rsidR="00E75FC1" w:rsidRPr="00840332">
        <w:t xml:space="preserve"> permanent magnet recycling activities have not been established yet.</w:t>
      </w:r>
      <w:r w:rsidR="00E75FC1" w:rsidRPr="009A215A">
        <w:t xml:space="preserve"> All </w:t>
      </w:r>
      <w:r w:rsidR="006040F9">
        <w:rPr>
          <w:lang w:val="en-US"/>
        </w:rPr>
        <w:t xml:space="preserve">available </w:t>
      </w:r>
      <w:r w:rsidR="00E75FC1" w:rsidRPr="009A215A">
        <w:t>technologies</w:t>
      </w:r>
      <w:r w:rsidR="006040F9">
        <w:rPr>
          <w:lang w:val="en-US"/>
        </w:rPr>
        <w:t xml:space="preserve"> </w:t>
      </w:r>
      <w:r w:rsidR="00E75FC1" w:rsidRPr="009A215A">
        <w:t>are</w:t>
      </w:r>
      <w:r w:rsidR="006040F9">
        <w:rPr>
          <w:lang w:val="en-US"/>
        </w:rPr>
        <w:t xml:space="preserve"> s</w:t>
      </w:r>
      <w:r w:rsidR="00E75FC1" w:rsidRPr="009A215A">
        <w:t>till on a laboratory</w:t>
      </w:r>
      <w:r w:rsidR="006B66E8" w:rsidRPr="009A215A">
        <w:t xml:space="preserve"> </w:t>
      </w:r>
      <w:r w:rsidR="00261744">
        <w:rPr>
          <w:lang w:val="en-US"/>
        </w:rPr>
        <w:t>or</w:t>
      </w:r>
      <w:r w:rsidR="006B66E8" w:rsidRPr="009A215A">
        <w:t xml:space="preserve"> pilot</w:t>
      </w:r>
      <w:r w:rsidR="00E75FC1" w:rsidRPr="009A215A">
        <w:t xml:space="preserve"> scale. There are no business models</w:t>
      </w:r>
      <w:r w:rsidR="000519F8">
        <w:rPr>
          <w:lang w:val="en-US"/>
        </w:rPr>
        <w:t xml:space="preserve"> </w:t>
      </w:r>
      <w:r w:rsidR="00E75FC1" w:rsidRPr="009A215A">
        <w:t xml:space="preserve">from an economic point of view </w:t>
      </w:r>
      <w:r w:rsidR="008D16B0">
        <w:fldChar w:fldCharType="begin" w:fldLock="1"/>
      </w:r>
      <w:r w:rsidR="008D16B0">
        <w:instrText>ADDIN CSL_CITATION {"citationItems":[{"id":"ITEM-1","itemData":{"DOI":"10.1016/j.rser.2019.02.029","ISSN":"18790690","abstract":"The rare earth elements (REEs) were classified as critical raw materials for Europe for their economic relevance and the supply risk. Currently, most of REE production is concentrated in the Chinese area and it is used for the production of many technologies including: fluorescent lamps, fluid catalytic cracking catalysts and permanent magnets. At the end of their life, these products can cause management problems, mainly due to the hazardous component presence. Nevertheless, this critical issue is combined with the significant content of REEs, which makes them a potential resource of secondary raw materials. In this regard, the literature reports many processes for the waste exploitation, but the effective sustainability is often neglected. In this context, the present paper took into account three processes, one for each mentioned waste, to assess both the environmental and the economic aspects. The obtained results were allocated on the basis of metals market price proving an advantage for most of the elements, compared to the primary production. Following the paper evaluation, the fulfillment of the circular economy approach could reduce up to 200 times the impact in the climate change category and up to 70 times the cost due to the REE mining.","author":[{"dropping-particle":"","family":"Amato","given":"A.","non-dropping-particle":"","parse-names":false,"suffix":""},{"dropping-particle":"","family":"Becci","given":"A.","non-dropping-particle":"","parse-names":false,"suffix":""},{"dropping-particle":"","family":"Birloaga","given":"I.","non-dropping-particle":"","parse-names":false,"suffix":""},{"dropping-particle":"","family":"Michelis","given":"I.","non-dropping-particle":"De","parse-names":false,"suffix":""},{"dropping-particle":"","family":"Ferella","given":"F.","non-dropping-particle":"","parse-names":false,"suffix":""},{"dropping-particle":"","family":"Innocenzi","given":"V.","non-dropping-particle":"","parse-names":false,"suffix":""},{"dropping-particle":"","family":"Ippolito","given":"N. M.","non-dropping-particle":"","parse-names":false,"suffix":""},{"dropping-particle":"","family":"Pillar Jimenez Gomez","given":"C.","non-dropping-particle":"","parse-names":false,"suffix":""},{"dropping-particle":"","family":"Vegliò","given":"F.","non-dropping-particle":"","parse-names":false,"suffix":""},{"dropping-particle":"","family":"Beolchini","given":"F.","non-dropping-particle":"","parse-names":false,"suffix":""}],"container-title":"Renewable and Sustainable Energy Reviews","id":"ITEM-1","issue":"December 2018","issued":{"date-parts":[["2019"]]},"page":"41-53","publisher":"Elsevier Ltd","title":"Sustainability analysis of innovative technologies for the rare earth elements recovery","type":"article-journal","volume":"106"},"uris":["http://www.mendeley.com/documents/?uuid=b16c7c5a-ffc2-4f1e-b3ea-4c87b65d63bb"]}],"mendeley":{"formattedCitation":"(Amato et al., 2019)","plainTextFormattedCitation":"(Amato et al., 2019)","previouslyFormattedCitation":"(Amato et al., 2019)"},"properties":{"noteIndex":0},"schema":"https://github.com/citation-style-language/schema/raw/master/csl-citation.json"}</w:instrText>
      </w:r>
      <w:r w:rsidR="008D16B0">
        <w:fldChar w:fldCharType="separate"/>
      </w:r>
      <w:r w:rsidR="008D16B0" w:rsidRPr="008D16B0">
        <w:rPr>
          <w:noProof/>
        </w:rPr>
        <w:t>(Amato et al., 2019)</w:t>
      </w:r>
      <w:r w:rsidR="008D16B0">
        <w:fldChar w:fldCharType="end"/>
      </w:r>
      <w:r w:rsidR="008D16B0">
        <w:rPr>
          <w:lang w:val="en-US"/>
        </w:rPr>
        <w:t xml:space="preserve">. </w:t>
      </w:r>
      <w:r w:rsidR="008D16B0">
        <w:rPr>
          <w:lang w:val="en-US"/>
        </w:rPr>
        <w:fldChar w:fldCharType="begin" w:fldLock="1"/>
      </w:r>
      <w:r w:rsidR="0007492A">
        <w:rPr>
          <w:lang w:val="en-US"/>
        </w:rPr>
        <w:instrText>ADDIN CSL_CITATION {"citationItems":[{"id":"ITEM-1","itemData":{"DOI":"10.1016/j.rser.2019.02.029","ISSN":"18790690","abstract":"The rare earth elements (REEs) were classified as critical raw materials for Europe for their economic relevance and the supply risk. Currently, most of REE production is concentrated in the Chinese area and it is used for the production of many technologies including: fluorescent lamps, fluid catalytic cracking catalysts and permanent magnets. At the end of their life, these products can cause management problems, mainly due to the hazardous component presence. Nevertheless, this critical issue is combined with the significant content of REEs, which makes them a potential resource of secondary raw materials. In this regard, the literature reports many processes for the waste exploitation, but the effective sustainability is often neglected. In this context, the present paper took into account three processes, one for each mentioned waste, to assess both the environmental and the economic aspects. The obtained results were allocated on the basis of metals market price proving an advantage for most of the elements, compared to the primary production. Following the paper evaluation, the fulfillment of the circular economy approach could reduce up to 200 times the impact in the climate change category and up to 70 times the cost due to the REE mining.","author":[{"dropping-particle":"","family":"Amato","given":"A.","non-dropping-particle":"","parse-names":false,"suffix":""},{"dropping-particle":"","family":"Becci","given":"A.","non-dropping-particle":"","parse-names":false,"suffix":""},{"dropping-particle":"","family":"Birloaga","given":"I.","non-dropping-particle":"","parse-names":false,"suffix":""},{"dropping-particle":"","family":"Michelis","given":"I.","non-dropping-particle":"De","parse-names":false,"suffix":""},{"dropping-particle":"","family":"Ferella","given":"F.","non-dropping-particle":"","parse-names":false,"suffix":""},{"dropping-particle":"","family":"Innocenzi","given":"V.","non-dropping-particle":"","parse-names":false,"suffix":""},{"dropping-particle":"","family":"Ippolito","given":"N. M.","non-dropping-particle":"","parse-names":false,"suffix":""},{"dropping-particle":"","family":"Pillar Jimenez Gomez","given":"C.","non-dropping-particle":"","parse-names":false,"suffix":""},{"dropping-particle":"","family":"Vegliò","given":"F.","non-dropping-particle":"","parse-names":false,"suffix":""},{"dropping-particle":"","family":"Beolchini","given":"F.","non-dropping-particle":"","parse-names":false,"suffix":""}],"container-title":"Renewable and Sustainable Energy Reviews","id":"ITEM-1","issue":"December 2018","issued":{"date-parts":[["2019"]]},"page":"41-53","publisher":"Elsevier Ltd","title":"Sustainability analysis of innovative technologies for the rare earth elements recovery","type":"article-journal","volume":"106"},"uris":["http://www.mendeley.com/documents/?uuid=b16c7c5a-ffc2-4f1e-b3ea-4c87b65d63bb"]}],"mendeley":{"formattedCitation":"(Amato et al., 2019)","manualFormatting":"Amato et al. (2019)","plainTextFormattedCitation":"(Amato et al., 2019)","previouslyFormattedCitation":"(Amato et al., 2019)"},"properties":{"noteIndex":0},"schema":"https://github.com/citation-style-language/schema/raw/master/csl-citation.json"}</w:instrText>
      </w:r>
      <w:r w:rsidR="008D16B0">
        <w:rPr>
          <w:lang w:val="en-US"/>
        </w:rPr>
        <w:fldChar w:fldCharType="separate"/>
      </w:r>
      <w:r w:rsidR="008D16B0" w:rsidRPr="008D16B0">
        <w:rPr>
          <w:noProof/>
          <w:lang w:val="en-US"/>
        </w:rPr>
        <w:t>Amato et al.</w:t>
      </w:r>
      <w:r w:rsidR="008D16B0">
        <w:rPr>
          <w:noProof/>
          <w:lang w:val="en-US"/>
        </w:rPr>
        <w:t xml:space="preserve"> (</w:t>
      </w:r>
      <w:r w:rsidR="008D16B0" w:rsidRPr="008D16B0">
        <w:rPr>
          <w:noProof/>
          <w:lang w:val="en-US"/>
        </w:rPr>
        <w:t>2019)</w:t>
      </w:r>
      <w:r w:rsidR="008D16B0">
        <w:rPr>
          <w:lang w:val="en-US"/>
        </w:rPr>
        <w:fldChar w:fldCharType="end"/>
      </w:r>
      <w:r w:rsidR="008D16B0">
        <w:rPr>
          <w:lang w:val="en-US"/>
        </w:rPr>
        <w:t xml:space="preserve"> </w:t>
      </w:r>
      <w:r w:rsidR="00E75FC1" w:rsidRPr="009A215A">
        <w:t xml:space="preserve">listed the patents on Nd recovery </w:t>
      </w:r>
      <w:r w:rsidR="000519F8">
        <w:rPr>
          <w:lang w:val="en-US"/>
        </w:rPr>
        <w:t>existing</w:t>
      </w:r>
      <w:r w:rsidR="00E75FC1" w:rsidRPr="009A215A">
        <w:t xml:space="preserve"> up to their publication date; the authors found only three registered.</w:t>
      </w:r>
    </w:p>
    <w:p w14:paraId="7BF20864" w14:textId="77777777" w:rsidR="00E75FC1" w:rsidRPr="009A215A" w:rsidRDefault="00E75FC1" w:rsidP="009A215A"/>
    <w:p w14:paraId="0F38E129" w14:textId="7865723F" w:rsidR="00E75FC1" w:rsidRPr="009A215A" w:rsidRDefault="00E75FC1" w:rsidP="009A215A">
      <w:r w:rsidRPr="008D4EB7">
        <w:t>Different technological approaches have</w:t>
      </w:r>
      <w:r w:rsidR="0018343C" w:rsidRPr="008D4EB7">
        <w:rPr>
          <w:lang w:val="en-US"/>
        </w:rPr>
        <w:t xml:space="preserve"> been</w:t>
      </w:r>
      <w:r w:rsidRPr="008D4EB7">
        <w:t xml:space="preserve"> developed in </w:t>
      </w:r>
      <w:r w:rsidR="00323A33" w:rsidRPr="0043415A">
        <w:rPr>
          <w:lang w:val="en-US"/>
        </w:rPr>
        <w:t>research and development projects (</w:t>
      </w:r>
      <w:r w:rsidRPr="0043415A">
        <w:t>R&amp;D</w:t>
      </w:r>
      <w:r w:rsidR="00323A33" w:rsidRPr="0043415A">
        <w:rPr>
          <w:lang w:val="en-US"/>
        </w:rPr>
        <w:t>)</w:t>
      </w:r>
      <w:r w:rsidRPr="008D4EB7">
        <w:t xml:space="preserve"> for Nd recovery: hydrometallurgical, pyrometallurgical, and electrochemical technologies </w:t>
      </w:r>
      <w:r w:rsidR="0007492A">
        <w:fldChar w:fldCharType="begin" w:fldLock="1"/>
      </w:r>
      <w:r w:rsidR="00802B76">
        <w:instrText>ADDIN CSL_CITATION {"citationItems":[{"id":"ITEM-1","itemData":{"DOI":"10.1007/s40831-016-0045-9","ISSN":"21993831","abstract":"Rare-earth metals, particularly neodymium, dysprosium, and praseodymium are becoming increasingly important in the transition to a green economy due to their essential role in permanent magnet applications such as in electric motors and generators. With the increasingly limited rare-earth supply and complexity of processing Nd, Dy, and Pr from primary ores, recycling of rare-earth based magnets has become a necessary option to manage supply and demand. Depending on the form of the starting material (sludge or scrap), there are different routes that can be used to recover neodymium from secondary sources, ranging from hydrometallurgical (based on its primary production process), electrochemical to pyrometallurgical. Pyrometallurgical routes provide solution in cases where water is scarce and generation of waste is to be limited. This paper presents a systematic review of previous studies on the high-temperature (pyrometallurgical) recovery of rare earths from magnets. The features and conditions at which the recycling processes had been studied are mapped and evaluated technically. The review also highlights the reaction mechanisms, behaviors of the rare-earth elements, and the formation of intermediate compounds in high-temperature recycling processes. Recommendations for further scientific research to enable the development of recovery of the rare-earth and magnet recycling are also presented.","author":[{"dropping-particle":"","family":"Firdaus","given":"Muhamad","non-dropping-particle":"","parse-names":false,"suffix":""},{"dropping-particle":"","family":"Rhamdhani","given":"M. Akbar","non-dropping-particle":"","parse-names":false,"suffix":""},{"dropping-particle":"","family":"Durandet","given":"Yvonne","non-dropping-particle":"","parse-names":false,"suffix":""},{"dropping-particle":"","family":"Rankin","given":"W. John","non-dropping-particle":"","parse-names":false,"suffix":""},{"dropping-particle":"","family":"McGregor","given":"Kathie","non-dropping-particle":"","parse-names":false,"suffix":""}],"container-title":"Journal of Sustainable Metallurgy","id":"ITEM-1","issue":"4","issued":{"date-parts":[["2016"]]},"page":"276-295","publisher":"Springer International Publishing","title":"Review of High-Temperature Recovery of Rare Earth (Nd/Dy) from Magnet Waste","type":"article-journal","volume":"2"},"uris":["http://www.mendeley.com/documents/?uuid=17221649-c07e-4548-91f1-41dd01cc5dad"]}],"mendeley":{"formattedCitation":"(Firdaus et al., 2016)","plainTextFormattedCitation":"(Firdaus et al., 2016)","previouslyFormattedCitation":"(Firdaus et al., 2016)"},"properties":{"noteIndex":0},"schema":"https://github.com/citation-style-language/schema/raw/master/csl-citation.json"}</w:instrText>
      </w:r>
      <w:r w:rsidR="0007492A">
        <w:fldChar w:fldCharType="separate"/>
      </w:r>
      <w:r w:rsidR="0007492A" w:rsidRPr="0007492A">
        <w:rPr>
          <w:noProof/>
        </w:rPr>
        <w:t>(Firdaus et al., 2016)</w:t>
      </w:r>
      <w:r w:rsidR="0007492A">
        <w:fldChar w:fldCharType="end"/>
      </w:r>
      <w:r w:rsidR="0007492A">
        <w:rPr>
          <w:lang w:val="en-US"/>
        </w:rPr>
        <w:t xml:space="preserve">. </w:t>
      </w:r>
      <w:r w:rsidRPr="009A215A">
        <w:t>As</w:t>
      </w:r>
      <w:r w:rsidR="0018343C">
        <w:rPr>
          <w:lang w:val="en-US"/>
        </w:rPr>
        <w:t xml:space="preserve"> it is</w:t>
      </w:r>
      <w:r w:rsidRPr="009A215A">
        <w:t xml:space="preserve"> in</w:t>
      </w:r>
      <w:r w:rsidR="0018343C">
        <w:rPr>
          <w:lang w:val="en-US"/>
        </w:rPr>
        <w:t xml:space="preserve"> </w:t>
      </w:r>
      <w:r w:rsidRPr="009A215A">
        <w:t>development stage, there is no consensus on wh</w:t>
      </w:r>
      <w:r w:rsidR="0018343C">
        <w:rPr>
          <w:lang w:val="en-US"/>
        </w:rPr>
        <w:t>ich</w:t>
      </w:r>
      <w:r w:rsidRPr="009A215A">
        <w:t xml:space="preserve"> technology is the best. </w:t>
      </w:r>
      <w:r w:rsidR="0018343C">
        <w:rPr>
          <w:lang w:val="en-US"/>
        </w:rPr>
        <w:t>In this way</w:t>
      </w:r>
      <w:r w:rsidRPr="009A215A">
        <w:t xml:space="preserve">, investigation </w:t>
      </w:r>
      <w:r w:rsidR="0018343C">
        <w:rPr>
          <w:lang w:val="en-US"/>
        </w:rPr>
        <w:t xml:space="preserve">is important for </w:t>
      </w:r>
      <w:r w:rsidRPr="009A215A">
        <w:t xml:space="preserve">seeing-through </w:t>
      </w:r>
      <w:r w:rsidR="0018343C">
        <w:rPr>
          <w:lang w:val="en-US"/>
        </w:rPr>
        <w:t>the options</w:t>
      </w:r>
      <w:r w:rsidRPr="009A215A">
        <w:t>,</w:t>
      </w:r>
      <w:r w:rsidR="00C10039" w:rsidRPr="009A215A">
        <w:t xml:space="preserve"> </w:t>
      </w:r>
      <w:r w:rsidR="00B87485">
        <w:rPr>
          <w:lang w:val="en-US"/>
        </w:rPr>
        <w:t xml:space="preserve">enabling </w:t>
      </w:r>
      <w:r w:rsidRPr="009A215A">
        <w:t xml:space="preserve">improvement. </w:t>
      </w:r>
      <w:r w:rsidR="00802B76">
        <w:fldChar w:fldCharType="begin" w:fldLock="1"/>
      </w:r>
      <w:r w:rsidR="00802B76">
        <w:instrText>ADDIN CSL_CITATION {"citationItems":[{"id":"ITEM-1","itemData":{"DOI":"10.1016/j.jclepro.2012.12.037","ISSN":"09596526","abstract":"The rare-earth elements (REEs) are becoming increasingly important in the transition to a green economy, due to their essential role in permanent magnets, lamp phosphors, catalysts, rechargeable batteries etc. With China presently producing more than 90% of the global REE output and its increasingly tight export quota, the rest of the world is confronted with a REE supply risk. Mining companies are now actively seeking new exploitable REE deposits while some old mines are being reopened. Because of the absence of economical and/or operational primary deposits on their territory, many countries will have to rely on recycling of REEs from pre-consumer scrap, industrial residues and REE-containing End-of-Life products. REE recycling is also recommended in view of the so-called \"balance problem\". For instance, primary mining of REE ores for neodymium generates an excess of the more abundant elements, lanthanum and cerium. Therefore, recycling of neodymium can reduce the total amount of REE ores that need to be extracted. Despite a vast, mostly lab-scale research effort on REE recycling, up to 2011 less than 1% of the REEs were actually recycled. This is mainly due to inefficient collection, technological problems and, especially, a lack of incentives. A drastic improvement in the recycling of REEs is, therefore, an absolute necessity. This can only be realized by developing efficient, fully integrated recycling routes, which can take advantage of the rich REE recycling literature. This paper provides an overview of this literature, with emphasis on three main applications: permanent magnets, nickel metal hydride batteries and lamp phosphors. The state of the art in preprocessing of End-of-Life materials containing REEs and the final REE recovery is discussed in detail. Both pyrometallurgical and hydrometallurgical routes for REE separation from non-REE elements in the recycled fractions are reviewed. The relevance of Life Cycle Assessment (LCA) for REE recycling is emphasized. The review corroborates that, in addition to mitigating the supply risk, REE recycling can reduce the environmental challenges associated with REE mining and processing. © 2013 Elsevier Ltd. All rights reserved.","author":[{"dropping-particle":"","family":"Binnemans","given":"Koen","non-dropping-particle":"","parse-names":false,"suffix":""},{"dropping-particle":"","family":"Jones","given":"Peter Tom","non-dropping-particle":"","parse-names":false,"suffix":""},{"dropping-particle":"","family":"Blanpain","given":"Bart","non-dropping-particle":"","parse-names":false,"suffix":""},{"dropping-particle":"","family":"Gerven","given":"Tom","non-dropping-particle":"Van","parse-names":false,"suffix":""},{"dropping-particle":"","family":"Yang","given":"Yongxiang","non-dropping-particle":"","parse-names":false,"suffix":""},{"dropping-particle":"","family":"Walton","given":"Allan","non-dropping-particle":"","parse-names":false,"suffix":""},{"dropping-particle":"","family":"Buchert","given":"Matthias","non-dropping-particle":"","parse-names":false,"suffix":""}],"container-title":"Journal of Cleaner Production","id":"ITEM-1","issued":{"date-parts":[["2013"]]},"page":"1-22","publisher":"Elsevier Ltd","title":"Recycling of rare earths: A critical review","type":"article-journal","volume":"51"},"uris":["http://www.mendeley.com/documents/?uuid=ffcb1f27-e0eb-4177-b9d0-80b5c80f1041"]}],"mendeley":{"formattedCitation":"(Binnemans et al., 2013)","manualFormatting":"Binnemans et al. (2013)","plainTextFormattedCitation":"(Binnemans et al., 2013)","previouslyFormattedCitation":"(Binnemans et al., 2013)"},"properties":{"noteIndex":0},"schema":"https://github.com/citation-style-language/schema/raw/master/csl-citation.json"}</w:instrText>
      </w:r>
      <w:r w:rsidR="00802B76">
        <w:fldChar w:fldCharType="separate"/>
      </w:r>
      <w:r w:rsidR="00802B76" w:rsidRPr="00802B76">
        <w:rPr>
          <w:noProof/>
        </w:rPr>
        <w:t>Binnemans et al.</w:t>
      </w:r>
      <w:r w:rsidR="00802B76">
        <w:rPr>
          <w:noProof/>
          <w:lang w:val="en-US"/>
        </w:rPr>
        <w:t xml:space="preserve"> (</w:t>
      </w:r>
      <w:r w:rsidR="00802B76" w:rsidRPr="00802B76">
        <w:rPr>
          <w:noProof/>
        </w:rPr>
        <w:t>2013)</w:t>
      </w:r>
      <w:r w:rsidR="00802B76">
        <w:fldChar w:fldCharType="end"/>
      </w:r>
      <w:r w:rsidRPr="009A215A">
        <w:t xml:space="preserve">, </w:t>
      </w:r>
      <w:r w:rsidR="00802B76">
        <w:fldChar w:fldCharType="begin" w:fldLock="1"/>
      </w:r>
      <w:r w:rsidR="00802B76">
        <w:instrText>ADDIN CSL_CITATION {"citationItems":[{"id":"ITEM-1","itemData":{"DOI":"10.1007/s40831-016-0085-1","ISSN":"21993831","abstract":"(Hybrid) electric vehicles are assumed to play a major role in future mobility concepts. Although sales numbers are increasing, little emphasis has been laid on the recycling of some key components such as power electronics or electric motors. Permanent magnet synchronous motors contain considerable amounts of rare earth elements that cannot be recovered in conventional recycling routes. Although their recycling could have large economic, environmental, and strategic advantages, no industrial recycling for permanent magnets is available in western countries at the moment. Regarding the essential steps, dismantling of electric vehicles as well as the extraction of magnets from the rotors, little has been published before. This paper therefore presents and discusses different recycling approaches for the recycling of NdFeB magnets from (hybrid) electric vehicles. Many results stem from the German research project “Recycling of components and strategic metals of electric drive motors.”.","author":[{"dropping-particle":"","family":"Elwert","given":"Tobias","non-dropping-particle":"","parse-names":false,"suffix":""},{"dropping-particle":"","family":"Goldmann","given":"Daniel","non-dropping-particle":"","parse-names":false,"suffix":""},{"dropping-particle":"","family":"Roemer","given":"Felix","non-dropping-particle":"","parse-names":false,"suffix":""},{"dropping-particle":"","family":"Schwarz","given":"Sabrina","non-dropping-particle":"","parse-names":false,"suffix":""}],"container-title":"Journal of Sustainable Metallurgy","id":"ITEM-1","issue":"1","issued":{"date-parts":[["2017"]]},"page":"108-121","publisher":"Springer International Publishing","title":"Recycling of NdFeB Magnets from Electric Drive Motors of (Hybrid) Electric Vehicles","type":"article-journal","volume":"3"},"uris":["http://www.mendeley.com/documents/?uuid=72a5e5db-fff6-41d0-9cec-f29ba428fb43"]}],"mendeley":{"formattedCitation":"(Elwert et al., 2017)","manualFormatting":"Elwert et al. (2017)","plainTextFormattedCitation":"(Elwert et al., 2017)","previouslyFormattedCitation":"(Elwert et al., 2017)"},"properties":{"noteIndex":0},"schema":"https://github.com/citation-style-language/schema/raw/master/csl-citation.json"}</w:instrText>
      </w:r>
      <w:r w:rsidR="00802B76">
        <w:fldChar w:fldCharType="separate"/>
      </w:r>
      <w:r w:rsidR="00802B76" w:rsidRPr="00802B76">
        <w:rPr>
          <w:noProof/>
        </w:rPr>
        <w:t>Elwert et al.</w:t>
      </w:r>
      <w:r w:rsidR="00802B76">
        <w:rPr>
          <w:noProof/>
          <w:lang w:val="en-US"/>
        </w:rPr>
        <w:t xml:space="preserve"> (</w:t>
      </w:r>
      <w:r w:rsidR="00802B76" w:rsidRPr="00802B76">
        <w:rPr>
          <w:noProof/>
        </w:rPr>
        <w:t>2017)</w:t>
      </w:r>
      <w:r w:rsidR="00802B76">
        <w:fldChar w:fldCharType="end"/>
      </w:r>
      <w:r w:rsidR="00802B76">
        <w:rPr>
          <w:lang w:val="en-US"/>
        </w:rPr>
        <w:t>,</w:t>
      </w:r>
      <w:r w:rsidRPr="009A215A">
        <w:t xml:space="preserve"> and</w:t>
      </w:r>
      <w:r w:rsidR="00BD719E">
        <w:rPr>
          <w:lang w:val="en-US"/>
        </w:rPr>
        <w:t xml:space="preserve"> </w:t>
      </w:r>
      <w:r w:rsidR="00BD719E">
        <w:rPr>
          <w:lang w:val="en-US"/>
        </w:rPr>
        <w:fldChar w:fldCharType="begin" w:fldLock="1"/>
      </w:r>
      <w:r w:rsidR="00ED59CC">
        <w:rPr>
          <w:lang w:val="en-US"/>
        </w:rPr>
        <w:instrText>ADDIN CSL_CITATION {"citationItems":[{"id":"ITEM-1","itemData":{"DOI":"10.1021/acs.est.7b05442","ISSN":"15205851","PMID":"29486124","abstract":"Neodymium-iron-boron (NdFeB) magnets offer the strongest magnetic field per unit volume, and thus, are widely used in clean energy applications such as electric vehicle motors. However, rare earth elements (REEs), which are the key materials for creating NdFeB magnets, have been subject to significant supply uncertainty in the past decade. NdFeB magnet-to-magnet recycling has recently emerged as a promising strategy to mitigate this supply risk. This paper assesses the environmental footprint of NdFeB magnet-to-magnet recycling by directly measuring the environmental inputs and outputs from relevant industries and compares the results with production from \"virgin\" materials, using life cycle assessments. It was found that magnet-to-magnet recycling lowers environmental impacts by 64-96%, depending on the specific impact categories under investigation. With magnet-to-magnet recycling, key processes that contribute 77-95% of the total impacts were identified to be (1) hydrogen mixing and milling (13-52%), (2) sintering and annealing (6-24%), and (3) electroplating (6-75%). The inputs from industrial sphere that play key roles in creating these impacts were electricity (24-93% of the total impact) and nickel (5-75%) for coating. Therefore, alternative energy sources such as wind and hydroelectric power are suggested to further reduce the overall environmental footprint of NdFeB magnet-to-magnet recycling.","author":[{"dropping-particle":"","family":"Jin","given":"Hongyue","non-dropping-particle":"","parse-names":false,"suffix":""},{"dropping-particle":"","family":"Afiuny","given":"Peter","non-dropping-particle":"","parse-names":false,"suffix":""},{"dropping-particle":"","family":"Dove","given":"Stephen","non-dropping-particle":"","parse-names":false,"suffix":""},{"dropping-particle":"","family":"Furlan","given":"Gojmir","non-dropping-particle":"","parse-names":false,"suffix":""},{"dropping-particle":"","family":"Zakotnik","given":"Miha","non-dropping-particle":"","parse-names":false,"suffix":""},{"dropping-particle":"","family":"Yih","given":"Yuehwern","non-dropping-particle":"","parse-names":false,"suffix":""},{"dropping-particle":"","family":"Sutherland","given":"John W.","non-dropping-particle":"","parse-names":false,"suffix":""}],"container-title":"Environmental Science and Technology","id":"ITEM-1","issue":"6","issued":{"date-parts":[["2018"]]},"page":"3796-3802","title":"Life Cycle Assessment of Neodymium-Iron-Boron Magnet-to-Magnet Recycling for Electric Vehicle Motors","type":"article-journal","volume":"52"},"uris":["http://www.mendeley.com/documents/?uuid=0c2678df-812a-4a73-8ba6-da726d14bc73"]}],"mendeley":{"formattedCitation":"(Jin, Afiuny, et al., 2018)","manualFormatting":"Jin et al. (2018)","plainTextFormattedCitation":"(Jin, Afiuny, et al., 2018)","previouslyFormattedCitation":"(Jin, Afiuny, et al., 2018)"},"properties":{"noteIndex":0},"schema":"https://github.com/citation-style-language/schema/raw/master/csl-citation.json"}</w:instrText>
      </w:r>
      <w:r w:rsidR="00BD719E">
        <w:rPr>
          <w:lang w:val="en-US"/>
        </w:rPr>
        <w:fldChar w:fldCharType="separate"/>
      </w:r>
      <w:r w:rsidR="00BD719E" w:rsidRPr="00BD719E">
        <w:rPr>
          <w:noProof/>
          <w:lang w:val="en-US"/>
        </w:rPr>
        <w:t>Jin et al.</w:t>
      </w:r>
      <w:r w:rsidR="00BD719E">
        <w:rPr>
          <w:noProof/>
          <w:lang w:val="en-US"/>
        </w:rPr>
        <w:t xml:space="preserve"> (</w:t>
      </w:r>
      <w:r w:rsidR="00BD719E" w:rsidRPr="00BD719E">
        <w:rPr>
          <w:noProof/>
          <w:lang w:val="en-US"/>
        </w:rPr>
        <w:t>2018)</w:t>
      </w:r>
      <w:r w:rsidR="00BD719E">
        <w:rPr>
          <w:lang w:val="en-US"/>
        </w:rPr>
        <w:fldChar w:fldCharType="end"/>
      </w:r>
      <w:r w:rsidRPr="009A215A">
        <w:t xml:space="preserve"> say that the hydrometallurgical route is the most promising because it is flexible regarding </w:t>
      </w:r>
      <w:r w:rsidR="003526BA">
        <w:rPr>
          <w:lang w:val="en-US"/>
        </w:rPr>
        <w:t xml:space="preserve">the </w:t>
      </w:r>
      <w:r w:rsidRPr="009A215A">
        <w:t>chemical waste composition</w:t>
      </w:r>
      <w:r w:rsidR="003526BA">
        <w:rPr>
          <w:lang w:val="en-US"/>
        </w:rPr>
        <w:t xml:space="preserve"> it generates</w:t>
      </w:r>
      <w:r w:rsidR="00B025EF">
        <w:rPr>
          <w:lang w:val="en-US"/>
        </w:rPr>
        <w:t>,</w:t>
      </w:r>
      <w:r w:rsidR="003526BA">
        <w:rPr>
          <w:lang w:val="en-US"/>
        </w:rPr>
        <w:t xml:space="preserve"> and </w:t>
      </w:r>
      <w:r w:rsidRPr="009A215A">
        <w:t xml:space="preserve">it can treat metallic and oxidized </w:t>
      </w:r>
      <w:r w:rsidR="003526BA">
        <w:rPr>
          <w:lang w:val="en-US"/>
        </w:rPr>
        <w:t xml:space="preserve">feed of </w:t>
      </w:r>
      <w:r w:rsidRPr="009A215A">
        <w:t>NdFeB waste removing impurities.</w:t>
      </w:r>
    </w:p>
    <w:p w14:paraId="11558652" w14:textId="3BAA690E" w:rsidR="00E75FC1" w:rsidRPr="009A215A" w:rsidRDefault="00E75FC1" w:rsidP="009A215A">
      <w:r w:rsidRPr="00EA04CE">
        <w:lastRenderedPageBreak/>
        <w:t>From the environmental performance point of view,</w:t>
      </w:r>
      <w:r w:rsidR="003D585F" w:rsidRPr="00EA04CE">
        <w:t xml:space="preserve"> </w:t>
      </w:r>
      <w:r w:rsidRPr="00EA04CE">
        <w:t>different recycling technologies had been analyzed in the literature</w:t>
      </w:r>
      <w:r w:rsidRPr="009A215A">
        <w:t xml:space="preserve"> </w:t>
      </w:r>
      <w:r w:rsidR="00ED59CC">
        <w:fldChar w:fldCharType="begin" w:fldLock="1"/>
      </w:r>
      <w:r w:rsidR="00ED59CC">
        <w:instrText>ADDIN CSL_CITATION {"citationItems":[{"id":"ITEM-1","itemData":{"DOI":"10.1016/j.rser.2019.02.029","ISSN":"18790690","abstract":"The rare earth elements (REEs) were classified as critical raw materials for Europe for their economic relevance and the supply risk. Currently, most of REE production is concentrated in the Chinese area and it is used for the production of many technologies including: fluorescent lamps, fluid catalytic cracking catalysts and permanent magnets. At the end of their life, these products can cause management problems, mainly due to the hazardous component presence. Nevertheless, this critical issue is combined with the significant content of REEs, which makes them a potential resource of secondary raw materials. In this regard, the literature reports many processes for the waste exploitation, but the effective sustainability is often neglected. In this context, the present paper took into account three processes, one for each mentioned waste, to assess both the environmental and the economic aspects. The obtained results were allocated on the basis of metals market price proving an advantage for most of the elements, compared to the primary production. Following the paper evaluation, the fulfillment of the circular economy approach could reduce up to 200 times the impact in the climate change category and up to 70 times the cost due to the REE mining.","author":[{"dropping-particle":"","family":"Amato","given":"A.","non-dropping-particle":"","parse-names":false,"suffix":""},{"dropping-particle":"","family":"Becci","given":"A.","non-dropping-particle":"","parse-names":false,"suffix":""},{"dropping-particle":"","family":"Birloaga","given":"I.","non-dropping-particle":"","parse-names":false,"suffix":""},{"dropping-particle":"","family":"Michelis","given":"I.","non-dropping-particle":"De","parse-names":false,"suffix":""},{"dropping-particle":"","family":"Ferella","given":"F.","non-dropping-particle":"","parse-names":false,"suffix":""},{"dropping-particle":"","family":"Innocenzi","given":"V.","non-dropping-particle":"","parse-names":false,"suffix":""},{"dropping-particle":"","family":"Ippolito","given":"N. M.","non-dropping-particle":"","parse-names":false,"suffix":""},{"dropping-particle":"","family":"Pillar Jimenez Gomez","given":"C.","non-dropping-particle":"","parse-names":false,"suffix":""},{"dropping-particle":"","family":"Vegliò","given":"F.","non-dropping-particle":"","parse-names":false,"suffix":""},{"dropping-particle":"","family":"Beolchini","given":"F.","non-dropping-particle":"","parse-names":false,"suffix":""}],"container-title":"Renewable and Sustainable Energy Reviews","id":"ITEM-1","issue":"December 2018","issued":{"date-parts":[["2019"]]},"page":"41-53","publisher":"Elsevier Ltd","title":"Sustainability analysis of innovative technologies for the rare earth elements recovery","type":"article-journal","volume":"106"},"uris":["http://www.mendeley.com/documents/?uuid=b16c7c5a-ffc2-4f1e-b3ea-4c87b65d63bb"]}],"mendeley":{"formattedCitation":"(Amato et al., 2019)","manualFormatting":"(Amato et al., 2019","plainTextFormattedCitation":"(Amato et al., 2019)","previouslyFormattedCitation":"(Amato et al., 2019)"},"properties":{"noteIndex":0},"schema":"https://github.com/citation-style-language/schema/raw/master/csl-citation.json"}</w:instrText>
      </w:r>
      <w:r w:rsidR="00ED59CC">
        <w:fldChar w:fldCharType="separate"/>
      </w:r>
      <w:r w:rsidR="00ED59CC" w:rsidRPr="00ED59CC">
        <w:rPr>
          <w:noProof/>
        </w:rPr>
        <w:t>(Amato et al., 2019</w:t>
      </w:r>
      <w:r w:rsidR="00ED59CC">
        <w:fldChar w:fldCharType="end"/>
      </w:r>
      <w:r w:rsidRPr="009A215A">
        <w:t>;</w:t>
      </w:r>
      <w:r w:rsidR="00ED59CC">
        <w:fldChar w:fldCharType="begin" w:fldLock="1"/>
      </w:r>
      <w:r w:rsidR="00ED59CC">
        <w:instrText>ADDIN CSL_CITATION {"citationItems":[{"id":"ITEM-1","itemData":{"DOI":"10.1021/acs.est.7b05442","ISSN":"15205851","PMID":"29486124","abstract":"Neodymium-iron-boron (NdFeB) magnets offer the strongest magnetic field per unit volume, and thus, are widely used in clean energy applications such as electric vehicle motors. However, rare earth elements (REEs), which are the key materials for creating NdFeB magnets, have been subject to significant supply uncertainty in the past decade. NdFeB magnet-to-magnet recycling has recently emerged as a promising strategy to mitigate this supply risk. This paper assesses the environmental footprint of NdFeB magnet-to-magnet recycling by directly measuring the environmental inputs and outputs from relevant industries and compares the results with production from \"virgin\" materials, using life cycle assessments. It was found that magnet-to-magnet recycling lowers environmental impacts by 64-96%, depending on the specific impact categories under investigation. With magnet-to-magnet recycling, key processes that contribute 77-95% of the total impacts were identified to be (1) hydrogen mixing and milling (13-52%), (2) sintering and annealing (6-24%), and (3) electroplating (6-75%). The inputs from industrial sphere that play key roles in creating these impacts were electricity (24-93% of the total impact) and nickel (5-75%) for coating. Therefore, alternative energy sources such as wind and hydroelectric power are suggested to further reduce the overall environmental footprint of NdFeB magnet-to-magnet recycling.","author":[{"dropping-particle":"","family":"Jin","given":"Hongyue","non-dropping-particle":"","parse-names":false,"suffix":""},{"dropping-particle":"","family":"Afiuny","given":"Peter","non-dropping-particle":"","parse-names":false,"suffix":""},{"dropping-particle":"","family":"Dove","given":"Stephen","non-dropping-particle":"","parse-names":false,"suffix":""},{"dropping-particle":"","family":"Furlan","given":"Gojmir","non-dropping-particle":"","parse-names":false,"suffix":""},{"dropping-particle":"","family":"Zakotnik","given":"Miha","non-dropping-particle":"","parse-names":false,"suffix":""},{"dropping-particle":"","family":"Yih","given":"Yuehwern","non-dropping-particle":"","parse-names":false,"suffix":""},{"dropping-particle":"","family":"Sutherland","given":"John W.","non-dropping-particle":"","parse-names":false,"suffix":""}],"container-title":"Environmental Science and Technology","id":"ITEM-1","issue":"6","issued":{"date-parts":[["2018"]]},"page":"3796-3802","title":"Life Cycle Assessment of Neodymium-Iron-Boron Magnet-to-Magnet Recycling for Electric Vehicle Motors","type":"article-journal","volume":"52"},"uris":["http://www.mendeley.com/documents/?uuid=0c2678df-812a-4a73-8ba6-da726d14bc73"]}],"mendeley":{"formattedCitation":"(Jin, Afiuny, et al., 2018)","manualFormatting":" Jin et al., 2018","plainTextFormattedCitation":"(Jin, Afiuny, et al., 2018)","previouslyFormattedCitation":"(Jin, Afiuny, et al., 2018)"},"properties":{"noteIndex":0},"schema":"https://github.com/citation-style-language/schema/raw/master/csl-citation.json"}</w:instrText>
      </w:r>
      <w:r w:rsidR="00ED59CC">
        <w:fldChar w:fldCharType="separate"/>
      </w:r>
      <w:r w:rsidR="00ED59CC" w:rsidRPr="00D31E7F">
        <w:rPr>
          <w:noProof/>
          <w:lang w:val="nl-NL"/>
        </w:rPr>
        <w:t xml:space="preserve"> </w:t>
      </w:r>
      <w:r w:rsidR="00ED59CC" w:rsidRPr="00ED59CC">
        <w:rPr>
          <w:noProof/>
        </w:rPr>
        <w:t>Jin et al., 2018</w:t>
      </w:r>
      <w:r w:rsidR="00ED59CC">
        <w:fldChar w:fldCharType="end"/>
      </w:r>
      <w:r w:rsidRPr="009A215A">
        <w:t xml:space="preserve">; </w:t>
      </w:r>
      <w:r w:rsidR="00ED59CC">
        <w:fldChar w:fldCharType="begin" w:fldLock="1"/>
      </w:r>
      <w:r w:rsidR="00ED59CC">
        <w:instrText>ADDIN CSL_CITATION {"citationItems":[{"id":"ITEM-1","itemData":{"DOI":"10.1021/acssuschemeng.7b03933","ISSN":"21680485","abstract":"Neodymium-iron-boron (NdFeB) magnets are widely used in clean energy applications such as wind turbines and electric vehicles whose demand is escalating. However, rare earth elements (REEs) for manufacturing NdFeB magnets are subject to significant supply uncertainty due to Chinese near-monopolistic supply. To mitigate the risk, companies are actively pursuing value recovery from end-of-life magnets. However, the questions of how to collect used magnets and smoothly transfer them through the reverse supply chain require further investigation. To address this challenge, this paper designs an efficient NdFeB magnet recovery infrastructure by identifying the optimal processing facility locations and defining the capacities and transportation flows that maximize the economic and environmental benefits and social support for the new business. Mathematical model and a multi-objective network design genetic algorithm (MONDGA) were designed to calculate solutions. When compared with the exact solutions implemented by CPLEX (an optimization package), MONDGA provided (near) optimal solutions with significantly improved computation efficiencies. As the real world model application required a large-scale optimization, MONDGA was superior to CPLEX, which failed to provide any solution. The results confirmed that our proposed model and algorithm offer a promising strategy for the NdFeB magnet recycling industry to enhance the economic and environmental sustainability and maximize social support.","author":[{"dropping-particle":"","family":"Jin","given":"Hongyue","non-dropping-particle":"","parse-names":false,"suffix":""},{"dropping-particle":"","family":"Song","given":"Byung Duk","non-dropping-particle":"","parse-names":false,"suffix":""},{"dropping-particle":"","family":"Yih","given":"Yuehwern","non-dropping-particle":"","parse-names":false,"suffix":""},{"dropping-particle":"","family":"Sutherland","given":"John W.","non-dropping-particle":"","parse-names":false,"suffix":""}],"container-title":"ACS Sustainable Chemistry and Engineering","id":"ITEM-1","issue":"4","issued":{"date-parts":[["2018"]]},"page":"4767-4775","title":"Sustainable Value Recovery of NdFeB Magnets: A Multi-Objective Network Design and Genetic Algorithm","type":"article-journal","volume":"6"},"uris":["http://www.mendeley.com/documents/?uuid=63444cb1-6de5-439a-8bd4-fab3abfef5e7"]}],"mendeley":{"formattedCitation":"(Jin, Song, et al., 2018)","manualFormatting":"Jin, Song, et al., 2018;","plainTextFormattedCitation":"(Jin, Song, et al., 2018)","previouslyFormattedCitation":"(Jin, Song, et al., 2018)"},"properties":{"noteIndex":0},"schema":"https://github.com/citation-style-language/schema/raw/master/csl-citation.json"}</w:instrText>
      </w:r>
      <w:r w:rsidR="00ED59CC">
        <w:fldChar w:fldCharType="separate"/>
      </w:r>
      <w:r w:rsidR="00ED59CC" w:rsidRPr="00ED59CC">
        <w:rPr>
          <w:noProof/>
        </w:rPr>
        <w:t>Jin, Song, et al., 2018</w:t>
      </w:r>
      <w:r w:rsidR="00ED59CC" w:rsidRPr="00D31E7F">
        <w:rPr>
          <w:noProof/>
          <w:lang w:val="nl-NL"/>
        </w:rPr>
        <w:t>;</w:t>
      </w:r>
      <w:r w:rsidR="00ED59CC">
        <w:fldChar w:fldCharType="end"/>
      </w:r>
      <w:r w:rsidR="00ED59CC" w:rsidRPr="00D31E7F">
        <w:rPr>
          <w:lang w:val="nl-NL"/>
        </w:rPr>
        <w:t xml:space="preserve"> </w:t>
      </w:r>
      <w:r w:rsidR="00ED59CC">
        <w:rPr>
          <w:lang w:val="en-US"/>
        </w:rPr>
        <w:fldChar w:fldCharType="begin" w:fldLock="1"/>
      </w:r>
      <w:r w:rsidR="00ED59CC" w:rsidRPr="00D31E7F">
        <w:rPr>
          <w:lang w:val="nl-NL"/>
        </w:rPr>
        <w:instrText xml:space="preserve">ADDIN CSL_CITATION {"citationItems":[{"id":"ITEM-1","itemData":{"DOI":"10.1016/j.jclepro.2020.125087","ISSN":"09596526","abstract":"Rare earth elements (REEs) are commercially used in an increasing number of critical or widely popular consumer and industrial products. Neodymium (Nd) element has emerged in recent years as one of the most critical REE, due to risks associated with its security of supply at required amounts. It has been widely reported that end of life (EoL) consumer electrical products contain significant amounts of metals and plastics. Thus, recovery of Nd from magnet scraps, EoL appliances or industrial applications is gaining even more strategic importance nowadays. In this study, an ex-ante life cycle assessment (LCA) of the hydrometallurgical recovery of Nd from waste electric and electronic equipment (WEEE) was conducted. The hydrometallurgical Nd recovery route consists of pretreatment, chemical leaching and Nd metal precipitation The feasibility and environmental performance of Nd metal recycling experiment model was investigated with an LCA scenario focusing on neodymium-iron-boron (Nd-Fe-B) magnet production. The LCA results were compared to that due to Nd-Fe-B magnet production from bastnäsite/monazite mineral ores using the traditional sintered magnet route. LCA sensitivity analysis and cost analysis were also performed. It was found out that, from both an economical and environmental point of view, magnet production from </w:instrText>
      </w:r>
      <w:r w:rsidR="00ED59CC" w:rsidRPr="00285815">
        <w:rPr>
          <w:lang w:val="nl-NL"/>
        </w:rPr>
        <w:instrText>recovered Nd perfor</w:instrText>
      </w:r>
      <w:r w:rsidR="00ED59CC">
        <w:rPr>
          <w:lang w:val="en-US"/>
        </w:rPr>
        <w:instrText>med better than that of virgin magnet production. The scaled-up Nd metal recovery system reduced env</w:instrText>
      </w:r>
      <w:r w:rsidR="00ED59CC" w:rsidRPr="00D31E7F">
        <w:rPr>
          <w:lang w:val="nl-NL"/>
        </w:rPr>
        <w:instrText>ironmental impacts of Nd-Fe-B magnet production system by up to 65% for eight of the eleven environmental impact categories. Nd recycling reduced production cost from 8.55 to 3.98 USD/kg.","author":[{"dropping-particle":"","family":"Karal","given":"Engin","non-dropping-particle":"","parse-names":false,"suffix":""},{"dropping-particle":"","family":"Kucuker","given":"Mehmet Ali","non-dropping-particle":"","parse-names":false,"suffix":""},{"dropping-particle":"","family":"Demirel","given":"Burak","non-dropping-particle":"","parse-names":false,"suffix":""},{"dropping-particle":"","family":"Copty","given":"Nadim K.","non-dropping-particle":"","parse-names":false,"suffix":""},{"dropping-particle":"","family":"Kuchta","given":"Kerstin","non-dropping-particle":"","parse-names":false,"suffix":""}],"container-title":"Journal of Cleaner Production","id":"ITEM-1","issued":{"date-parts":[["2021"]]},"page":"125087","publisher":"Elsevier Ltd","title":"Hydrometallurgical recovery of neodymium from spent hard disk magnets: A life cycle perspective","type":"article-journal","volume":"288"},"uris":["http://www.mendeley.com/documents/?uuid=3054d3d8-e101-4c14-a54f-3d42821c158c"]}],"mendeley":{"formattedCitation":"(Karal et al., 2021)","manualFormatting":"Karal et al., 2021","plainTextFormattedCitation":"(Karal et al., 2021)","previouslyFormattedCitation":"(Karal et al., 2021)"},"properties":{"noteIndex":0},"schema":"https://github.com/citation-style-language/schema/raw/master/csl-citation.json"}</w:instrText>
      </w:r>
      <w:r w:rsidR="00ED59CC">
        <w:rPr>
          <w:lang w:val="en-US"/>
        </w:rPr>
        <w:fldChar w:fldCharType="separate"/>
      </w:r>
      <w:r w:rsidR="00ED59CC" w:rsidRPr="00D31E7F">
        <w:rPr>
          <w:noProof/>
          <w:lang w:val="nl-NL"/>
        </w:rPr>
        <w:t>Karal et al., 2021</w:t>
      </w:r>
      <w:r w:rsidR="00ED59CC">
        <w:rPr>
          <w:lang w:val="en-US"/>
        </w:rPr>
        <w:fldChar w:fldCharType="end"/>
      </w:r>
      <w:r w:rsidRPr="009A215A">
        <w:t>;</w:t>
      </w:r>
      <w:r w:rsidR="00ED59CC" w:rsidRPr="00D31E7F">
        <w:rPr>
          <w:lang w:val="nl-NL"/>
        </w:rPr>
        <w:t xml:space="preserve"> </w:t>
      </w:r>
      <w:r w:rsidR="00ED59CC">
        <w:rPr>
          <w:lang w:val="en-US"/>
        </w:rPr>
        <w:fldChar w:fldCharType="begin" w:fldLock="1"/>
      </w:r>
      <w:r w:rsidR="00ED59CC" w:rsidRPr="00D31E7F">
        <w:rPr>
          <w:lang w:val="nl-NL"/>
        </w:rPr>
        <w:instrText>ADDIN CSL_CITATION {"citationItems":[{"id":"ITEM-1","itemData":{"DOI":"10.1007/s40831-018-0198-9","ISBN":"0123456789","ISSN":"21993831","abstract":"A new recycling process for the extraction of rare earths from neodymium–iron–boron (NdFeB) magnet scrap is being developed, based on the direct extraction of rare earths from end-of-life magnet material in a molten fluoride electrolysis bath. Rare earths are required in their metallic form for the production of new NdFeB magnets, and the suggested process achieves this through a single step. The process is being developed on a laboratory scale and has been proven to work in principle. It is expected to be environmentally beneficial when compared to longer processing routes. Conducting life cycle assessment at R&amp;D stage can provide valuable information to help steer process development into an environmentally favorable direction. We conducted a life cycle assessment study to provide a quantitative estimate of the impacts associated with the process being developed and to compare the prospective impacts against those of the current state-of-the-art technology. The comparison of this recycling route with primary production shows that the recycling process has the potential for much lower process-specific impacts when compared against the current rare earth primary production route. The study also highlights that perfluorocarbon emissions, which occur during primary rare earth production, warrant further investigation.","author":[{"dropping-particle":"","family":"Schulze","given":"Rita","non-dropping-particle":"","parse-names":false,"suffix":""},{"dropping-particle":"","family":"Abbasalizadeh","given":"Aida","non-dropping-particle":"","parse-names":false,"suffix":""},{"dropping-particle":"","family":"Bulach","given":"Winfried","non-dropping-particle":"","parse-names":false,"suffix":""},{"dropping-particle":"","family":"Schebek","given":"Liselotte","non-dropping-particle":"","parse-names":false,"suffix":""},{"dropping-particle":"","family":"Buchert","given":"Matthias","non-dropping-particle":"","parse-names":false,"suffix":""}],"container-title":"Journal of Sustainable Metallurgy","id":"ITEM-1","issue":"4","issued":{"date-parts":[["2018"]]},"page":"493-505","publisher":"Springer International Publishing","title":"An Ex-ante LCA Study of Rare Earth Extraction from NdFeB Magnet Scrap Using Molten Salt Electrolysis","type":"article-journal","volume":"4"},"uris":["http://www.mendeley.com/documents/?uuid=58cfb850-9d09-4b7a-820e-7478a112489e"]}],"mendeley":{"formattedCitation":"(Schulze, Abbasalizadeh, et al., 2018)","manualFormatting":"Schulze et al., 2018","plainTextFormattedCitation":"(Schulze, Abbasalizadeh, et al., 2018)","previouslyFormattedCitation":"(Schulze, Abbasalizadeh, et al., 2018)"},"properties":{"noteIndex":0},"schema":"https://github.com/citation-style-language/schema/raw/master/csl-citation.json"}</w:instrText>
      </w:r>
      <w:r w:rsidR="00ED59CC">
        <w:rPr>
          <w:lang w:val="en-US"/>
        </w:rPr>
        <w:fldChar w:fldCharType="separate"/>
      </w:r>
      <w:r w:rsidR="00ED59CC" w:rsidRPr="00D31E7F">
        <w:rPr>
          <w:noProof/>
          <w:lang w:val="nl-NL"/>
        </w:rPr>
        <w:t>Schulze et al., 2018</w:t>
      </w:r>
      <w:r w:rsidR="00ED59CC">
        <w:rPr>
          <w:lang w:val="en-US"/>
        </w:rPr>
        <w:fldChar w:fldCharType="end"/>
      </w:r>
      <w:r w:rsidRPr="009A215A">
        <w:t xml:space="preserve">; </w:t>
      </w:r>
      <w:r w:rsidR="00ED59CC">
        <w:fldChar w:fldCharType="begin" w:fldLock="1"/>
      </w:r>
      <w:r w:rsidR="00ED59CC">
        <w:instrText>ADDIN CSL_CITATION {"citationItems":[{"id":"ITEM-1","itemData":{"DOI":"10.1016/j.resconrec.2017.11.006","ISSN":"18790658","abstract":"The primary production of rare earth elements (REE) used in neodymium-iron-boron (Nd-Fe-B) magnets is associated with environmental impacts from both mining and processing. It has been suggested that recycling of scrap Nd-Fe-B magnets would reduce primary production of REE, and thus environmental impacts. However, existing studies on environmental effects of recycling based on the methodology of Life Cycle Assessment (LCA) do not take into account the so-called balance problem, which accounts for the fact that all elements co-occuring in the ore are jointly produced, resulting in either an excess or a shortage of individual elements. We develop a two-part approach to incorporate this issue into LCA. In the first part, we investigate the effects of introducing large-scale Nd-Fe-B recycling to the global rare earth market. A production model is presented that quantifies the potential market effects of secondary production (recycling) on the balance problem. Results show that primary production could partly be avoided when introducing a secondary production route to the rare earth market, whilst still meeting demand for joint (non-magnet) REE, only produced from the primary route. The production model will be used for a consequential life cycle assessment study which will be published as a separate paper (Part II). In addition, we show that our approach may also be interesting for other LCA studies, where effects of market changes on a co-production system are investigated.","author":[{"dropping-particle":"","family":"Schulze","given":"Rita","non-dropping-particle":"","parse-names":false,"suffix":""},{"dropping-particle":"","family":"Weidema","given":"Bo P.","non-dropping-particle":"","parse-names":false,"suffix":""},{"dropping-particle":"","family":"Schebek","given":"Liselotte","non-dropping-particle":"","parse-names":false,"suffix":""},{"dropping-particle":"","family":"Buchert","given":"Matthias","non-dropping-particle":"","parse-names":false,"suffix":""}],"container-title":"Resources, Conservation and Recycling","id":"ITEM-1","issue":"November 2017","issued":{"date-parts":[["2018"]]},"page":"336-346","publisher":"Elsevier","title":"Recycling and its effects on joint production systems and the environment – the case of rare earth magnet recycling – Part I — Production model","type":"article-journal","volume":"134"},"uris":["http://www.mendeley.com/documents/?uuid=bded5bab-c224-487f-9c1d-6877775a35d6"]}],"mendeley":{"formattedCitation":"(Schulze, Weidema, et al., 2018)","manualFormatting":"Schulze, Weidema, et al., 2018","plainTextFormattedCitation":"(Schulze, Weidema, et al., 2018)","previouslyFormattedCitation":"(Schulze, Weidema, et al., 2018)"},"properties":{"noteIndex":0},"schema":"https://github.com/citation-style-language/schema/raw/master/csl-citation.json"}</w:instrText>
      </w:r>
      <w:r w:rsidR="00ED59CC">
        <w:fldChar w:fldCharType="separate"/>
      </w:r>
      <w:r w:rsidR="00ED59CC" w:rsidRPr="00ED59CC">
        <w:rPr>
          <w:noProof/>
        </w:rPr>
        <w:t>Schulze, Weidema, et al., 2018</w:t>
      </w:r>
      <w:r w:rsidR="00ED59CC">
        <w:fldChar w:fldCharType="end"/>
      </w:r>
      <w:r w:rsidRPr="009A215A">
        <w:t>;</w:t>
      </w:r>
      <w:r w:rsidR="00ED59CC" w:rsidRPr="00D31E7F">
        <w:rPr>
          <w:lang w:val="nl-NL"/>
        </w:rPr>
        <w:t xml:space="preserve"> </w:t>
      </w:r>
      <w:r w:rsidR="00ED59CC">
        <w:rPr>
          <w:lang w:val="en-US"/>
        </w:rPr>
        <w:fldChar w:fldCharType="begin" w:fldLock="1"/>
      </w:r>
      <w:r w:rsidR="00DA58B5" w:rsidRPr="00D31E7F">
        <w:rPr>
          <w:lang w:val="nl-NL"/>
        </w:rPr>
        <w:instrText>ADDIN CSL_CITATION {"citationItems":[{"id":"ITEM-1","itemData":{"DOI":"10.1021/es404596q","ISSN":"15205851","PMID":"24576005","abstract":"Neodymium is one of the more critical rare earth elements with respect to current availability and is most often used in high performance magnets. In this paper, we compare the virgin production route of these magnets with two hypothetical recycling processes in terms of environmental impact the first recycling process looks at manual dismantling of computer hard disk drives (HDDs) combined with a novel hydrogen based recycling process the second process assumes HDDs are shredded. Our life cycle assessment is based both on up to date literature and on our own experimental data. Because the production process of neodymium oxide is generic to all rare earths, we also report the life cycle inventory data for the production of rare earth oxides separately. We conclude that recycling of neodymium, especially via manual dismantling, is preferable to primary production, with some environmental indicators showing an order of magnitude improvement the choice of recycling technology is also important with respect to resource recovery. While manual disassembly allows in principle for all magnetic material to be recovered, shredding leads to very low recovery rates (&lt;10%). © 2014 American Chemical Society.","author":[{"dropping-particle":"","family":"Sprecher","given":"Benjamin","non-dropping-particle":"","parse-names"</w:instrText>
      </w:r>
      <w:r w:rsidR="00DA58B5">
        <w:rPr>
          <w:lang w:val="en-US"/>
        </w:rPr>
        <w:instrText>:false,"suffix":""},{"dropping-particle":"","family":"Xiao","given":"Yanping","non-dropping-particle":"","parse-names":false,"suffix":""},{"dropping-particle":"","family":"Walton","given":"Allan","non-dropping-particle":"","parse-names":false,"suffix":""},{"dropping-particle":"","family":"Speight","given":"John","non-dropping-particle":"","parse-names":false,"suffix":""},{"dropping-particle":"","family":"Harris","given":"Rex","non-dropping-particle":"","parse-names":false,"suffix":""},{"dropping-particle":"","family":"Kleijn","given":"Rene","non-dropping-particle":"","parse-names":false,"suffix":""},{"dropping-particle":"","family":"Visser","given":"Geert","non-dropping-particle":"","parse-names":false,"suffix":""},{"dropping-particle":"","family":"Kramer","given":"Gert Jan","non-dropping-particle":"","parse-names":false,"suffix":""}],"container-title":"Environmental Science and Technology","id":"ITEM-1","issue":"7","issued":{"date-parts":[["2014"]]},"page":"3951-3958","title":"Life cycle inventory of the production of rare earths and the subsequent production of NdFeB rare earth permanent magnets","type":"article-journal","volume":"48"},"uris":["http://www.mendeley.com/documents/?uuid=d802c6a8-5802-4c70-b696-cb033b655153"]}],"mendeley":{"formattedCitation":"(Sprecher et al., 2014)","manualFormatting":"Sprecher et al., 2014)","plainTextFormattedCitation":"(Sprecher et al., 2014)","previouslyFormattedCitation":"(Sprecher et al., 2014)"},"properties":{"noteIndex":0},"schema":"https://github.com/citation-style-language/schema/raw/master/csl-citation.json"}</w:instrText>
      </w:r>
      <w:r w:rsidR="00ED59CC">
        <w:rPr>
          <w:lang w:val="en-US"/>
        </w:rPr>
        <w:fldChar w:fldCharType="separate"/>
      </w:r>
      <w:r w:rsidR="00ED59CC" w:rsidRPr="00ED59CC">
        <w:rPr>
          <w:noProof/>
          <w:lang w:val="en-US"/>
        </w:rPr>
        <w:t>Sprecher et al., 2014)</w:t>
      </w:r>
      <w:r w:rsidR="00ED59CC">
        <w:rPr>
          <w:lang w:val="en-US"/>
        </w:rPr>
        <w:fldChar w:fldCharType="end"/>
      </w:r>
      <w:r w:rsidRPr="009A215A">
        <w:t xml:space="preserve">. The use of the </w:t>
      </w:r>
      <w:r w:rsidRPr="0043415A">
        <w:t>Life Cycle Assessment (LCA)</w:t>
      </w:r>
      <w:r w:rsidRPr="009A215A">
        <w:t xml:space="preserve"> methodology was predominant in this task. Indeed, LCA is well acknowledged in literature for quantification of environmental impacts and exposure of high burden contributors throughout the life cycle of a product. </w:t>
      </w:r>
      <w:r w:rsidRPr="00BF40EC">
        <w:t>The application of LCA at an early stage of emerging technology development is called ex-ante LCA</w:t>
      </w:r>
      <w:r w:rsidR="00DA58B5">
        <w:rPr>
          <w:lang w:val="en-US"/>
        </w:rPr>
        <w:t xml:space="preserve"> </w:t>
      </w:r>
      <w:r w:rsidR="00DA58B5">
        <w:rPr>
          <w:lang w:val="en-US"/>
        </w:rPr>
        <w:fldChar w:fldCharType="begin" w:fldLock="1"/>
      </w:r>
      <w:r w:rsidR="008E5E49">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DA58B5">
        <w:rPr>
          <w:lang w:val="en-US"/>
        </w:rPr>
        <w:fldChar w:fldCharType="separate"/>
      </w:r>
      <w:r w:rsidR="003859C8" w:rsidRPr="003859C8">
        <w:rPr>
          <w:noProof/>
          <w:lang w:val="en-US"/>
        </w:rPr>
        <w:t>(Tsoy et al., 2020)</w:t>
      </w:r>
      <w:r w:rsidR="00DA58B5">
        <w:rPr>
          <w:lang w:val="en-US"/>
        </w:rPr>
        <w:fldChar w:fldCharType="end"/>
      </w:r>
      <w:r w:rsidRPr="00BF40EC">
        <w:t>.</w:t>
      </w:r>
      <w:r w:rsidRPr="009A215A">
        <w:t xml:space="preserve"> The advantage of assessing technology's environmental profile in its R&amp;D stage is to guide decision-makers to launch an environmentally competitive technology at relatively low costs </w:t>
      </w:r>
      <w:r w:rsidR="00DA58B5">
        <w:fldChar w:fldCharType="begin" w:fldLock="1"/>
      </w:r>
      <w:r w:rsidR="008E5E49">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DA58B5">
        <w:fldChar w:fldCharType="separate"/>
      </w:r>
      <w:r w:rsidR="003859C8" w:rsidRPr="003859C8">
        <w:rPr>
          <w:noProof/>
        </w:rPr>
        <w:t>(Tsoy et al., 2020)</w:t>
      </w:r>
      <w:r w:rsidR="00DA58B5">
        <w:fldChar w:fldCharType="end"/>
      </w:r>
      <w:r w:rsidR="00DA58B5">
        <w:rPr>
          <w:lang w:val="en-US"/>
        </w:rPr>
        <w:t>.</w:t>
      </w:r>
      <w:r w:rsidRPr="009A215A">
        <w:t xml:space="preserve"> Additionally, it </w:t>
      </w:r>
      <w:r w:rsidR="00BF40EC">
        <w:rPr>
          <w:lang w:val="en-US"/>
        </w:rPr>
        <w:t>can</w:t>
      </w:r>
      <w:r w:rsidRPr="009A215A">
        <w:t xml:space="preserve"> help consolidate permanent magnet recycling as a truly sustainable and environmentally friendly resource efficiency practice. This need has been addressed by </w:t>
      </w:r>
      <w:r w:rsidR="00DA58B5">
        <w:fldChar w:fldCharType="begin" w:fldLock="1"/>
      </w:r>
      <w:r w:rsidR="00943786">
        <w:instrText>ADDIN CSL_CITATION {"citationItems":[{"id":"ITEM-1","itemData":{"DOI":"10.1016/j.rser.2020.110616","ISSN":"18790690","abstract":"Rare Earth Magnets (REM), especially the NdFeB type, are essential components in high-performance electric motors and wind turbines, playing an important role in the shift towards a low-carbon energy matrix. However, little work has been done to understand how the production of REM can be in line with the global sustainable transition. To overcome this lack and help with future research, as well as decision-making, this paper provides a literature overview of which aspects of sustainability are being investigated in the REM supply chain, and how each of them contributes to achieving Sustainable Development Goals (SDG). This research is developed through a consistent analysis of 44 peer-reviewed publications, followed by an analysis of strengths, weaknesses, opportunities, and threats. Four main subjects of studies were identified: environmental impact; social impact; economic aspects and circular economy. Most of the studies focus on computing the environmental impact through life cycle assessment and discussing techniques towards exploring the circular economy concept. In addition to contributing to a greener economy, the majors identified strengths of REM are the great potential of its supply chain in reducing primary resource extraction, since REM recovery and recycling seem to be viable, and the promising techniques to minimize environmental impacts along the rare earth elements production chain.","author":[{"dropping-particle":"","family":"Bonfante","given":"Mariele Canal","non-dropping-particle":"","parse-names":false,"suffix":""},{"dropping-particle":"","family":"Raspini","given":"Jéssica Prats","non-dropping-particle":"","parse-names":false,"suffix":""},{"dropping-particle":"","family":"Fernandes","given":"Ivan Belo","non-dropping-particle":"","parse-names":false,"suffix":""},{"dropping-particle":"","family":"Fernandes","given":"Suélen","non-dropping-particle":"","parse-names":false,"suffix":""},{"dropping-particle":"","family":"Campos","given":"Lucila M.S.","non-dropping-particle":"","parse-names":false,"suffix":""},{"dropping-particle":"","family":"Alarcon","given":"Orestes Estevam","non-dropping-particle":"","parse-names":false,"suffix":""}],"container-title":"Renewable and Sustainable Energy Reviews","id":"ITEM-1","issue":"October 2020","issued":{"date-parts":[["2021"]]},"title":"Achieving Sustainable Development Goals in rare earth magnets production: A review on state of the art and SWOT analysis","type":"article-journal","volume":"137"},"uris":["http://www.mendeley.com/documents/?uuid=60198660-cbec-419b-b420-3f70ada4c196"]}],"mendeley":{"formattedCitation":"(Bonfante et al., 2021)","manualFormatting":"Bonfante et al. (2021)","plainTextFormattedCitation":"(Bonfante et al., 2021)","previouslyFormattedCitation":"(Bonfante et al., 2021)"},"properties":{"noteIndex":0},"schema":"https://github.com/citation-style-language/schema/raw/master/csl-citation.json"}</w:instrText>
      </w:r>
      <w:r w:rsidR="00DA58B5">
        <w:fldChar w:fldCharType="separate"/>
      </w:r>
      <w:r w:rsidR="00DA58B5" w:rsidRPr="00DA58B5">
        <w:rPr>
          <w:noProof/>
        </w:rPr>
        <w:t>Bonfante et al.</w:t>
      </w:r>
      <w:r w:rsidR="00DA58B5">
        <w:rPr>
          <w:noProof/>
          <w:lang w:val="en-US"/>
        </w:rPr>
        <w:t xml:space="preserve"> (</w:t>
      </w:r>
      <w:r w:rsidR="00DA58B5" w:rsidRPr="00DA58B5">
        <w:rPr>
          <w:noProof/>
        </w:rPr>
        <w:t>2021)</w:t>
      </w:r>
      <w:r w:rsidR="00DA58B5">
        <w:fldChar w:fldCharType="end"/>
      </w:r>
      <w:r w:rsidRPr="009A215A">
        <w:t xml:space="preserve"> in their </w:t>
      </w:r>
      <w:r w:rsidRPr="0043415A">
        <w:t>Strengths-Weaknesses-Opportunities-and-Threats (SWOT) analysis</w:t>
      </w:r>
      <w:r w:rsidRPr="009A215A">
        <w:t>, which indicated the negative environmental impacts of perm</w:t>
      </w:r>
      <w:proofErr w:type="spellStart"/>
      <w:r w:rsidR="002B217B">
        <w:rPr>
          <w:lang w:val="en-US"/>
        </w:rPr>
        <w:t>anen</w:t>
      </w:r>
      <w:proofErr w:type="spellEnd"/>
      <w:r w:rsidRPr="009A215A">
        <w:t>t magnet production as a threat to achiev</w:t>
      </w:r>
      <w:r w:rsidR="0015609A" w:rsidRPr="009A215A">
        <w:t>e</w:t>
      </w:r>
      <w:r w:rsidRPr="009A215A">
        <w:t xml:space="preserve"> </w:t>
      </w:r>
      <w:r w:rsidR="0015609A" w:rsidRPr="009A215A">
        <w:t xml:space="preserve">the </w:t>
      </w:r>
      <w:r w:rsidRPr="009A215A">
        <w:t>SDGs goals.</w:t>
      </w:r>
    </w:p>
    <w:p w14:paraId="190EACEA" w14:textId="77777777" w:rsidR="00E75FC1" w:rsidRPr="009A215A" w:rsidRDefault="00E75FC1" w:rsidP="009A215A"/>
    <w:p w14:paraId="740354D5" w14:textId="0081D593" w:rsidR="005709CA" w:rsidRDefault="00E75FC1" w:rsidP="009A215A">
      <w:r w:rsidRPr="009A215A">
        <w:t>The recently published paper of</w:t>
      </w:r>
      <w:r w:rsidR="00943786">
        <w:rPr>
          <w:lang w:val="en-US"/>
        </w:rPr>
        <w:t xml:space="preserve"> </w:t>
      </w:r>
      <w:r w:rsidR="00943786">
        <w:rPr>
          <w:lang w:val="en-US"/>
        </w:rPr>
        <w:fldChar w:fldCharType="begin" w:fldLock="1"/>
      </w:r>
      <w:r w:rsidR="00742E3D">
        <w:rPr>
          <w:lang w:val="en-US"/>
        </w:rPr>
        <w:instrText>ADDIN CSL_CITATION {"citationItems":[{"id":"ITEM-1","itemData":{"DOI":"10.1016/j.jclepro.2020.125087","ISSN":"09596526","abstract":"Rare earth elements (REEs) are commercially used in an increasing number of critical or widely popular consumer and industrial products. Neodymium (Nd) element has emerged in recent years as one of the most critical REE, due to risks associated with its security of supply at required amounts. It has been widely reported that end of life (EoL) consumer electrical products contain significant amounts of metals and plastics. Thus, recovery of Nd from magnet scraps, EoL appliances or industrial applications is gaining even more strategic importance nowadays. In this study, an ex-ante life cycle assessment (LCA) of the hydrometallurgical recovery of Nd from waste electric and electronic equipment (WEEE) was conducted. The hydrometallurgical Nd recovery route consists of pretreatment, chemical leaching and Nd metal precipitation The feasibility and environmental performance of Nd metal recycling experiment model was investigated with an LCA scenario focusing on neodymium-iron-boron (Nd-Fe-B) magnet production. The LCA results were compared to that due to Nd-Fe-B magnet production from bastnäsite/monazite mineral ores using the traditional sintered magnet route. LCA sensitivity analysis and cost analysis were also performed. It was found out that, from both an economical and environmental point of view, magnet production from recovered Nd performed better than that of virgin magnet production. The scaled-up Nd metal recovery system reduced environmental impacts of Nd-Fe-B magnet production system by up to 65% for eight of the eleven environmental impact categories. Nd recycling reduced production cost from 8.55 to 3.98 USD/kg.","author":[{"dropping-particle":"","family":"Karal","given":"Engin","non-dropping-particle":"","parse-names":false,"suffix":""},{"dropping-particle":"","family":"Kucuker","given":"Mehmet Ali","non-dropping-particle":"","parse-names":false,"suffix":""},{"dropping-particle":"","family":"Demirel","given":"Burak","non-dropping-particle":"","parse-names":false,"suffix":""},{"dropping-particle":"","family":"Copty","given":"Nadim K.","non-dropping-particle":"","parse-names":false,"suffix":""},{"dropping-particle":"","family":"Kuchta","given":"Kerstin","non-dropping-particle":"","parse-names":false,"suffix":""}],"container-title":"Journal of Cleaner Production","id":"ITEM-1","issued":{"date-parts":[["2021"]]},"page":"125087","publisher":"Elsevier Ltd","title":"Hydrometallurgical recovery of neodymium from spent hard disk magnets: A life cycle perspective","type":"article-journal","volume":"288"},"uris":["http://www.mendeley.com/documents/?uuid=3054d3d8-e101-4c14-a54f-3d42821c158c"]}],"mendeley":{"formattedCitation":"(Karal et al., 2021)","manualFormatting":"Karal et al. (2021)","plainTextFormattedCitation":"(Karal et al., 2021)","previouslyFormattedCitation":"(Karal et al., 2021)"},"properties":{"noteIndex":0},"schema":"https://github.com/citation-style-language/schema/raw/master/csl-citation.json"}</w:instrText>
      </w:r>
      <w:r w:rsidR="00943786">
        <w:rPr>
          <w:lang w:val="en-US"/>
        </w:rPr>
        <w:fldChar w:fldCharType="separate"/>
      </w:r>
      <w:r w:rsidR="00943786" w:rsidRPr="00943786">
        <w:rPr>
          <w:noProof/>
          <w:lang w:val="en-US"/>
        </w:rPr>
        <w:t>Karal et al.</w:t>
      </w:r>
      <w:r w:rsidR="00943786">
        <w:rPr>
          <w:noProof/>
          <w:lang w:val="en-US"/>
        </w:rPr>
        <w:t xml:space="preserve"> (</w:t>
      </w:r>
      <w:r w:rsidR="00943786" w:rsidRPr="00943786">
        <w:rPr>
          <w:noProof/>
          <w:lang w:val="en-US"/>
        </w:rPr>
        <w:t>2021)</w:t>
      </w:r>
      <w:r w:rsidR="00943786">
        <w:rPr>
          <w:lang w:val="en-US"/>
        </w:rPr>
        <w:fldChar w:fldCharType="end"/>
      </w:r>
      <w:r w:rsidR="00943786">
        <w:rPr>
          <w:lang w:val="en-US"/>
        </w:rPr>
        <w:t xml:space="preserve"> </w:t>
      </w:r>
      <w:r w:rsidRPr="009A215A">
        <w:t xml:space="preserve">evaluated the environmental impacts of a hydrometallurgical route using strong acid (sulfuric acid) for permanent magnet recycling. Their results </w:t>
      </w:r>
      <w:r w:rsidR="00594CFE">
        <w:rPr>
          <w:lang w:val="en-US"/>
        </w:rPr>
        <w:t xml:space="preserve">indicate that </w:t>
      </w:r>
      <w:r w:rsidRPr="009A215A">
        <w:t xml:space="preserve">electricity consumption and </w:t>
      </w:r>
      <w:r w:rsidR="00594CFE">
        <w:rPr>
          <w:lang w:val="en-US"/>
        </w:rPr>
        <w:t xml:space="preserve">the use of </w:t>
      </w:r>
      <w:r w:rsidRPr="009A215A">
        <w:t>sulfuric acid</w:t>
      </w:r>
      <w:r w:rsidR="00594CFE">
        <w:rPr>
          <w:lang w:val="en-US"/>
        </w:rPr>
        <w:t xml:space="preserve"> </w:t>
      </w:r>
      <w:r w:rsidRPr="009A215A">
        <w:t>highly contribut</w:t>
      </w:r>
      <w:r w:rsidR="00594CFE">
        <w:rPr>
          <w:lang w:val="en-US"/>
        </w:rPr>
        <w:t>e</w:t>
      </w:r>
      <w:r w:rsidRPr="009A215A">
        <w:t xml:space="preserve"> to </w:t>
      </w:r>
      <w:r w:rsidR="002A69E2">
        <w:rPr>
          <w:lang w:val="en-US"/>
        </w:rPr>
        <w:t xml:space="preserve">the </w:t>
      </w:r>
      <w:r w:rsidRPr="009A215A">
        <w:t xml:space="preserve">environmental burdens </w:t>
      </w:r>
      <w:r w:rsidR="00742E3D">
        <w:fldChar w:fldCharType="begin" w:fldLock="1"/>
      </w:r>
      <w:r w:rsidR="00014225">
        <w:instrText>ADDIN CSL_CITATION {"citationItems":[{"id":"ITEM-1","itemData":{"DOI":"10.1016/j.jclepro.2020.125087","ISSN":"09596526","abstract":"Rare earth elements (REEs) are commercially used in an increasing number of critical or widely popular consumer and industrial products. Neodymium (Nd) element has emerged in recent years as one of the most critical REE, due to risks associated with its security of supply at required amounts. It has been widely reported that end of life (EoL) consumer electrical products contain significant amounts of metals and plastics. Thus, recovery of Nd from magnet scraps, EoL appliances or industrial applications is gaining even more strategic importance nowadays. In this study, an ex-ante life cycle assessment (LCA) of the hydrometallurgical recovery of Nd from waste electric and electronic equipment (WEEE) was conducted. The hydrometallurgical Nd recovery route consists of pretreatment, chemical leaching and Nd metal precipitation The feasibility and environmental performance of Nd metal recycling experiment model was investigated with an LCA scenario focusing on neodymium-iron-boron (Nd-Fe-B) magnet production. The LCA results were compared to that due to Nd-Fe-B magnet production from bastnäsite/monazite mineral ores using the traditional sintered magnet route. LCA sensitivity analysis and cost analysis were also performed. It was found out that, from both an economical and environmental point of view, magnet production from recovered Nd performed better than that of virgin magnet production. The scaled-up Nd metal recovery system reduced environmental impacts of Nd-Fe-B magnet production system by up to 65% for eight of the eleven environmental impact categories. Nd recycling reduced production cost from 8.55 to 3.98 USD/kg.","author":[{"dropping-particle":"","family":"Karal","given":"Engin","non-dropping-particle":"","parse-names":false,"suffix":""},{"dropping-particle":"","family":"Kucuker","given":"Mehmet Ali","non-dropping-particle":"","parse-names":false,"suffix":""},{"dropping-particle":"","family":"Demirel","given":"Burak","non-dropping-particle":"","parse-names":false,"suffix":""},{"dropping-particle":"","family":"Copty","given":"Nadim K.","non-dropping-particle":"","parse-names":false,"suffix":""},{"dropping-particle":"","family":"Kuchta","given":"Kerstin","non-dropping-particle":"","parse-names":false,"suffix":""}],"container-title":"Journal of Cleaner Production","id":"ITEM-1","issued":{"date-parts":[["2021"]]},"page":"125087","publisher":"Elsevier Ltd","title":"Hydrometallurgical recovery of neodymium from spent hard disk magnets: A life cycle perspective","type":"article-journal","volume":"288"},"uris":["http://www.mendeley.com/documents/?uuid=3054d3d8-e101-4c14-a54f-3d42821c158c"]}],"mendeley":{"formattedCitation":"(Karal et al., 2021)","plainTextFormattedCitation":"(Karal et al., 2021)","previouslyFormattedCitation":"(Karal et al., 2021)"},"properties":{"noteIndex":0},"schema":"https://github.com/citation-style-language/schema/raw/master/csl-citation.json"}</w:instrText>
      </w:r>
      <w:r w:rsidR="00742E3D">
        <w:fldChar w:fldCharType="separate"/>
      </w:r>
      <w:r w:rsidR="00742E3D" w:rsidRPr="00742E3D">
        <w:rPr>
          <w:noProof/>
        </w:rPr>
        <w:t>(Karal et al., 2021)</w:t>
      </w:r>
      <w:r w:rsidR="00742E3D">
        <w:fldChar w:fldCharType="end"/>
      </w:r>
      <w:r w:rsidR="00742E3D">
        <w:rPr>
          <w:lang w:val="en-US"/>
        </w:rPr>
        <w:t xml:space="preserve">. </w:t>
      </w:r>
      <w:r w:rsidR="00662CE5" w:rsidRPr="00BF40EC">
        <w:t>E</w:t>
      </w:r>
      <w:r w:rsidRPr="00BF40EC">
        <w:t xml:space="preserve">nvironmental analysis </w:t>
      </w:r>
      <w:r w:rsidR="00594CFE">
        <w:rPr>
          <w:lang w:val="en-US"/>
        </w:rPr>
        <w:t>is part of</w:t>
      </w:r>
      <w:r w:rsidR="00662CE5" w:rsidRPr="00BF40EC">
        <w:t xml:space="preserve"> </w:t>
      </w:r>
      <w:r w:rsidRPr="00BF40EC">
        <w:t xml:space="preserve">R&amp;D projects to develop strategic ways </w:t>
      </w:r>
      <w:r w:rsidR="008C4C32">
        <w:rPr>
          <w:lang w:val="en-US"/>
        </w:rPr>
        <w:t>for</w:t>
      </w:r>
      <w:r w:rsidRPr="00BF40EC">
        <w:t xml:space="preserve"> recycl</w:t>
      </w:r>
      <w:proofErr w:type="spellStart"/>
      <w:r w:rsidR="008C4C32">
        <w:rPr>
          <w:lang w:val="en-US"/>
        </w:rPr>
        <w:t>ing</w:t>
      </w:r>
      <w:proofErr w:type="spellEnd"/>
      <w:r w:rsidR="008C4C32">
        <w:rPr>
          <w:lang w:val="en-US"/>
        </w:rPr>
        <w:t xml:space="preserve"> of</w:t>
      </w:r>
      <w:r w:rsidRPr="00BF40EC">
        <w:t xml:space="preserve"> permanent magnets</w:t>
      </w:r>
      <w:r w:rsidR="00662CE5" w:rsidRPr="00BF40EC">
        <w:t>.</w:t>
      </w:r>
      <w:r w:rsidRPr="009A215A">
        <w:t xml:space="preserve"> First, in the </w:t>
      </w:r>
      <w:r w:rsidRPr="00C205F0">
        <w:t>EXTRADE</w:t>
      </w:r>
      <w:r w:rsidRPr="009A215A">
        <w:t xml:space="preserve"> project, which ended in 2019, and second in </w:t>
      </w:r>
      <w:r w:rsidRPr="00C205F0">
        <w:t xml:space="preserve">the </w:t>
      </w:r>
      <w:r w:rsidR="005B737D">
        <w:rPr>
          <w:lang w:val="en-US"/>
        </w:rPr>
        <w:t xml:space="preserve">ongoing </w:t>
      </w:r>
      <w:r w:rsidRPr="00C205F0">
        <w:t>VALOMAG project</w:t>
      </w:r>
      <w:r w:rsidRPr="009A215A">
        <w:t>. The latter is part of the "eit- raw materials" initiative funded by the European Union. It aims at enabling the dismantling of EOL applications for the extraction and recycling of permanent magnets in short loop processes (</w:t>
      </w:r>
      <w:r w:rsidRPr="004141F8">
        <w:t>VALOMAG, 2021).</w:t>
      </w:r>
      <w:r w:rsidRPr="009A215A">
        <w:t xml:space="preserve"> </w:t>
      </w:r>
    </w:p>
    <w:p w14:paraId="5BF4C483" w14:textId="77777777" w:rsidR="005709CA" w:rsidRDefault="005709CA" w:rsidP="009A215A"/>
    <w:p w14:paraId="3990F466" w14:textId="27D00716" w:rsidR="003627F0" w:rsidRPr="005F465A" w:rsidRDefault="005709CA" w:rsidP="009A215A">
      <w:pPr>
        <w:rPr>
          <w:lang w:val="en-US"/>
        </w:rPr>
      </w:pPr>
      <w:r>
        <w:rPr>
          <w:lang w:val="en-US"/>
        </w:rPr>
        <w:t xml:space="preserve">The </w:t>
      </w:r>
      <w:r w:rsidR="00E75FC1" w:rsidRPr="009A215A">
        <w:t>VALOMAG</w:t>
      </w:r>
      <w:r>
        <w:rPr>
          <w:lang w:val="en-US"/>
        </w:rPr>
        <w:t xml:space="preserve"> project</w:t>
      </w:r>
      <w:r w:rsidR="00E75FC1" w:rsidRPr="009A215A">
        <w:t xml:space="preserve"> involves the partnership of academic institutions, industry, and public institutions such as The French Geological Survey, Centre of Recherches Métallurgiques asbl, French Alternative Energies and Atomic Energy Commission, Kolektor Group Vondenje in upravljanje druzb d.o.o., Leiden University, Delft University of Technology, and SUEZ Groupe SAS.</w:t>
      </w:r>
      <w:r>
        <w:rPr>
          <w:lang w:val="en-US"/>
        </w:rPr>
        <w:t xml:space="preserve"> </w:t>
      </w:r>
      <w:r w:rsidR="00E75FC1" w:rsidRPr="009A215A">
        <w:t xml:space="preserve">Leiden University and Delft University of Technology have the co-leadership to conduct the </w:t>
      </w:r>
      <w:r w:rsidR="00E75FC1" w:rsidRPr="0043415A">
        <w:t>work packaging (WP)</w:t>
      </w:r>
      <w:r w:rsidR="00E75FC1" w:rsidRPr="009A215A">
        <w:t xml:space="preserve"> </w:t>
      </w:r>
      <w:r w:rsidR="00D6062D" w:rsidRPr="009A215A">
        <w:t>05</w:t>
      </w:r>
      <w:r w:rsidR="00E75FC1" w:rsidRPr="009A215A">
        <w:t xml:space="preserve">, </w:t>
      </w:r>
      <w:r w:rsidR="00D316C0" w:rsidRPr="009A215A">
        <w:t>“</w:t>
      </w:r>
      <w:r w:rsidR="00E75FC1" w:rsidRPr="009A215A">
        <w:t>Process Integration and Life Cycle Assessment</w:t>
      </w:r>
      <w:r w:rsidR="00D316C0" w:rsidRPr="009A215A">
        <w:t>”</w:t>
      </w:r>
      <w:r w:rsidR="00E75FC1" w:rsidRPr="009A215A">
        <w:t>.</w:t>
      </w:r>
      <w:r w:rsidR="00643306">
        <w:rPr>
          <w:lang w:val="en-US"/>
        </w:rPr>
        <w:t xml:space="preserve"> The </w:t>
      </w:r>
      <w:r w:rsidR="00E75FC1" w:rsidRPr="00E10453">
        <w:t>VALOMA</w:t>
      </w:r>
      <w:r w:rsidR="00E10453">
        <w:rPr>
          <w:lang w:val="en-US"/>
        </w:rPr>
        <w:t>G</w:t>
      </w:r>
      <w:r w:rsidR="00643306">
        <w:rPr>
          <w:lang w:val="en-US"/>
        </w:rPr>
        <w:t xml:space="preserve"> project </w:t>
      </w:r>
      <w:r w:rsidR="00E10453">
        <w:rPr>
          <w:lang w:val="en-US"/>
        </w:rPr>
        <w:t>encourages</w:t>
      </w:r>
      <w:r w:rsidR="00643306">
        <w:rPr>
          <w:lang w:val="en-US"/>
        </w:rPr>
        <w:t xml:space="preserve"> </w:t>
      </w:r>
      <w:r w:rsidR="00E75FC1" w:rsidRPr="00E10453">
        <w:t xml:space="preserve">involvement of </w:t>
      </w:r>
      <w:r w:rsidR="00D6062D" w:rsidRPr="00E10453">
        <w:t>master’s</w:t>
      </w:r>
      <w:r w:rsidR="00E75FC1" w:rsidRPr="00E10453">
        <w:t xml:space="preserve"> student</w:t>
      </w:r>
      <w:r w:rsidR="00643306">
        <w:rPr>
          <w:lang w:val="en-US"/>
        </w:rPr>
        <w:t>s to promote knowledge in the area</w:t>
      </w:r>
      <w:r w:rsidR="00643306" w:rsidRPr="00CA4210">
        <w:rPr>
          <w:lang w:val="en-US"/>
        </w:rPr>
        <w:t>.</w:t>
      </w:r>
      <w:r w:rsidR="00B52884" w:rsidRPr="00CA4210">
        <w:rPr>
          <w:lang w:val="en-US"/>
        </w:rPr>
        <w:t xml:space="preserve"> In this context, t</w:t>
      </w:r>
      <w:r w:rsidR="00E75FC1" w:rsidRPr="00CA4210">
        <w:t xml:space="preserve">his </w:t>
      </w:r>
      <w:r w:rsidR="00B52884" w:rsidRPr="00CA4210">
        <w:rPr>
          <w:lang w:val="en-US"/>
        </w:rPr>
        <w:t xml:space="preserve">master </w:t>
      </w:r>
      <w:r w:rsidR="00E75FC1" w:rsidRPr="00CA4210">
        <w:t>thesis</w:t>
      </w:r>
      <w:r w:rsidRPr="00CA4210">
        <w:rPr>
          <w:lang w:val="en-US"/>
        </w:rPr>
        <w:t xml:space="preserve"> will provide inputs on the environmental impacts </w:t>
      </w:r>
      <w:r w:rsidR="00B52884" w:rsidRPr="00CA4210">
        <w:rPr>
          <w:lang w:val="en-US"/>
        </w:rPr>
        <w:t xml:space="preserve">of a hydrometallurgical recycling route using weak acid for recovery of REEs from EOL </w:t>
      </w:r>
      <w:proofErr w:type="spellStart"/>
      <w:r w:rsidR="00B52884" w:rsidRPr="00CA4210">
        <w:rPr>
          <w:lang w:val="en-US"/>
        </w:rPr>
        <w:t>NdFeB</w:t>
      </w:r>
      <w:proofErr w:type="spellEnd"/>
      <w:r w:rsidR="00B52884" w:rsidRPr="00CA4210">
        <w:rPr>
          <w:lang w:val="en-US"/>
        </w:rPr>
        <w:t xml:space="preserve"> </w:t>
      </w:r>
      <w:r w:rsidR="00B52884" w:rsidRPr="00CA4210">
        <w:rPr>
          <w:lang w:val="en-US"/>
        </w:rPr>
        <w:lastRenderedPageBreak/>
        <w:t>permanent magnets</w:t>
      </w:r>
      <w:r w:rsidR="00B52884">
        <w:rPr>
          <w:lang w:val="en-US"/>
        </w:rPr>
        <w:t xml:space="preserve">. </w:t>
      </w:r>
      <w:r w:rsidR="008F63A4">
        <w:rPr>
          <w:lang w:val="en-US"/>
        </w:rPr>
        <w:t xml:space="preserve">This will contribute to promote environmentally friendly </w:t>
      </w:r>
      <w:r w:rsidR="00E75FC1" w:rsidRPr="008F43C4">
        <w:t>closing loops activities in</w:t>
      </w:r>
      <w:r w:rsidR="005B737D">
        <w:rPr>
          <w:lang w:val="en-US"/>
        </w:rPr>
        <w:t xml:space="preserve"> REEs production</w:t>
      </w:r>
      <w:r w:rsidR="005F465A">
        <w:rPr>
          <w:lang w:val="en-US"/>
        </w:rPr>
        <w:t xml:space="preserve"> </w:t>
      </w:r>
      <w:r w:rsidR="0022491B">
        <w:rPr>
          <w:lang w:val="en-US"/>
        </w:rPr>
        <w:t>soon</w:t>
      </w:r>
      <w:r w:rsidR="005F465A">
        <w:rPr>
          <w:lang w:val="en-US"/>
        </w:rPr>
        <w:t>.</w:t>
      </w:r>
    </w:p>
    <w:p w14:paraId="63981A2C" w14:textId="77777777" w:rsidR="003627F0" w:rsidRPr="008F43C4" w:rsidRDefault="003627F0" w:rsidP="009A215A"/>
    <w:p w14:paraId="76AE427D" w14:textId="0CA55E3C" w:rsidR="00D65F98" w:rsidRPr="009A215A" w:rsidRDefault="00276C4D" w:rsidP="009A215A">
      <w:r w:rsidRPr="009A215A">
        <w:br w:type="page"/>
      </w:r>
    </w:p>
    <w:p w14:paraId="1D28E7C9" w14:textId="5D8C1DF5" w:rsidR="00671244" w:rsidRDefault="00D65F98" w:rsidP="002611BA">
      <w:pPr>
        <w:pStyle w:val="Heading2"/>
      </w:pPr>
      <w:bookmarkStart w:id="7" w:name="_Ref74848070"/>
      <w:bookmarkStart w:id="8" w:name="_Ref74848316"/>
      <w:bookmarkStart w:id="9" w:name="_Ref74848725"/>
      <w:bookmarkStart w:id="10" w:name="_Toc76752258"/>
      <w:r w:rsidRPr="009A215A">
        <w:lastRenderedPageBreak/>
        <w:t xml:space="preserve">Research </w:t>
      </w:r>
      <w:r w:rsidR="002C29FB" w:rsidRPr="009A215A">
        <w:t>objective</w:t>
      </w:r>
      <w:r w:rsidRPr="009A215A">
        <w:t xml:space="preserve"> and research question</w:t>
      </w:r>
      <w:bookmarkEnd w:id="7"/>
      <w:bookmarkEnd w:id="8"/>
      <w:bookmarkEnd w:id="9"/>
      <w:bookmarkEnd w:id="10"/>
    </w:p>
    <w:p w14:paraId="3526DD85" w14:textId="77777777" w:rsidR="00671244" w:rsidRPr="009A215A" w:rsidRDefault="00671244" w:rsidP="00F92ED7">
      <w:pPr>
        <w:pStyle w:val="Heading1"/>
        <w:numPr>
          <w:ilvl w:val="0"/>
          <w:numId w:val="0"/>
        </w:numPr>
        <w:ind w:left="432"/>
      </w:pPr>
    </w:p>
    <w:p w14:paraId="227D8709" w14:textId="4FAC7840" w:rsidR="00671244" w:rsidRDefault="009E35AF" w:rsidP="009A215A">
      <w:r w:rsidRPr="009E35AF">
        <w:t>Lately, concerns with the environmental sustainability of novel technologies are growing</w:t>
      </w:r>
      <w:r>
        <w:rPr>
          <w:lang w:val="en-US"/>
        </w:rPr>
        <w:t xml:space="preserve"> </w:t>
      </w:r>
      <w:r>
        <w:fldChar w:fldCharType="begin" w:fldLock="1"/>
      </w:r>
      <w: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fldChar w:fldCharType="separate"/>
      </w:r>
      <w:r w:rsidRPr="009E35AF">
        <w:rPr>
          <w:noProof/>
        </w:rPr>
        <w:t>(Tsoy et al., 2020)</w:t>
      </w:r>
      <w:r>
        <w:fldChar w:fldCharType="end"/>
      </w:r>
      <w:r w:rsidRPr="009E35AF">
        <w:t xml:space="preserve">. Society’s pressure regarding reducing the environment’s degradation motivates decision-makers to preliminary assess emerging technologies’ environmental performance. The clarification of potential environmental impacts during the R&amp;D stage </w:t>
      </w:r>
      <w:r w:rsidR="0061508F">
        <w:rPr>
          <w:lang w:val="en-US"/>
        </w:rPr>
        <w:t>allows</w:t>
      </w:r>
      <w:r w:rsidRPr="009E35AF">
        <w:t xml:space="preserve"> reorienting </w:t>
      </w:r>
      <w:r w:rsidR="0061508F">
        <w:rPr>
          <w:lang w:val="en-US"/>
        </w:rPr>
        <w:t xml:space="preserve">the </w:t>
      </w:r>
      <w:r w:rsidRPr="009E35AF">
        <w:t xml:space="preserve">technology development to achieve optimum environmental performance. The recent work of </w:t>
      </w:r>
      <w:r>
        <w:fldChar w:fldCharType="begin" w:fldLock="1"/>
      </w:r>
      <w:r>
        <w:instrText>ADDIN CSL_CITATION {"citationItems":[{"id":"ITEM-1","itemData":{"DOI":"10.1016/j.jclepro.2020.125087","ISSN":"09596526","abstract":"Rare earth elements (REEs) are commercially used in an increasing number of critical or widely popular consumer and industrial products. Neodymium (Nd) element has emerged in recent years as one of the most critical REE, due to risks associated with its security of supply at required amounts. It has been widely reported that end of life (EoL) consumer electrical products contain significant amounts of metals and plastics. Thus, recovery of Nd from magnet scraps, EoL appliances or industrial applications is gaining even more strategic importance nowadays. In this study, an ex-ante life cycle assessment (LCA) of the hydrometallurgical recovery of Nd from waste electric and electronic equipment (WEEE) was conducted. The hydrometallurgical Nd recovery route consists of pretreatment, chemical leaching and Nd metal precipitation The feasibility and environmental performance of Nd metal recycling experiment model was investigated with an LCA scenario focusing on neodymium-iron-boron (Nd-Fe-B) magnet production. The LCA results were compared to that due to Nd-Fe-B magnet production from bastnäsite/monazite mineral ores using the traditional sintered magnet route. LCA sensitivity analysis and cost analysis were also performed. It was found out that, from both an economical and environmental point of view, magnet production from recovered Nd performed better than that of virgin magnet production. The scaled-up Nd metal recovery system reduced environmental impacts of Nd-Fe-B magnet production system by up to 65% for eight of the eleven environmental impact categories. Nd recycling reduced production cost from 8.55 to 3.98 USD/kg.","author":[{"dropping-particle":"","family":"Karal","given":"Engin","non-dropping-particle":"","parse-names":false,"suffix":""},{"dropping-particle":"","family":"Kucuker","given":"Mehmet Ali","non-dropping-particle":"","parse-names":false,"suffix":""},{"dropping-particle":"","family":"Demirel","given":"Burak","non-dropping-particle":"","parse-names":false,"suffix":""},{"dropping-particle":"","family":"Copty","given":"Nadim K.","non-dropping-particle":"","parse-names":false,"suffix":""},{"dropping-particle":"","family":"Kuchta","given":"Kerstin","non-dropping-particle":"","parse-names":false,"suffix":""}],"container-title":"Journal of Cleaner Production","id":"ITEM-1","issued":{"date-parts":[["2021"]]},"page":"125087","publisher":"Elsevier Ltd","title":"Hydrometallurgical recovery of neodymium from spent hard disk magnets: A life cycle perspective","type":"article-journal","volume":"288"},"uris":["http://www.mendeley.com/documents/?uuid=ab440a68-b338-4a64-b3d7-0f43eaac455c"]}],"mendeley":{"formattedCitation":"(Karal et al., 2021)","manualFormatting":"Karal et al. (2021)","plainTextFormattedCitation":"(Karal et al., 2021)","previouslyFormattedCitation":"(Karal et al., 2021)"},"properties":{"noteIndex":0},"schema":"https://github.com/citation-style-language/schema/raw/master/csl-citation.json"}</w:instrText>
      </w:r>
      <w:r>
        <w:fldChar w:fldCharType="separate"/>
      </w:r>
      <w:r w:rsidRPr="009E35AF">
        <w:rPr>
          <w:noProof/>
        </w:rPr>
        <w:t>Karal et al.</w:t>
      </w:r>
      <w:r>
        <w:rPr>
          <w:noProof/>
          <w:lang w:val="en-US"/>
        </w:rPr>
        <w:t xml:space="preserve"> (</w:t>
      </w:r>
      <w:r w:rsidRPr="009E35AF">
        <w:rPr>
          <w:noProof/>
        </w:rPr>
        <w:t>2021)</w:t>
      </w:r>
      <w:r>
        <w:fldChar w:fldCharType="end"/>
      </w:r>
      <w:r>
        <w:rPr>
          <w:lang w:val="en-US"/>
        </w:rPr>
        <w:t>,</w:t>
      </w:r>
      <w:r w:rsidRPr="009E35AF">
        <w:t xml:space="preserve"> which conducted an ex-ante LCA on a strong acid hydrometallurgical route for NdFeB magnet recycling, indicates further investigation in changing of acid type for leaching.</w:t>
      </w:r>
    </w:p>
    <w:p w14:paraId="51D6EDDD" w14:textId="77777777" w:rsidR="009E35AF" w:rsidRPr="002539B1" w:rsidRDefault="009E35AF" w:rsidP="009A215A"/>
    <w:p w14:paraId="0C5D1BDA" w14:textId="36B7E813" w:rsidR="00394281" w:rsidRDefault="009E35AF" w:rsidP="009A215A">
      <w:pPr>
        <w:rPr>
          <w:lang w:val="en-US"/>
        </w:rPr>
      </w:pPr>
      <w:r w:rsidRPr="009E35AF">
        <w:rPr>
          <w:lang w:val="en-US"/>
        </w:rPr>
        <w:t xml:space="preserve">The VALOMAG project is developing a hydrometallurgical recycling route using weak acid for leaching. The recycling route is being built upon the previous one developed in the EXTRADE project </w:t>
      </w:r>
      <w:r>
        <w:rPr>
          <w:lang w:val="en-US"/>
        </w:rPr>
        <w:fldChar w:fldCharType="begin" w:fldLock="1"/>
      </w:r>
      <w:r w:rsidR="00DF5F96">
        <w:rPr>
          <w:lang w:val="en-US"/>
        </w:rPr>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2020)","plainTextFormattedCitation":"(Beylot et al., 2020)","previouslyFormattedCitation":"(Beylot et al., 2020)"},"properties":{"noteIndex":0},"schema":"https://github.com/citation-style-language/schema/raw/master/csl-citation.json"}</w:instrText>
      </w:r>
      <w:r>
        <w:rPr>
          <w:lang w:val="en-US"/>
        </w:rPr>
        <w:fldChar w:fldCharType="separate"/>
      </w:r>
      <w:r w:rsidRPr="009E35AF">
        <w:rPr>
          <w:noProof/>
          <w:lang w:val="en-US"/>
        </w:rPr>
        <w:t>(Beylot et al., 2020)</w:t>
      </w:r>
      <w:r>
        <w:rPr>
          <w:lang w:val="en-US"/>
        </w:rPr>
        <w:fldChar w:fldCharType="end"/>
      </w:r>
      <w:r w:rsidRPr="009E35AF">
        <w:rPr>
          <w:lang w:val="en-US"/>
        </w:rPr>
        <w:t xml:space="preserve">. The </w:t>
      </w:r>
      <w:r w:rsidR="0074569D" w:rsidRPr="009E35AF">
        <w:rPr>
          <w:lang w:val="en-US"/>
        </w:rPr>
        <w:t>innovati</w:t>
      </w:r>
      <w:r w:rsidR="0074569D">
        <w:rPr>
          <w:lang w:val="en-US"/>
        </w:rPr>
        <w:t>on</w:t>
      </w:r>
      <w:r w:rsidRPr="009E35AF">
        <w:rPr>
          <w:lang w:val="en-US"/>
        </w:rPr>
        <w:t xml:space="preserve"> in the latter is patented by BRGM, one of the VALOMAG’s partners, under the reference WO2017207947 and includes weak acid for leaching. For the new route, VALOMAG wants to investigate its environmental performance to launch the technology in an environmentally sound manner when it gets ready for large-scale implementation in the future.</w:t>
      </w:r>
    </w:p>
    <w:p w14:paraId="4E7311DC" w14:textId="77777777" w:rsidR="009E35AF" w:rsidRPr="009A215A" w:rsidRDefault="009E35AF" w:rsidP="009A215A"/>
    <w:p w14:paraId="54AFB60F" w14:textId="4B8F04D0" w:rsidR="00DF5F96" w:rsidRDefault="00DF5F96" w:rsidP="009A215A">
      <w:r w:rsidRPr="00DF5F96">
        <w:t>This research aims to reveal probable environmental impacts due to the industrial scale implementation of a hydrometallurgical recycling route for REEs from EOL HDDs using weak acid through an ex-ante LCA. The ultimate goal of ex-ante LCAs is to evaluate the novel technology's environmental burdens on an industrial scale before it gets into this scale. The results of this work will be an input to VALOMAG, creating insights about the recycling route's environmentally damaging contributors. This study's intended audience is the stakeholders involved in the VALOMAG project and the scientific community in general.</w:t>
      </w:r>
    </w:p>
    <w:p w14:paraId="48B87F52" w14:textId="77777777" w:rsidR="00DF71E8" w:rsidRPr="009A215A" w:rsidRDefault="00DF71E8" w:rsidP="009A215A"/>
    <w:p w14:paraId="760849F2" w14:textId="5A850C1D" w:rsidR="00394281" w:rsidRDefault="00394281" w:rsidP="009A215A">
      <w:r w:rsidRPr="00F37350">
        <w:t>The main research question is, therefore</w:t>
      </w:r>
      <w:r w:rsidR="00671244" w:rsidRPr="00F37350">
        <w:rPr>
          <w:lang w:val="en-US"/>
        </w:rPr>
        <w:t>,</w:t>
      </w:r>
      <w:r w:rsidRPr="00F37350">
        <w:t xml:space="preserve"> “What</w:t>
      </w:r>
      <w:r w:rsidR="00C84953" w:rsidRPr="00F37350">
        <w:rPr>
          <w:lang w:val="en-US"/>
        </w:rPr>
        <w:t xml:space="preserve"> </w:t>
      </w:r>
      <w:r w:rsidR="00417BA4" w:rsidRPr="00F37350">
        <w:rPr>
          <w:lang w:val="en-US"/>
        </w:rPr>
        <w:t>lead</w:t>
      </w:r>
      <w:r w:rsidR="00DF5F96">
        <w:rPr>
          <w:lang w:val="en-US"/>
        </w:rPr>
        <w:t>s</w:t>
      </w:r>
      <w:r w:rsidR="0049513A">
        <w:rPr>
          <w:lang w:val="en-US"/>
        </w:rPr>
        <w:t xml:space="preserve"> </w:t>
      </w:r>
      <w:r w:rsidRPr="00F37350">
        <w:t xml:space="preserve">toward improvements on the environmental performance of </w:t>
      </w:r>
      <w:r w:rsidR="005D76EF" w:rsidRPr="00F37350">
        <w:rPr>
          <w:lang w:val="en-US"/>
        </w:rPr>
        <w:t xml:space="preserve">a </w:t>
      </w:r>
      <w:r w:rsidR="00415B1C" w:rsidRPr="00F37350">
        <w:rPr>
          <w:lang w:val="en-US"/>
        </w:rPr>
        <w:t xml:space="preserve">weak acid </w:t>
      </w:r>
      <w:r w:rsidR="005D76EF" w:rsidRPr="00F37350">
        <w:t xml:space="preserve">hydrometallurgical </w:t>
      </w:r>
      <w:r w:rsidR="005D76EF" w:rsidRPr="00F37350">
        <w:rPr>
          <w:lang w:val="en-US"/>
        </w:rPr>
        <w:t xml:space="preserve">recycling </w:t>
      </w:r>
      <w:r w:rsidR="005D76EF" w:rsidRPr="00F37350">
        <w:t xml:space="preserve">route </w:t>
      </w:r>
      <w:r w:rsidR="005D76EF" w:rsidRPr="00F37350">
        <w:rPr>
          <w:lang w:val="en-US"/>
        </w:rPr>
        <w:t>for</w:t>
      </w:r>
      <w:r w:rsidR="005D76EF" w:rsidRPr="00F37350">
        <w:t xml:space="preserve"> REEs from</w:t>
      </w:r>
      <w:r w:rsidR="00C84953" w:rsidRPr="00F37350">
        <w:rPr>
          <w:lang w:val="en-US"/>
        </w:rPr>
        <w:t xml:space="preserve"> EOL </w:t>
      </w:r>
      <w:proofErr w:type="spellStart"/>
      <w:r w:rsidR="00C84953" w:rsidRPr="00F37350">
        <w:rPr>
          <w:lang w:val="en-US"/>
        </w:rPr>
        <w:t>NdFeB</w:t>
      </w:r>
      <w:proofErr w:type="spellEnd"/>
      <w:r w:rsidR="00C84953" w:rsidRPr="00F37350">
        <w:rPr>
          <w:lang w:val="en-US"/>
        </w:rPr>
        <w:t xml:space="preserve"> permanent magnet</w:t>
      </w:r>
      <w:r w:rsidR="00415B1C" w:rsidRPr="00F37350">
        <w:rPr>
          <w:lang w:val="en-US"/>
        </w:rPr>
        <w:t>?</w:t>
      </w:r>
      <w:r w:rsidR="002A5562">
        <w:rPr>
          <w:lang w:val="en-US"/>
        </w:rPr>
        <w:t>”</w:t>
      </w:r>
    </w:p>
    <w:p w14:paraId="18938055" w14:textId="77777777" w:rsidR="00DF5F96" w:rsidRPr="00DF5F96" w:rsidRDefault="00DF5F96" w:rsidP="00DF5F96">
      <w:pPr>
        <w:spacing w:before="0" w:after="0" w:line="240" w:lineRule="auto"/>
        <w:contextualSpacing w:val="0"/>
        <w:jc w:val="left"/>
        <w:rPr>
          <w:lang w:val="en-US"/>
        </w:rPr>
      </w:pPr>
    </w:p>
    <w:p w14:paraId="7F8DB512" w14:textId="2036EC39" w:rsidR="002F354E" w:rsidRDefault="00DF5F96" w:rsidP="00DF5F96">
      <w:r w:rsidRPr="00DF5F96">
        <w:rPr>
          <w:lang w:val="en-US"/>
        </w:rPr>
        <w:t>As discussed throughout this thesis, it will be necessary to build a conceptual industrial-scale hydrometallurgical recycling chain to answer th</w:t>
      </w:r>
      <w:r w:rsidR="00B844DF">
        <w:rPr>
          <w:lang w:val="en-US"/>
        </w:rPr>
        <w:t>e</w:t>
      </w:r>
      <w:r w:rsidRPr="00DF5F96">
        <w:rPr>
          <w:lang w:val="en-US"/>
        </w:rPr>
        <w:t xml:space="preserve"> research question. The chain is designed based on literature, inputs from the experiments carried out during the EXTRADE project, and inputs </w:t>
      </w:r>
      <w:r w:rsidRPr="00DF5F96">
        <w:rPr>
          <w:lang w:val="en-US"/>
        </w:rPr>
        <w:lastRenderedPageBreak/>
        <w:t>from the VALOMAG project. Moreover, experts are consulted so the designed route can be deemed as feasible as possible. The chain’s future processing capacity is based on the flow of EOL HDDs</w:t>
      </w:r>
      <w:r w:rsidR="008B012C">
        <w:rPr>
          <w:lang w:val="en-US"/>
        </w:rPr>
        <w:t xml:space="preserve"> at the time </w:t>
      </w:r>
      <w:r w:rsidRPr="00DF5F96">
        <w:rPr>
          <w:lang w:val="en-US"/>
        </w:rPr>
        <w:t xml:space="preserve">which the technology is expected to operate. The environmental investigation is carried out using the LCA methodology according to the norms 14040, and 14044 of the International Organization for Standardization (ISO) (ISO, 2006a; ISO, 2006b) adapted to ex-ante analysis. The ex-ante LCA framework proposed by </w:t>
      </w:r>
      <w:r>
        <w:rPr>
          <w:lang w:val="en-US"/>
        </w:rPr>
        <w:fldChar w:fldCharType="begin" w:fldLock="1"/>
      </w:r>
      <w:r w:rsidR="00CA2BF3">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Pr>
          <w:lang w:val="en-US"/>
        </w:rPr>
        <w:fldChar w:fldCharType="separate"/>
      </w:r>
      <w:r w:rsidRPr="00DF5F96">
        <w:rPr>
          <w:noProof/>
          <w:lang w:val="en-US"/>
        </w:rPr>
        <w:t>Tsoy et al.</w:t>
      </w:r>
      <w:r>
        <w:rPr>
          <w:noProof/>
          <w:lang w:val="en-US"/>
        </w:rPr>
        <w:t xml:space="preserve"> (</w:t>
      </w:r>
      <w:r w:rsidRPr="00DF5F96">
        <w:rPr>
          <w:noProof/>
          <w:lang w:val="en-US"/>
        </w:rPr>
        <w:t>2020)</w:t>
      </w:r>
      <w:r>
        <w:rPr>
          <w:lang w:val="en-US"/>
        </w:rPr>
        <w:fldChar w:fldCharType="end"/>
      </w:r>
      <w:r>
        <w:rPr>
          <w:lang w:val="en-US"/>
        </w:rPr>
        <w:t xml:space="preserve"> </w:t>
      </w:r>
      <w:r w:rsidRPr="00DF5F96">
        <w:rPr>
          <w:lang w:val="en-US"/>
        </w:rPr>
        <w:t xml:space="preserve">is used. </w:t>
      </w:r>
      <w:r w:rsidR="00B64A3F">
        <w:br w:type="page"/>
      </w:r>
    </w:p>
    <w:p w14:paraId="74A20D36" w14:textId="119F6879" w:rsidR="0013601A" w:rsidRDefault="002F354E" w:rsidP="002611BA">
      <w:pPr>
        <w:pStyle w:val="Heading2"/>
      </w:pPr>
      <w:bookmarkStart w:id="11" w:name="_Ref74849284"/>
      <w:bookmarkStart w:id="12" w:name="_Toc76752259"/>
      <w:r>
        <w:lastRenderedPageBreak/>
        <w:t>Case study description</w:t>
      </w:r>
      <w:bookmarkEnd w:id="11"/>
      <w:bookmarkEnd w:id="12"/>
    </w:p>
    <w:p w14:paraId="588CDDB0" w14:textId="77777777" w:rsidR="0013601A" w:rsidRPr="0013601A" w:rsidRDefault="0013601A" w:rsidP="0013601A">
      <w:pPr>
        <w:rPr>
          <w:lang w:val="en-US"/>
        </w:rPr>
      </w:pPr>
    </w:p>
    <w:p w14:paraId="32D58A1B" w14:textId="69C65C72" w:rsidR="0013601A" w:rsidRDefault="0013601A" w:rsidP="0013601A">
      <w:pPr>
        <w:rPr>
          <w:lang w:val="en-US"/>
        </w:rPr>
      </w:pPr>
      <w:r w:rsidRPr="0013601A">
        <w:rPr>
          <w:lang w:val="en-US"/>
        </w:rPr>
        <w:t>The recycling route analyzed</w:t>
      </w:r>
      <w:r w:rsidR="00DD0C73">
        <w:rPr>
          <w:lang w:val="en-US"/>
        </w:rPr>
        <w:t xml:space="preserve"> in this work</w:t>
      </w:r>
      <w:r w:rsidRPr="0013601A">
        <w:rPr>
          <w:lang w:val="en-US"/>
        </w:rPr>
        <w:t xml:space="preserve"> </w:t>
      </w:r>
      <w:r w:rsidR="00DD0C73">
        <w:rPr>
          <w:lang w:val="en-US"/>
        </w:rPr>
        <w:t>is</w:t>
      </w:r>
      <w:r w:rsidRPr="0013601A">
        <w:rPr>
          <w:lang w:val="en-US"/>
        </w:rPr>
        <w:t xml:space="preserve"> not </w:t>
      </w:r>
      <w:r w:rsidR="00DD0C73">
        <w:rPr>
          <w:lang w:val="en-US"/>
        </w:rPr>
        <w:t xml:space="preserve">a </w:t>
      </w:r>
      <w:r w:rsidRPr="0013601A">
        <w:rPr>
          <w:lang w:val="en-US"/>
        </w:rPr>
        <w:t>represent</w:t>
      </w:r>
      <w:r w:rsidR="00DD0C73">
        <w:rPr>
          <w:lang w:val="en-US"/>
        </w:rPr>
        <w:t>ation of</w:t>
      </w:r>
      <w:r w:rsidRPr="0013601A">
        <w:rPr>
          <w:lang w:val="en-US"/>
        </w:rPr>
        <w:t xml:space="preserve"> an actual lab or pilot experiment</w:t>
      </w:r>
      <w:r w:rsidR="00DD0C73">
        <w:rPr>
          <w:lang w:val="en-US"/>
        </w:rPr>
        <w:t xml:space="preserve"> </w:t>
      </w:r>
      <w:r w:rsidRPr="0013601A">
        <w:rPr>
          <w:lang w:val="en-US"/>
        </w:rPr>
        <w:t>under development. Instead, it is a hybrid of processes found in literature and process developed during the EXTRADE and VALOMAG projects. The hydrometallurgical</w:t>
      </w:r>
      <w:r w:rsidR="00273ED3">
        <w:rPr>
          <w:lang w:val="en-US"/>
        </w:rPr>
        <w:t xml:space="preserve"> chain</w:t>
      </w:r>
      <w:r w:rsidR="00C5048C">
        <w:rPr>
          <w:lang w:val="en-US"/>
        </w:rPr>
        <w:t>’s</w:t>
      </w:r>
      <w:r w:rsidRPr="0013601A">
        <w:rPr>
          <w:lang w:val="en-US"/>
        </w:rPr>
        <w:t xml:space="preserve"> processes</w:t>
      </w:r>
      <w:r w:rsidR="00273ED3">
        <w:rPr>
          <w:lang w:val="en-US"/>
        </w:rPr>
        <w:t xml:space="preserve"> </w:t>
      </w:r>
      <w:r w:rsidR="00C5048C">
        <w:rPr>
          <w:lang w:val="en-US"/>
        </w:rPr>
        <w:t>are</w:t>
      </w:r>
      <w:r w:rsidRPr="0013601A">
        <w:rPr>
          <w:lang w:val="en-US"/>
        </w:rPr>
        <w:t xml:space="preserve"> shown i</w:t>
      </w:r>
      <w:r w:rsidR="00D47E2C">
        <w:rPr>
          <w:lang w:val="en-US"/>
        </w:rPr>
        <w:t>n</w:t>
      </w:r>
      <w:r w:rsidR="0056568A">
        <w:rPr>
          <w:lang w:val="en-US"/>
        </w:rPr>
        <w:t xml:space="preserve"> </w:t>
      </w:r>
      <w:r w:rsidR="0056568A">
        <w:rPr>
          <w:lang w:val="en-US"/>
        </w:rPr>
        <w:fldChar w:fldCharType="begin"/>
      </w:r>
      <w:r w:rsidR="0056568A">
        <w:rPr>
          <w:lang w:val="en-US"/>
        </w:rPr>
        <w:instrText xml:space="preserve"> REF _Ref74761473 \h </w:instrText>
      </w:r>
      <w:r w:rsidR="0056568A">
        <w:rPr>
          <w:lang w:val="en-US"/>
        </w:rPr>
      </w:r>
      <w:r w:rsidR="0056568A">
        <w:rPr>
          <w:lang w:val="en-US"/>
        </w:rPr>
        <w:fldChar w:fldCharType="separate"/>
      </w:r>
      <w:r w:rsidR="000E43D4" w:rsidRPr="00926217">
        <w:t xml:space="preserve">Figure </w:t>
      </w:r>
      <w:r w:rsidR="0056568A">
        <w:rPr>
          <w:lang w:val="en-US"/>
        </w:rPr>
        <w:fldChar w:fldCharType="end"/>
      </w:r>
      <w:r w:rsidR="000E43D4">
        <w:rPr>
          <w:lang w:val="en-US"/>
        </w:rPr>
        <w:t>1.2</w:t>
      </w:r>
      <w:r w:rsidRPr="0013601A">
        <w:rPr>
          <w:lang w:val="en-US"/>
        </w:rPr>
        <w:t>:</w:t>
      </w:r>
    </w:p>
    <w:p w14:paraId="01575CC5" w14:textId="77777777" w:rsidR="00C5382F" w:rsidRDefault="00C5382F" w:rsidP="0013601A">
      <w:pPr>
        <w:rPr>
          <w:lang w:val="en-US"/>
        </w:rPr>
      </w:pPr>
    </w:p>
    <w:p w14:paraId="15AD4B24" w14:textId="0D71E0BF" w:rsidR="00C8708E" w:rsidRDefault="00B61EE1" w:rsidP="00112FBA">
      <w:pPr>
        <w:keepNext/>
        <w:jc w:val="center"/>
      </w:pPr>
      <w:r>
        <w:rPr>
          <w:noProof/>
        </w:rPr>
        <w:drawing>
          <wp:inline distT="0" distB="0" distL="0" distR="0" wp14:anchorId="43247F30" wp14:editId="64C7BF26">
            <wp:extent cx="5759450" cy="4829175"/>
            <wp:effectExtent l="0" t="0" r="635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59450" cy="4829175"/>
                    </a:xfrm>
                    <a:prstGeom prst="rect">
                      <a:avLst/>
                    </a:prstGeom>
                  </pic:spPr>
                </pic:pic>
              </a:graphicData>
            </a:graphic>
          </wp:inline>
        </w:drawing>
      </w:r>
    </w:p>
    <w:p w14:paraId="2C248D1C" w14:textId="70E1A3E8" w:rsidR="0013601A" w:rsidRPr="0056568A" w:rsidRDefault="00C8708E" w:rsidP="0056568A">
      <w:pPr>
        <w:pStyle w:val="Caption"/>
      </w:pPr>
      <w:bookmarkStart w:id="13" w:name="_Ref74761473"/>
      <w:bookmarkStart w:id="14" w:name="_Toc76729601"/>
      <w:r w:rsidRPr="00926217">
        <w:t xml:space="preserve">Figure </w:t>
      </w:r>
      <w:bookmarkEnd w:id="13"/>
      <w:r w:rsidR="00417386">
        <w:rPr>
          <w:lang w:val="en-US"/>
        </w:rPr>
        <w:t>1.2</w:t>
      </w:r>
      <w:r w:rsidRPr="00926217">
        <w:rPr>
          <w:lang w:val="en-US"/>
        </w:rPr>
        <w:t xml:space="preserve"> Hydrometallurgical recycling route for REE recovery applied to this work. Source: author’s image.</w:t>
      </w:r>
      <w:bookmarkEnd w:id="14"/>
    </w:p>
    <w:p w14:paraId="1E3CE88A" w14:textId="6E5BF3EA" w:rsidR="00AE61F6" w:rsidRDefault="0013601A" w:rsidP="0013601A">
      <w:pPr>
        <w:rPr>
          <w:lang w:val="en-US"/>
        </w:rPr>
      </w:pPr>
      <w:r w:rsidRPr="0013601A">
        <w:rPr>
          <w:lang w:val="en-US"/>
        </w:rPr>
        <w:t>The color in the flowchart indicates the three macro sections of the route: pretreatment, metal extraction, and metal recovery and purification. All processes in the pretreatment section derive</w:t>
      </w:r>
      <w:r w:rsidR="00712CB2">
        <w:rPr>
          <w:lang w:val="en-US"/>
        </w:rPr>
        <w:t>d</w:t>
      </w:r>
      <w:r w:rsidRPr="0013601A">
        <w:rPr>
          <w:lang w:val="en-US"/>
        </w:rPr>
        <w:t xml:space="preserve"> from the pilot-scale experiments carried</w:t>
      </w:r>
      <w:r w:rsidR="008E5E49">
        <w:rPr>
          <w:lang w:val="en-US"/>
        </w:rPr>
        <w:t xml:space="preserve"> </w:t>
      </w:r>
      <w:r w:rsidRPr="0013601A">
        <w:rPr>
          <w:lang w:val="en-US"/>
        </w:rPr>
        <w:t xml:space="preserve">in the VALOMAG project. The processes of the other sections are derived from literature, including the EXTRADE project </w:t>
      </w:r>
      <w:r w:rsidR="008E5E49">
        <w:rPr>
          <w:lang w:val="en-US"/>
        </w:rPr>
        <w:fldChar w:fldCharType="begin" w:fldLock="1"/>
      </w:r>
      <w:r w:rsidR="008B5144">
        <w:rPr>
          <w:lang w:val="en-US"/>
        </w:rPr>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2020)","plainTextFormattedCitation":"(Beylot et al., 2020)","previouslyFormattedCitation":"(Beylot et al., 2020)"},"properties":{"noteIndex":0},"schema":"https://github.com/citation-style-language/schema/raw/master/csl-citation.json"}</w:instrText>
      </w:r>
      <w:r w:rsidR="008E5E49">
        <w:rPr>
          <w:lang w:val="en-US"/>
        </w:rPr>
        <w:fldChar w:fldCharType="separate"/>
      </w:r>
      <w:r w:rsidR="008E5E49" w:rsidRPr="008E5E49">
        <w:rPr>
          <w:noProof/>
          <w:lang w:val="en-US"/>
        </w:rPr>
        <w:t xml:space="preserve">(Beylot et al., </w:t>
      </w:r>
      <w:r w:rsidR="008E5E49" w:rsidRPr="008E5E49">
        <w:rPr>
          <w:noProof/>
          <w:lang w:val="en-US"/>
        </w:rPr>
        <w:lastRenderedPageBreak/>
        <w:t>2020)</w:t>
      </w:r>
      <w:r w:rsidR="008E5E49">
        <w:rPr>
          <w:lang w:val="en-US"/>
        </w:rPr>
        <w:fldChar w:fldCharType="end"/>
      </w:r>
      <w:r w:rsidRPr="0013601A">
        <w:rPr>
          <w:lang w:val="en-US"/>
        </w:rPr>
        <w:t>. It was not possible to use the complete chain as it is for the VALOMG project because a new patent is in progress for the metal extraction and metal recovery and purification phases; thus, disclosure of details for publication is not possible yet.</w:t>
      </w:r>
    </w:p>
    <w:p w14:paraId="3DC8B219" w14:textId="77777777" w:rsidR="0013601A" w:rsidRDefault="0013601A" w:rsidP="0013601A">
      <w:pPr>
        <w:rPr>
          <w:lang w:val="en-US"/>
        </w:rPr>
      </w:pPr>
    </w:p>
    <w:p w14:paraId="56DC9176" w14:textId="6B0D1562" w:rsidR="00DA555B" w:rsidRDefault="0013601A" w:rsidP="009A215A">
      <w:pPr>
        <w:rPr>
          <w:lang w:val="en-US"/>
        </w:rPr>
      </w:pPr>
      <w:r w:rsidRPr="0013601A">
        <w:rPr>
          <w:lang w:val="en-US"/>
        </w:rPr>
        <w:t xml:space="preserve">The route </w:t>
      </w:r>
      <w:r w:rsidR="002D3797">
        <w:rPr>
          <w:lang w:val="en-US"/>
        </w:rPr>
        <w:t>is</w:t>
      </w:r>
      <w:r w:rsidRPr="0013601A">
        <w:rPr>
          <w:lang w:val="en-US"/>
        </w:rPr>
        <w:t xml:space="preserve"> designed to recover REEs from </w:t>
      </w:r>
      <w:proofErr w:type="spellStart"/>
      <w:r w:rsidRPr="0013601A">
        <w:rPr>
          <w:lang w:val="en-US"/>
        </w:rPr>
        <w:t>NdFeB</w:t>
      </w:r>
      <w:proofErr w:type="spellEnd"/>
      <w:r w:rsidRPr="0013601A">
        <w:rPr>
          <w:lang w:val="en-US"/>
        </w:rPr>
        <w:t xml:space="preserve"> permanent magnets from EOL HDDs. In the pretreatment phase, the income of demagnetized HDDs is dissembled, reduced in size, and the pieces sorted. The material containing magnets stays in the chain, having their size reduced to the order of millimeters, so they enter the following phase, metal extraction. In the metal extraction phase, the magnetic powder is leached with acetic acid (weak acid), and the solid-liquid suspension is filtered to remove the </w:t>
      </w:r>
      <w:r w:rsidR="00DC4C65">
        <w:rPr>
          <w:lang w:val="en-US"/>
        </w:rPr>
        <w:t>unreacted</w:t>
      </w:r>
      <w:r w:rsidRPr="0013601A">
        <w:rPr>
          <w:lang w:val="en-US"/>
        </w:rPr>
        <w:t xml:space="preserve"> materials. The filtrate solution containing various metal dissolved is forwarded to the metal recovery and purification phase. In the latter, precipitation of REEs with oxalic acid associated with a heating treatment allows the recovery of </w:t>
      </w:r>
      <w:r w:rsidRPr="0043415A">
        <w:rPr>
          <w:lang w:val="en-US"/>
        </w:rPr>
        <w:t>RE oxide</w:t>
      </w:r>
      <w:r w:rsidR="00B95348">
        <w:rPr>
          <w:lang w:val="en-US"/>
        </w:rPr>
        <w:t>s</w:t>
      </w:r>
      <w:r w:rsidRPr="0043415A">
        <w:rPr>
          <w:lang w:val="en-US"/>
        </w:rPr>
        <w:t>.</w:t>
      </w:r>
    </w:p>
    <w:p w14:paraId="0843F962" w14:textId="68E9FD88" w:rsidR="0013601A" w:rsidRDefault="00B64A3F" w:rsidP="00B64A3F">
      <w:pPr>
        <w:spacing w:before="0" w:after="0" w:line="240" w:lineRule="auto"/>
        <w:contextualSpacing w:val="0"/>
        <w:jc w:val="left"/>
      </w:pPr>
      <w:r>
        <w:br w:type="page"/>
      </w:r>
    </w:p>
    <w:p w14:paraId="0DB6A57C" w14:textId="1AE6C8DA" w:rsidR="00BF7DED" w:rsidRDefault="00054A2E" w:rsidP="002611BA">
      <w:pPr>
        <w:pStyle w:val="Heading2"/>
      </w:pPr>
      <w:bookmarkStart w:id="15" w:name="_Toc76752260"/>
      <w:r>
        <w:lastRenderedPageBreak/>
        <w:t>Outline of</w:t>
      </w:r>
      <w:r w:rsidR="001670D7">
        <w:t xml:space="preserve"> </w:t>
      </w:r>
      <w:r>
        <w:t>report</w:t>
      </w:r>
      <w:bookmarkEnd w:id="15"/>
    </w:p>
    <w:p w14:paraId="5E4EC14B" w14:textId="77777777" w:rsidR="00E525E4" w:rsidRPr="00360301" w:rsidRDefault="00E525E4" w:rsidP="0056568A"/>
    <w:p w14:paraId="5AAA4814" w14:textId="77777777" w:rsidR="007C3D27" w:rsidRDefault="003B78FA" w:rsidP="00BF7DED">
      <w:pPr>
        <w:rPr>
          <w:lang w:val="en-US"/>
        </w:rPr>
      </w:pPr>
      <w:r w:rsidRPr="003B78FA">
        <w:rPr>
          <w:lang w:val="en-US"/>
        </w:rPr>
        <w:t xml:space="preserve">This section presents the structure of this work. Firstly, literature on the recycling techniques for REEs recycling will be reviewed, followed by literature on ex-ante LCA to provide the necessary background to the reader. </w:t>
      </w:r>
    </w:p>
    <w:p w14:paraId="6A8127DB" w14:textId="77777777" w:rsidR="007C3D27" w:rsidRDefault="007C3D27" w:rsidP="00BF7DED">
      <w:pPr>
        <w:rPr>
          <w:lang w:val="en-US"/>
        </w:rPr>
      </w:pPr>
    </w:p>
    <w:p w14:paraId="57447653" w14:textId="77777777" w:rsidR="007C3D27" w:rsidRDefault="003B78FA" w:rsidP="00BF7DED">
      <w:pPr>
        <w:rPr>
          <w:lang w:val="en-US"/>
        </w:rPr>
      </w:pPr>
      <w:r w:rsidRPr="003B78FA">
        <w:rPr>
          <w:lang w:val="en-US"/>
        </w:rPr>
        <w:t xml:space="preserve">Regarding the recycling techniques, it starts with presenting the state-of-art routes for recycling REEs from EOL </w:t>
      </w:r>
      <w:proofErr w:type="spellStart"/>
      <w:r w:rsidRPr="003B78FA">
        <w:rPr>
          <w:lang w:val="en-US"/>
        </w:rPr>
        <w:t>NdFeB</w:t>
      </w:r>
      <w:proofErr w:type="spellEnd"/>
      <w:r w:rsidRPr="003B78FA">
        <w:rPr>
          <w:lang w:val="en-US"/>
        </w:rPr>
        <w:t xml:space="preserve"> permanent magnets. Afterward, the focus is given to the hydrometallurgical route, purposing this work. The hydrometallurgy steps are explained in detail. </w:t>
      </w:r>
    </w:p>
    <w:p w14:paraId="50787187" w14:textId="77777777" w:rsidR="007C3D27" w:rsidRDefault="007C3D27" w:rsidP="00BF7DED">
      <w:pPr>
        <w:rPr>
          <w:lang w:val="en-US"/>
        </w:rPr>
      </w:pPr>
    </w:p>
    <w:p w14:paraId="56CDBE78" w14:textId="4548B548" w:rsidR="001A0022" w:rsidRDefault="003B78FA" w:rsidP="00BF7DED">
      <w:pPr>
        <w:rPr>
          <w:lang w:val="en-US"/>
        </w:rPr>
      </w:pPr>
      <w:r w:rsidRPr="003B78FA">
        <w:rPr>
          <w:lang w:val="en-US"/>
        </w:rPr>
        <w:t xml:space="preserve">Regarding the ex-ante LCA, it starts with differentiating the ex-ante LCA from normal (ex-post) LCA and follows with the challenges of using the ex-post LCA framework in an ex-ante analysis. Concerning this, the upscaling of the emerging technology is discussed as a particular step for ex-ante LCAs. The section ends by reviewing the ex-ante LCA framework developed by </w:t>
      </w:r>
      <w:r w:rsidR="008B5144">
        <w:rPr>
          <w:lang w:val="en-US"/>
        </w:rPr>
        <w:fldChar w:fldCharType="begin" w:fldLock="1"/>
      </w:r>
      <w:r w:rsidR="00E551CE">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8B5144">
        <w:rPr>
          <w:lang w:val="en-US"/>
        </w:rPr>
        <w:fldChar w:fldCharType="separate"/>
      </w:r>
      <w:r w:rsidR="008B5144" w:rsidRPr="008B5144">
        <w:rPr>
          <w:noProof/>
          <w:lang w:val="en-US"/>
        </w:rPr>
        <w:t>Tsoy et al.</w:t>
      </w:r>
      <w:r w:rsidR="008B5144">
        <w:rPr>
          <w:noProof/>
          <w:lang w:val="en-US"/>
        </w:rPr>
        <w:t xml:space="preserve"> (</w:t>
      </w:r>
      <w:r w:rsidR="008B5144" w:rsidRPr="008B5144">
        <w:rPr>
          <w:noProof/>
          <w:lang w:val="en-US"/>
        </w:rPr>
        <w:t>2020)</w:t>
      </w:r>
      <w:r w:rsidR="008B5144">
        <w:rPr>
          <w:lang w:val="en-US"/>
        </w:rPr>
        <w:fldChar w:fldCharType="end"/>
      </w:r>
      <w:r w:rsidRPr="003B78FA">
        <w:rPr>
          <w:lang w:val="en-US"/>
        </w:rPr>
        <w:t xml:space="preserve">, which offers guidelines for </w:t>
      </w:r>
      <w:r w:rsidR="005B2D3D">
        <w:rPr>
          <w:lang w:val="en-US"/>
        </w:rPr>
        <w:t>upscaling.</w:t>
      </w:r>
      <w:r w:rsidRPr="003B78FA">
        <w:rPr>
          <w:lang w:val="en-US"/>
        </w:rPr>
        <w:t xml:space="preserve"> The </w:t>
      </w:r>
      <w:r w:rsidR="00C75348">
        <w:rPr>
          <w:lang w:val="en-US"/>
        </w:rPr>
        <w:t xml:space="preserve">author’s </w:t>
      </w:r>
      <w:r w:rsidRPr="003B78FA">
        <w:rPr>
          <w:lang w:val="en-US"/>
        </w:rPr>
        <w:t>framework comprises three main steps: projected technology scenario definition</w:t>
      </w:r>
      <w:r w:rsidR="002A0CBD">
        <w:rPr>
          <w:lang w:val="en-US"/>
        </w:rPr>
        <w:t>;</w:t>
      </w:r>
      <w:r w:rsidRPr="003B78FA">
        <w:rPr>
          <w:lang w:val="en-US"/>
        </w:rPr>
        <w:t xml:space="preserve"> preparation of a projected LCA flowchart</w:t>
      </w:r>
      <w:r w:rsidR="002A0CBD">
        <w:rPr>
          <w:lang w:val="en-US"/>
        </w:rPr>
        <w:t>;</w:t>
      </w:r>
      <w:r w:rsidRPr="003B78FA">
        <w:rPr>
          <w:lang w:val="en-US"/>
        </w:rPr>
        <w:t xml:space="preserve"> and projected data estimation.</w:t>
      </w:r>
    </w:p>
    <w:p w14:paraId="179C03C5" w14:textId="327F4872" w:rsidR="003B78FA" w:rsidRDefault="003B78FA" w:rsidP="00BF7DED">
      <w:pPr>
        <w:rPr>
          <w:lang w:val="en-US"/>
        </w:rPr>
      </w:pPr>
    </w:p>
    <w:p w14:paraId="2F69A523" w14:textId="5469C516" w:rsidR="001A52ED" w:rsidRPr="003B78FA" w:rsidRDefault="003B78FA" w:rsidP="00BF7DED">
      <w:pPr>
        <w:rPr>
          <w:b/>
          <w:bCs/>
          <w:u w:val="single"/>
          <w:lang w:val="en-US"/>
        </w:rPr>
      </w:pPr>
      <w:r w:rsidRPr="003B78FA">
        <w:rPr>
          <w:lang w:val="en-US"/>
        </w:rPr>
        <w:t xml:space="preserve">Secondly, the methodology part will describe </w:t>
      </w:r>
      <w:r w:rsidR="004721A9">
        <w:rPr>
          <w:lang w:val="en-US"/>
        </w:rPr>
        <w:t xml:space="preserve">the </w:t>
      </w:r>
      <w:r w:rsidRPr="003B78FA">
        <w:rPr>
          <w:lang w:val="en-US"/>
        </w:rPr>
        <w:t xml:space="preserve">LCA based on </w:t>
      </w:r>
      <w:r w:rsidRPr="0043415A">
        <w:rPr>
          <w:lang w:val="en-US"/>
        </w:rPr>
        <w:t>the ISO</w:t>
      </w:r>
      <w:r w:rsidRPr="003B78FA">
        <w:rPr>
          <w:lang w:val="en-US"/>
        </w:rPr>
        <w:t xml:space="preserve"> 14040</w:t>
      </w:r>
      <w:r w:rsidR="0044557A">
        <w:rPr>
          <w:lang w:val="en-US"/>
        </w:rPr>
        <w:t xml:space="preserve"> (</w:t>
      </w:r>
      <w:r w:rsidR="0044557A" w:rsidRPr="0088320E">
        <w:rPr>
          <w:lang w:val="en-US"/>
        </w:rPr>
        <w:t>ISO, 2006a)</w:t>
      </w:r>
      <w:r w:rsidRPr="003B78FA">
        <w:rPr>
          <w:lang w:val="en-US"/>
        </w:rPr>
        <w:t xml:space="preserve"> and 14044</w:t>
      </w:r>
      <w:r w:rsidR="0044557A">
        <w:rPr>
          <w:lang w:val="en-US"/>
        </w:rPr>
        <w:t xml:space="preserve"> </w:t>
      </w:r>
      <w:r w:rsidR="0044557A" w:rsidRPr="0088320E">
        <w:rPr>
          <w:lang w:val="en-US"/>
        </w:rPr>
        <w:t>(ISO, 2006b)</w:t>
      </w:r>
      <w:r w:rsidRPr="0088320E">
        <w:rPr>
          <w:lang w:val="en-US"/>
        </w:rPr>
        <w:t xml:space="preserve"> frameworks</w:t>
      </w:r>
      <w:r w:rsidR="0044557A">
        <w:rPr>
          <w:lang w:val="en-US"/>
        </w:rPr>
        <w:t xml:space="preserve"> </w:t>
      </w:r>
      <w:r w:rsidRPr="003B78FA">
        <w:rPr>
          <w:lang w:val="en-US"/>
        </w:rPr>
        <w:t>for comparative analysis. It is important to note that the ISO frameworks are designed for traditional LCA (ex-post). However, it will be used together with the framework proposed by</w:t>
      </w:r>
      <w:r w:rsidR="00E551CE">
        <w:rPr>
          <w:lang w:val="en-US"/>
        </w:rPr>
        <w:t xml:space="preserve"> </w:t>
      </w:r>
      <w:r w:rsidR="00E551CE">
        <w:rPr>
          <w:lang w:val="en-US"/>
        </w:rPr>
        <w:fldChar w:fldCharType="begin" w:fldLock="1"/>
      </w:r>
      <w:r w:rsidR="00F81C8B">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E551CE">
        <w:rPr>
          <w:lang w:val="en-US"/>
        </w:rPr>
        <w:fldChar w:fldCharType="separate"/>
      </w:r>
      <w:r w:rsidR="00E551CE" w:rsidRPr="00E551CE">
        <w:rPr>
          <w:noProof/>
          <w:lang w:val="en-US"/>
        </w:rPr>
        <w:t>Tsoy et al.</w:t>
      </w:r>
      <w:r w:rsidR="00E551CE">
        <w:rPr>
          <w:noProof/>
          <w:lang w:val="en-US"/>
        </w:rPr>
        <w:t xml:space="preserve"> (</w:t>
      </w:r>
      <w:r w:rsidR="00E551CE" w:rsidRPr="00E551CE">
        <w:rPr>
          <w:noProof/>
          <w:lang w:val="en-US"/>
        </w:rPr>
        <w:t>2020)</w:t>
      </w:r>
      <w:r w:rsidR="00E551CE">
        <w:rPr>
          <w:lang w:val="en-US"/>
        </w:rPr>
        <w:fldChar w:fldCharType="end"/>
      </w:r>
      <w:r w:rsidRPr="003B78FA">
        <w:rPr>
          <w:lang w:val="en-US"/>
        </w:rPr>
        <w:t>, which complements ISO’s frameworks</w:t>
      </w:r>
      <w:r w:rsidR="004721A9">
        <w:rPr>
          <w:lang w:val="en-US"/>
        </w:rPr>
        <w:t xml:space="preserve"> </w:t>
      </w:r>
      <w:r w:rsidRPr="003B78FA">
        <w:rPr>
          <w:lang w:val="en-US"/>
        </w:rPr>
        <w:t>for ex-ante LCA</w:t>
      </w:r>
      <w:r w:rsidR="002A0CBD">
        <w:rPr>
          <w:lang w:val="en-US"/>
        </w:rPr>
        <w:t>s</w:t>
      </w:r>
      <w:r w:rsidRPr="003B78FA">
        <w:rPr>
          <w:lang w:val="en-US"/>
        </w:rPr>
        <w:t xml:space="preserve">. </w:t>
      </w:r>
      <w:r w:rsidRPr="00AF2D0B">
        <w:rPr>
          <w:lang w:val="en-US"/>
        </w:rPr>
        <w:t>Therefore, the methodology part comprises (in this order)</w:t>
      </w:r>
      <w:r w:rsidR="00AF2D0B" w:rsidRPr="00AF2D0B">
        <w:rPr>
          <w:lang w:val="en-US"/>
        </w:rPr>
        <w:t xml:space="preserve"> the projected scaled-up system for the hydrometallurgical technology proposed in this work;</w:t>
      </w:r>
      <w:r w:rsidR="00AF2D0B">
        <w:rPr>
          <w:lang w:val="en-US"/>
        </w:rPr>
        <w:t xml:space="preserve"> </w:t>
      </w:r>
      <w:r w:rsidRPr="00AF2D0B">
        <w:rPr>
          <w:lang w:val="en-US"/>
        </w:rPr>
        <w:t>the LCA</w:t>
      </w:r>
      <w:r w:rsidR="00F86BF6">
        <w:rPr>
          <w:lang w:val="en-US"/>
        </w:rPr>
        <w:t xml:space="preserve"> of </w:t>
      </w:r>
      <w:r w:rsidRPr="00AF2D0B">
        <w:rPr>
          <w:lang w:val="en-US"/>
        </w:rPr>
        <w:t>rare earth</w:t>
      </w:r>
      <w:r w:rsidR="00C75348">
        <w:rPr>
          <w:lang w:val="en-US"/>
        </w:rPr>
        <w:t>s</w:t>
      </w:r>
      <w:r w:rsidRPr="00AF2D0B">
        <w:rPr>
          <w:lang w:val="en-US"/>
        </w:rPr>
        <w:t xml:space="preserve"> oxide</w:t>
      </w:r>
      <w:r w:rsidR="004A6B25">
        <w:rPr>
          <w:lang w:val="en-US"/>
        </w:rPr>
        <w:t>s</w:t>
      </w:r>
      <w:r w:rsidRPr="00AF2D0B">
        <w:rPr>
          <w:lang w:val="en-US"/>
        </w:rPr>
        <w:t xml:space="preserve"> (REO) primary production</w:t>
      </w:r>
      <w:r w:rsidR="00AF2D0B">
        <w:rPr>
          <w:lang w:val="en-US"/>
        </w:rPr>
        <w:t xml:space="preserve"> in China</w:t>
      </w:r>
      <w:r w:rsidRPr="00AF2D0B">
        <w:rPr>
          <w:lang w:val="en-US"/>
        </w:rPr>
        <w:t>;</w:t>
      </w:r>
      <w:r w:rsidR="00AF2D0B" w:rsidRPr="00AF2D0B">
        <w:rPr>
          <w:lang w:val="en-US"/>
        </w:rPr>
        <w:t xml:space="preserve"> </w:t>
      </w:r>
      <w:r w:rsidRPr="00AF2D0B">
        <w:rPr>
          <w:lang w:val="en-US"/>
        </w:rPr>
        <w:t xml:space="preserve">and the LCA of the projected </w:t>
      </w:r>
      <w:r w:rsidR="00371D23">
        <w:rPr>
          <w:lang w:val="en-US"/>
        </w:rPr>
        <w:t>recycling route</w:t>
      </w:r>
      <w:r w:rsidRPr="00AF2D0B">
        <w:rPr>
          <w:lang w:val="en-US"/>
        </w:rPr>
        <w:t>.</w:t>
      </w:r>
    </w:p>
    <w:p w14:paraId="6C759F7D" w14:textId="77777777" w:rsidR="003B78FA" w:rsidRPr="001A52ED" w:rsidRDefault="003B78FA" w:rsidP="00BF7DED">
      <w:pPr>
        <w:rPr>
          <w:b/>
          <w:bCs/>
          <w:u w:val="single"/>
          <w:lang w:val="en-US"/>
        </w:rPr>
      </w:pPr>
    </w:p>
    <w:p w14:paraId="3AE0D63B" w14:textId="71917BA1" w:rsidR="00DA555B" w:rsidRDefault="003B78FA" w:rsidP="009A215A">
      <w:r w:rsidRPr="003B78FA">
        <w:rPr>
          <w:lang w:val="en-US"/>
        </w:rPr>
        <w:t xml:space="preserve">After that, the results of the </w:t>
      </w:r>
      <w:r w:rsidR="00B87BB3">
        <w:rPr>
          <w:lang w:val="en-US"/>
        </w:rPr>
        <w:t>LCA will be</w:t>
      </w:r>
      <w:r w:rsidR="001A44F3">
        <w:rPr>
          <w:lang w:val="en-US"/>
        </w:rPr>
        <w:t xml:space="preserve"> </w:t>
      </w:r>
      <w:r w:rsidRPr="003B78FA">
        <w:rPr>
          <w:lang w:val="en-US"/>
        </w:rPr>
        <w:t xml:space="preserve">discussed, and recommendations toward a greener route drawn. </w:t>
      </w:r>
      <w:r w:rsidRPr="00BE1590">
        <w:rPr>
          <w:lang w:val="en-US"/>
        </w:rPr>
        <w:t>Suggestions for future research will follow the conclusion</w:t>
      </w:r>
      <w:r w:rsidR="00D00B24">
        <w:rPr>
          <w:lang w:val="en-US"/>
        </w:rPr>
        <w:t xml:space="preserve"> and recommendation section</w:t>
      </w:r>
      <w:r w:rsidRPr="003B78FA">
        <w:rPr>
          <w:lang w:val="en-US"/>
        </w:rPr>
        <w:t xml:space="preserve">.  In this way, this work contributes to stakeholders in the field and </w:t>
      </w:r>
      <w:r w:rsidR="00D00B24">
        <w:rPr>
          <w:lang w:val="en-US"/>
        </w:rPr>
        <w:t xml:space="preserve">to </w:t>
      </w:r>
      <w:r w:rsidRPr="003B78FA">
        <w:rPr>
          <w:lang w:val="en-US"/>
        </w:rPr>
        <w:t>social acceptance of REEs projects with efforts made towards greener production systems.</w:t>
      </w:r>
    </w:p>
    <w:p w14:paraId="3B46CB3E" w14:textId="25EFDDAB" w:rsidR="003A4FFC" w:rsidRPr="009A215A" w:rsidRDefault="00B64A3F" w:rsidP="00B64A3F">
      <w:pPr>
        <w:spacing w:before="0" w:after="0" w:line="240" w:lineRule="auto"/>
        <w:contextualSpacing w:val="0"/>
        <w:jc w:val="left"/>
      </w:pPr>
      <w:r>
        <w:br w:type="page"/>
      </w:r>
    </w:p>
    <w:p w14:paraId="47D806B8" w14:textId="59080ECF" w:rsidR="00C65A03" w:rsidRPr="009A215A" w:rsidRDefault="00C65A03" w:rsidP="002611BA">
      <w:pPr>
        <w:pStyle w:val="Heading1"/>
        <w:rPr>
          <w:highlight w:val="lightGray"/>
        </w:rPr>
      </w:pPr>
      <w:bookmarkStart w:id="16" w:name="_Toc76752261"/>
      <w:r w:rsidRPr="009A215A">
        <w:lastRenderedPageBreak/>
        <w:t>Literature review</w:t>
      </w:r>
      <w:bookmarkEnd w:id="16"/>
    </w:p>
    <w:p w14:paraId="2F139B1B" w14:textId="77777777" w:rsidR="005E0228" w:rsidRPr="009A215A" w:rsidRDefault="005E0228" w:rsidP="009A215A"/>
    <w:p w14:paraId="3EC4BB91" w14:textId="6BCC901C" w:rsidR="00D7100B" w:rsidRPr="009A215A" w:rsidRDefault="005E0228" w:rsidP="00F92ED7">
      <w:pPr>
        <w:pStyle w:val="Heading2"/>
      </w:pPr>
      <w:bookmarkStart w:id="17" w:name="_Toc76752262"/>
      <w:r w:rsidRPr="009A215A">
        <w:t>Recycling methods</w:t>
      </w:r>
      <w:r w:rsidR="00411925">
        <w:t xml:space="preserve"> for REE</w:t>
      </w:r>
      <w:r w:rsidR="00193687">
        <w:t>s</w:t>
      </w:r>
      <w:bookmarkEnd w:id="17"/>
      <w:r w:rsidRPr="009A215A">
        <w:t xml:space="preserve"> </w:t>
      </w:r>
    </w:p>
    <w:p w14:paraId="7D1D5E6D" w14:textId="77777777" w:rsidR="00A56CD3" w:rsidRPr="009A215A" w:rsidRDefault="00A56CD3" w:rsidP="009A215A"/>
    <w:p w14:paraId="733EC513" w14:textId="06765767" w:rsidR="001B0199" w:rsidRPr="009A215A" w:rsidRDefault="001B0199" w:rsidP="009A215A">
      <w:r w:rsidRPr="009A215A">
        <w:t xml:space="preserve">Recycling of Neodymium magnets is sought as an essential step toward supply security and development of modern and clean technologies. However, recycling itself will not meet the entire demand in a growing market, mainly due to some applications' significant </w:t>
      </w:r>
      <w:r w:rsidR="00702988" w:rsidRPr="009A215A">
        <w:t xml:space="preserve">demand </w:t>
      </w:r>
      <w:r w:rsidRPr="009A215A">
        <w:t xml:space="preserve">growth and </w:t>
      </w:r>
      <w:r w:rsidR="006A4112">
        <w:rPr>
          <w:lang w:val="en-US"/>
        </w:rPr>
        <w:t xml:space="preserve">their </w:t>
      </w:r>
      <w:r w:rsidRPr="009A215A">
        <w:t xml:space="preserve">long </w:t>
      </w:r>
      <w:r w:rsidRPr="00AE3C40">
        <w:t xml:space="preserve">lifespan. Overall, the recycling chain for permanent magnets </w:t>
      </w:r>
      <w:r w:rsidR="006E712A">
        <w:rPr>
          <w:lang w:val="en-US"/>
        </w:rPr>
        <w:t xml:space="preserve">can </w:t>
      </w:r>
      <w:r w:rsidRPr="00AE3C40">
        <w:t>comprise several steps: collection of EOL devices</w:t>
      </w:r>
      <w:r w:rsidRPr="009A215A">
        <w:t>, depollution for removal of hazardous components, sorting for magnet containing devices, dismantling for separation of recyclates (permanent magnet), demagnetization, fragmentation, shredding, milling (to obtain the desired size), roasting (for complete conversion of metal to metal oxide), separation and purification (metallurgical processes) and finally recovery of REE</w:t>
      </w:r>
      <w:r w:rsidR="00BC2E81">
        <w:rPr>
          <w:lang w:val="en-US"/>
        </w:rPr>
        <w:t>s</w:t>
      </w:r>
      <w:r w:rsidRPr="009A215A">
        <w:t xml:space="preserve"> oxides/ salts </w:t>
      </w:r>
      <w:r w:rsidR="00F81C8B">
        <w:fldChar w:fldCharType="begin" w:fldLock="1"/>
      </w:r>
      <w:r w:rsidR="00F81C8B">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2020)","manualFormatting":"(Beylot et al., 2020;","plainTextFormattedCitation":"(Beylot et al., 2020)","previouslyFormattedCitation":"(Beylot et al., 2020)"},"properties":{"noteIndex":0},"schema":"https://github.com/citation-style-language/schema/raw/master/csl-citation.json"}</w:instrText>
      </w:r>
      <w:r w:rsidR="00F81C8B">
        <w:fldChar w:fldCharType="separate"/>
      </w:r>
      <w:r w:rsidR="00F81C8B" w:rsidRPr="00F81C8B">
        <w:rPr>
          <w:noProof/>
        </w:rPr>
        <w:t>(Beylot et al., 2020</w:t>
      </w:r>
      <w:r w:rsidR="00F81C8B" w:rsidRPr="00285815">
        <w:rPr>
          <w:noProof/>
          <w:lang w:val="nl-NL"/>
        </w:rPr>
        <w:t>;</w:t>
      </w:r>
      <w:r w:rsidR="00F81C8B">
        <w:fldChar w:fldCharType="end"/>
      </w:r>
      <w:r w:rsidR="00F81C8B" w:rsidRPr="00285815">
        <w:rPr>
          <w:lang w:val="nl-NL"/>
        </w:rPr>
        <w:t xml:space="preserve"> </w:t>
      </w:r>
      <w:r w:rsidR="00F81C8B">
        <w:rPr>
          <w:lang w:val="en-US"/>
        </w:rPr>
        <w:fldChar w:fldCharType="begin" w:fldLock="1"/>
      </w:r>
      <w:r w:rsidR="00F31A45" w:rsidRPr="00285815">
        <w:rPr>
          <w:lang w:val="nl-NL"/>
        </w:rPr>
        <w:instrText>ADDIN CSL_CITATION {"citationItems":[{"id":"ITEM-1","itemData":{"DOI":"10.1016/j.jclepro.2019.02.094","ISSN":"09596526","abstract":"The continuous miniaturization of modern green and advanced technologies is increasing the demand of rare earth elements (REEs). Consequently, REEs are listed as the critical metals concerning their crucial role for a clean environment. However, their resources are limited which in turn disrupt their supply chain. To tackle the supply issue and to meet future demand, there is need to exploit recycling schemes for the recovery REEs from secondary resources. This review describes comprehensively various processes developed for the separation of REEs and transition metals from secondary resources. It focuses on the hydrometallurgical route, especially solvent extraction employed to separate REEs and transition metals from potential wastes originated from different industries. The use of different commercial extractants for the recycling purposes and mechanisms involved in the extraction has been discussed in detail.","author":[{"dropping-particle":"","family":"Swain","given":"Nilam","non-dropping-particle":"","parse-names":false,"suffix":""},{"dropping-particle":"","family":"Mishra","given":"Sujata","non-dropping-particle":"","parse-names":false,"suffix":""}],"container-title":"Journal of Cleaner Production","id":"ITEM-1","issued":{"date-parts":[["2019"]]},"page":"884-898","publisher":"Elsevier Ltd","title":"A review on the recovery and separation of rare earths and transition metals from secondary resources","type":"article-journal","volume":"220"},"uris":["http://www.mendeley.com/documents/?uuid=17248aca-536c-497d-be2d-f27e4ca9c5aa"]}],"mendeley":{"formattedCitation":"(Swain &amp; Mishra, 2019)","manualFormatting":"Swain &amp; Mishra, 2019)","plainTextFormattedCitation":"(Swain &amp; Mishra, 2019)","previouslyFormattedCitation":"(Swain &amp; Mishra, 2019)"},"properties":{"noteIndex":0},"schema":"https://github.com/citation-style-language/schema/raw/master/csl-citation.json"}</w:instrText>
      </w:r>
      <w:r w:rsidR="00F81C8B">
        <w:rPr>
          <w:lang w:val="en-US"/>
        </w:rPr>
        <w:fldChar w:fldCharType="separate"/>
      </w:r>
      <w:r w:rsidR="00F81C8B" w:rsidRPr="00285815">
        <w:rPr>
          <w:noProof/>
          <w:lang w:val="nl-NL"/>
        </w:rPr>
        <w:t>Swain &amp; Mishra, 2019)</w:t>
      </w:r>
      <w:r w:rsidR="00F81C8B">
        <w:rPr>
          <w:lang w:val="en-US"/>
        </w:rPr>
        <w:fldChar w:fldCharType="end"/>
      </w:r>
      <w:r w:rsidRPr="009A215A">
        <w:t>.</w:t>
      </w:r>
    </w:p>
    <w:p w14:paraId="4A1B5127" w14:textId="77777777" w:rsidR="001B0199" w:rsidRPr="009A215A" w:rsidRDefault="001B0199" w:rsidP="009A215A"/>
    <w:p w14:paraId="0243CD3A" w14:textId="79D59993" w:rsidR="001B0199" w:rsidRDefault="001B0199" w:rsidP="009A215A">
      <w:r w:rsidRPr="009A215A">
        <w:t>Several metallurgical processing options have been developed to recovery REE</w:t>
      </w:r>
      <w:r w:rsidR="00BC2E81" w:rsidRPr="00552209">
        <w:rPr>
          <w:lang w:val="en-US"/>
        </w:rPr>
        <w:t>s</w:t>
      </w:r>
      <w:r w:rsidRPr="009A215A">
        <w:t xml:space="preserve"> from NdFeB magnet material. The most commonly studied state</w:t>
      </w:r>
      <w:r w:rsidR="00C54B4A" w:rsidRPr="009A215A">
        <w:t>-</w:t>
      </w:r>
      <w:r w:rsidRPr="009A215A">
        <w:t xml:space="preserve">of art routes </w:t>
      </w:r>
      <w:r w:rsidR="00C54B4A" w:rsidRPr="009A215A">
        <w:t>are</w:t>
      </w:r>
      <w:r w:rsidRPr="009A215A">
        <w:t xml:space="preserve"> hydrogen decrepitation, hydrometallurgy, pyrometallurgy, and resintering of scrap magnets and magnetic powder </w:t>
      </w:r>
      <w:r w:rsidR="00F31A45">
        <w:fldChar w:fldCharType="begin" w:fldLock="1"/>
      </w:r>
      <w:r w:rsidR="00F31A45">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2018)","plainTextFormattedCitation":"(Tunsu, 2018)","previouslyFormattedCitation":"(Tunsu, 2018)"},"properties":{"noteIndex":0},"schema":"https://github.com/citation-style-language/schema/raw/master/csl-citation.json"}</w:instrText>
      </w:r>
      <w:r w:rsidR="00F31A45">
        <w:fldChar w:fldCharType="separate"/>
      </w:r>
      <w:r w:rsidR="00F31A45" w:rsidRPr="00F31A45">
        <w:rPr>
          <w:noProof/>
        </w:rPr>
        <w:t>(Tunsu, 2018)</w:t>
      </w:r>
      <w:r w:rsidR="00F31A45">
        <w:fldChar w:fldCharType="end"/>
      </w:r>
      <w:r w:rsidRPr="009A215A">
        <w:t>. Each route presents advantages and disadvantages and may apply only to specific feeds, or routes need to be combined to recover REE</w:t>
      </w:r>
      <w:r w:rsidR="00BC2E81" w:rsidRPr="007D7E8E">
        <w:rPr>
          <w:lang w:val="en-US"/>
        </w:rPr>
        <w:t>s</w:t>
      </w:r>
      <w:r w:rsidRPr="009A215A">
        <w:t xml:space="preserve"> properly. For example, resitering is only applicable to clean, non-oxidized NdFeB powder feed; gas-solid pyrometallurgy and electroslag refining of feeds with more than one REE needs to be complemented with hydrometallurgy for recovery of individualized REE. </w:t>
      </w:r>
      <w:r w:rsidR="00F31A45">
        <w:fldChar w:fldCharType="begin" w:fldLock="1"/>
      </w:r>
      <w:r w:rsidR="000D4896">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2018)","manualFormatting":"Tunsu (2018)","plainTextFormattedCitation":"(Tunsu, 2018)","previouslyFormattedCitation":"(Tunsu, 2018)"},"properties":{"noteIndex":0},"schema":"https://github.com/citation-style-language/schema/raw/master/csl-citation.json"}</w:instrText>
      </w:r>
      <w:r w:rsidR="00F31A45">
        <w:fldChar w:fldCharType="separate"/>
      </w:r>
      <w:r w:rsidR="00F31A45" w:rsidRPr="00F31A45">
        <w:rPr>
          <w:noProof/>
        </w:rPr>
        <w:t>Tunsu</w:t>
      </w:r>
      <w:r w:rsidR="00F31A45">
        <w:rPr>
          <w:noProof/>
          <w:lang w:val="en-US"/>
        </w:rPr>
        <w:t xml:space="preserve"> (</w:t>
      </w:r>
      <w:r w:rsidR="00F31A45" w:rsidRPr="00F31A45">
        <w:rPr>
          <w:noProof/>
        </w:rPr>
        <w:t>2018)</w:t>
      </w:r>
      <w:r w:rsidR="00F31A45">
        <w:fldChar w:fldCharType="end"/>
      </w:r>
      <w:r w:rsidR="00F31A45">
        <w:rPr>
          <w:lang w:val="en-US"/>
        </w:rPr>
        <w:t xml:space="preserve"> </w:t>
      </w:r>
      <w:r w:rsidRPr="009A215A">
        <w:t>summarized the most common routes, their advantages, and disadvantages in</w:t>
      </w:r>
      <w:r w:rsidR="00BC563D">
        <w:rPr>
          <w:lang w:val="en-US"/>
        </w:rPr>
        <w:t xml:space="preserve"> </w:t>
      </w:r>
      <w:r w:rsidR="00BC563D">
        <w:rPr>
          <w:lang w:val="en-US"/>
        </w:rPr>
        <w:fldChar w:fldCharType="begin"/>
      </w:r>
      <w:r w:rsidR="00BC563D">
        <w:rPr>
          <w:lang w:val="en-US"/>
        </w:rPr>
        <w:instrText xml:space="preserve"> REF _Ref74761875 \h </w:instrText>
      </w:r>
      <w:r w:rsidR="00BC563D">
        <w:rPr>
          <w:lang w:val="en-US"/>
        </w:rPr>
      </w:r>
      <w:r w:rsidR="00BC563D">
        <w:rPr>
          <w:lang w:val="en-US"/>
        </w:rPr>
        <w:fldChar w:fldCharType="separate"/>
      </w:r>
      <w:r w:rsidR="00BC31F4">
        <w:t xml:space="preserve">Table </w:t>
      </w:r>
      <w:r w:rsidR="004A51BD">
        <w:rPr>
          <w:noProof/>
          <w:lang w:val="en-US"/>
        </w:rPr>
        <w:t>2</w:t>
      </w:r>
      <w:r w:rsidR="00BC31F4">
        <w:t>.</w:t>
      </w:r>
      <w:r w:rsidR="00BC31F4">
        <w:rPr>
          <w:noProof/>
        </w:rPr>
        <w:t>1</w:t>
      </w:r>
      <w:r w:rsidR="00BC563D">
        <w:rPr>
          <w:lang w:val="en-US"/>
        </w:rPr>
        <w:fldChar w:fldCharType="end"/>
      </w:r>
      <w:r w:rsidR="00BC563D">
        <w:rPr>
          <w:lang w:val="en-US"/>
        </w:rPr>
        <w:t xml:space="preserve">: </w:t>
      </w:r>
    </w:p>
    <w:p w14:paraId="2540D6F6" w14:textId="43835224" w:rsidR="008D2CFE" w:rsidRDefault="008D2CFE" w:rsidP="009A215A"/>
    <w:p w14:paraId="1FF30074" w14:textId="3DE59947" w:rsidR="008D2CFE" w:rsidRDefault="008D2CFE" w:rsidP="009A215A"/>
    <w:p w14:paraId="2C3612DC" w14:textId="6F35195F" w:rsidR="008D2CFE" w:rsidRDefault="008D2CFE" w:rsidP="009A215A"/>
    <w:p w14:paraId="631B3910" w14:textId="2ADB8D3F" w:rsidR="008D2CFE" w:rsidRDefault="008D2CFE" w:rsidP="009A215A"/>
    <w:p w14:paraId="3039336F" w14:textId="1ECA7C01" w:rsidR="00213DB9" w:rsidRDefault="00213DB9" w:rsidP="00213DB9">
      <w:pPr>
        <w:pStyle w:val="Caption"/>
        <w:keepNext/>
      </w:pPr>
    </w:p>
    <w:p w14:paraId="5903F7BF" w14:textId="77777777" w:rsidR="0056568A" w:rsidRPr="0056568A" w:rsidRDefault="0056568A" w:rsidP="0056568A"/>
    <w:p w14:paraId="29D2D212" w14:textId="7DA3CF9C" w:rsidR="0056568A" w:rsidRDefault="0056568A" w:rsidP="0056568A">
      <w:pPr>
        <w:pStyle w:val="Caption"/>
        <w:keepNext/>
      </w:pPr>
      <w:bookmarkStart w:id="18" w:name="_Ref74761875"/>
      <w:bookmarkStart w:id="19" w:name="_Ref74761835"/>
      <w:bookmarkStart w:id="20" w:name="_Toc76730030"/>
      <w:r>
        <w:lastRenderedPageBreak/>
        <w:t xml:space="preserve">Table </w:t>
      </w:r>
      <w:r w:rsidR="00AA1459">
        <w:rPr>
          <w:lang w:val="en-US"/>
        </w:rPr>
        <w:t>2</w:t>
      </w:r>
      <w:r w:rsidR="00C50A78">
        <w:t>.</w:t>
      </w:r>
      <w:r w:rsidR="00BE45E3">
        <w:fldChar w:fldCharType="begin"/>
      </w:r>
      <w:r w:rsidR="00BE45E3">
        <w:instrText xml:space="preserve"> SEQ Table \* ARABIC \s 1 </w:instrText>
      </w:r>
      <w:r w:rsidR="00BE45E3">
        <w:fldChar w:fldCharType="separate"/>
      </w:r>
      <w:r w:rsidR="00BC31F4">
        <w:rPr>
          <w:noProof/>
        </w:rPr>
        <w:t>1</w:t>
      </w:r>
      <w:r w:rsidR="00BE45E3">
        <w:rPr>
          <w:noProof/>
        </w:rPr>
        <w:fldChar w:fldCharType="end"/>
      </w:r>
      <w:bookmarkEnd w:id="18"/>
      <w:r>
        <w:rPr>
          <w:lang w:val="en-US"/>
        </w:rPr>
        <w:t xml:space="preserve"> </w:t>
      </w:r>
      <w:r w:rsidRPr="00443CB9">
        <w:rPr>
          <w:lang w:val="en-US"/>
        </w:rPr>
        <w:t xml:space="preserve">Advantages and disadvantages of the most common state-of-art processes for recovery of </w:t>
      </w:r>
      <w:proofErr w:type="spellStart"/>
      <w:r w:rsidRPr="00443CB9">
        <w:rPr>
          <w:lang w:val="en-US"/>
        </w:rPr>
        <w:t>NdFeB</w:t>
      </w:r>
      <w:proofErr w:type="spellEnd"/>
      <w:r w:rsidRPr="00443CB9">
        <w:rPr>
          <w:lang w:val="en-US"/>
        </w:rPr>
        <w:t xml:space="preserve"> magnet. Source: </w:t>
      </w:r>
      <w:proofErr w:type="spellStart"/>
      <w:r w:rsidRPr="00443CB9">
        <w:rPr>
          <w:lang w:val="en-US"/>
        </w:rPr>
        <w:t>Tunsu</w:t>
      </w:r>
      <w:proofErr w:type="spellEnd"/>
      <w:r w:rsidRPr="00443CB9">
        <w:rPr>
          <w:lang w:val="en-US"/>
        </w:rPr>
        <w:t xml:space="preserve"> (2018).</w:t>
      </w:r>
      <w:bookmarkEnd w:id="19"/>
      <w:bookmarkEnd w:id="20"/>
    </w:p>
    <w:tbl>
      <w:tblPr>
        <w:tblStyle w:val="TableGrid"/>
        <w:tblW w:w="5000" w:type="pct"/>
        <w:tblLayout w:type="fixed"/>
        <w:tblCellMar>
          <w:left w:w="28" w:type="dxa"/>
          <w:right w:w="28" w:type="dxa"/>
        </w:tblCellMar>
        <w:tblLook w:val="04A0" w:firstRow="1" w:lastRow="0" w:firstColumn="1" w:lastColumn="0" w:noHBand="0" w:noVBand="1"/>
      </w:tblPr>
      <w:tblGrid>
        <w:gridCol w:w="2469"/>
        <w:gridCol w:w="2498"/>
        <w:gridCol w:w="2082"/>
        <w:gridCol w:w="2011"/>
      </w:tblGrid>
      <w:tr w:rsidR="001C45DC" w14:paraId="5A129976" w14:textId="77777777" w:rsidTr="003A1127">
        <w:trPr>
          <w:trHeight w:val="20"/>
        </w:trPr>
        <w:tc>
          <w:tcPr>
            <w:tcW w:w="1362" w:type="pct"/>
          </w:tcPr>
          <w:p w14:paraId="5392B222" w14:textId="400A5B32" w:rsidR="00731D95" w:rsidRPr="00AE10FF" w:rsidRDefault="00731D95" w:rsidP="003A1127">
            <w:pPr>
              <w:jc w:val="left"/>
              <w:rPr>
                <w:b/>
                <w:bCs/>
                <w:lang w:val="en-US"/>
              </w:rPr>
            </w:pPr>
            <w:r w:rsidRPr="00AE10FF">
              <w:rPr>
                <w:b/>
                <w:bCs/>
                <w:lang w:val="en-US"/>
              </w:rPr>
              <w:t>Method type</w:t>
            </w:r>
          </w:p>
        </w:tc>
        <w:tc>
          <w:tcPr>
            <w:tcW w:w="1378" w:type="pct"/>
          </w:tcPr>
          <w:p w14:paraId="3DC89992" w14:textId="44ECADD3" w:rsidR="00731D95" w:rsidRPr="00AE10FF" w:rsidRDefault="00731D95" w:rsidP="003A1127">
            <w:pPr>
              <w:jc w:val="left"/>
              <w:rPr>
                <w:b/>
                <w:bCs/>
                <w:lang w:val="en-US"/>
              </w:rPr>
            </w:pPr>
            <w:r w:rsidRPr="00AE10FF">
              <w:rPr>
                <w:b/>
                <w:bCs/>
                <w:lang w:val="en-US"/>
              </w:rPr>
              <w:t>Example and description</w:t>
            </w:r>
          </w:p>
        </w:tc>
        <w:tc>
          <w:tcPr>
            <w:tcW w:w="1149" w:type="pct"/>
          </w:tcPr>
          <w:p w14:paraId="53B83A00" w14:textId="001D58E5" w:rsidR="00731D95" w:rsidRPr="00AE10FF" w:rsidRDefault="00731D95" w:rsidP="003A1127">
            <w:pPr>
              <w:jc w:val="left"/>
              <w:rPr>
                <w:b/>
                <w:bCs/>
                <w:lang w:val="en-US"/>
              </w:rPr>
            </w:pPr>
            <w:r w:rsidRPr="00AE10FF">
              <w:rPr>
                <w:b/>
                <w:bCs/>
                <w:lang w:val="en-US"/>
              </w:rPr>
              <w:t>Advantages</w:t>
            </w:r>
          </w:p>
        </w:tc>
        <w:tc>
          <w:tcPr>
            <w:tcW w:w="1110" w:type="pct"/>
          </w:tcPr>
          <w:p w14:paraId="5D95E22C" w14:textId="24FE8ADD" w:rsidR="00731D95" w:rsidRPr="00AE10FF" w:rsidRDefault="00731D95" w:rsidP="003A1127">
            <w:pPr>
              <w:jc w:val="left"/>
              <w:rPr>
                <w:b/>
                <w:bCs/>
                <w:lang w:val="en-US"/>
              </w:rPr>
            </w:pPr>
            <w:r w:rsidRPr="00AE10FF">
              <w:rPr>
                <w:b/>
                <w:bCs/>
                <w:lang w:val="en-US"/>
              </w:rPr>
              <w:t>Disadvantages</w:t>
            </w:r>
          </w:p>
        </w:tc>
      </w:tr>
      <w:tr w:rsidR="001C45DC" w14:paraId="7453EC50" w14:textId="77777777" w:rsidTr="009D24D4">
        <w:trPr>
          <w:trHeight w:val="20"/>
        </w:trPr>
        <w:tc>
          <w:tcPr>
            <w:tcW w:w="1362" w:type="pct"/>
          </w:tcPr>
          <w:p w14:paraId="169617CA" w14:textId="5DAE9EC0" w:rsidR="00731D95" w:rsidRPr="00731D95" w:rsidRDefault="00731D95" w:rsidP="008756AC">
            <w:pPr>
              <w:jc w:val="left"/>
              <w:rPr>
                <w:lang w:val="en-US"/>
              </w:rPr>
            </w:pPr>
            <w:r>
              <w:rPr>
                <w:lang w:val="en-US"/>
              </w:rPr>
              <w:t>Direct use</w:t>
            </w:r>
          </w:p>
        </w:tc>
        <w:tc>
          <w:tcPr>
            <w:tcW w:w="1378" w:type="pct"/>
          </w:tcPr>
          <w:p w14:paraId="73EFB3D6" w14:textId="77777777" w:rsidR="00731D95" w:rsidRPr="00F70B1D" w:rsidRDefault="00731D95" w:rsidP="008756AC">
            <w:pPr>
              <w:jc w:val="left"/>
            </w:pPr>
            <w:r w:rsidRPr="00F70B1D">
              <w:t xml:space="preserve">Reuse of magnets in new products. </w:t>
            </w:r>
          </w:p>
          <w:p w14:paraId="171B64A5" w14:textId="77777777" w:rsidR="00731D95" w:rsidRPr="00F70B1D" w:rsidRDefault="00731D95" w:rsidP="008756AC">
            <w:pPr>
              <w:jc w:val="left"/>
            </w:pPr>
          </w:p>
        </w:tc>
        <w:tc>
          <w:tcPr>
            <w:tcW w:w="1149" w:type="pct"/>
          </w:tcPr>
          <w:p w14:paraId="4C1B993F" w14:textId="77777777" w:rsidR="00731D95" w:rsidRPr="00F70B1D" w:rsidRDefault="00731D95" w:rsidP="008756AC">
            <w:pPr>
              <w:jc w:val="left"/>
            </w:pPr>
            <w:r w:rsidRPr="00F70B1D">
              <w:t xml:space="preserve">Cheapest option </w:t>
            </w:r>
          </w:p>
          <w:p w14:paraId="262C5DA4" w14:textId="77777777" w:rsidR="006632B4" w:rsidRDefault="006632B4" w:rsidP="008756AC">
            <w:pPr>
              <w:jc w:val="left"/>
            </w:pPr>
          </w:p>
          <w:p w14:paraId="5F4E4530" w14:textId="4FCDD334" w:rsidR="00731D95" w:rsidRPr="00F70B1D" w:rsidRDefault="00731D95" w:rsidP="008756AC">
            <w:pPr>
              <w:jc w:val="left"/>
            </w:pPr>
            <w:r w:rsidRPr="00F70B1D">
              <w:t xml:space="preserve">Does not require chemicals </w:t>
            </w:r>
          </w:p>
          <w:p w14:paraId="10F0D3A1" w14:textId="77777777" w:rsidR="00731D95" w:rsidRPr="00F70B1D" w:rsidRDefault="00731D95" w:rsidP="008756AC">
            <w:pPr>
              <w:jc w:val="left"/>
            </w:pPr>
          </w:p>
        </w:tc>
        <w:tc>
          <w:tcPr>
            <w:tcW w:w="1110" w:type="pct"/>
          </w:tcPr>
          <w:p w14:paraId="507E60AB" w14:textId="1B4F6128" w:rsidR="00731D95" w:rsidRPr="00F70B1D" w:rsidRDefault="00731D95" w:rsidP="008756AC">
            <w:pPr>
              <w:jc w:val="left"/>
            </w:pPr>
            <w:r w:rsidRPr="00F70B1D">
              <w:t xml:space="preserve">Requires adequate collection and dismantling </w:t>
            </w:r>
          </w:p>
          <w:p w14:paraId="4AF4789B" w14:textId="77777777" w:rsidR="00F70B1D" w:rsidRDefault="00F70B1D" w:rsidP="008756AC">
            <w:pPr>
              <w:jc w:val="left"/>
            </w:pPr>
          </w:p>
          <w:p w14:paraId="1E4662AF" w14:textId="77777777" w:rsidR="003F5B52" w:rsidRDefault="00731D95" w:rsidP="008756AC">
            <w:pPr>
              <w:jc w:val="left"/>
            </w:pPr>
            <w:r w:rsidRPr="00F70B1D">
              <w:t>Intact separation of magnets is needed</w:t>
            </w:r>
          </w:p>
          <w:p w14:paraId="3A6027AC" w14:textId="77777777" w:rsidR="00704121" w:rsidRDefault="00704121" w:rsidP="008756AC">
            <w:pPr>
              <w:jc w:val="left"/>
            </w:pPr>
          </w:p>
          <w:p w14:paraId="19606B33" w14:textId="40313236" w:rsidR="00731D95" w:rsidRPr="00F70B1D" w:rsidRDefault="00731D95" w:rsidP="008756AC">
            <w:pPr>
              <w:jc w:val="left"/>
            </w:pPr>
            <w:r w:rsidRPr="00F70B1D">
              <w:t xml:space="preserve">Labor- and cost-intensive for small products </w:t>
            </w:r>
          </w:p>
          <w:p w14:paraId="1D283F6B" w14:textId="77777777" w:rsidR="003F5B52" w:rsidRDefault="003F5B52" w:rsidP="008756AC">
            <w:pPr>
              <w:jc w:val="left"/>
            </w:pPr>
          </w:p>
          <w:p w14:paraId="10DF757D" w14:textId="0D44A2DA" w:rsidR="00731D95" w:rsidRPr="00F70B1D" w:rsidRDefault="00731D95" w:rsidP="008756AC">
            <w:pPr>
              <w:jc w:val="left"/>
            </w:pPr>
            <w:r w:rsidRPr="00F70B1D">
              <w:t xml:space="preserve">Cannot be applied to production waste/broken magnets </w:t>
            </w:r>
          </w:p>
          <w:p w14:paraId="55554214" w14:textId="77777777" w:rsidR="003F5B52" w:rsidRDefault="003F5B52" w:rsidP="008756AC">
            <w:pPr>
              <w:jc w:val="left"/>
            </w:pPr>
          </w:p>
          <w:p w14:paraId="01F3781F" w14:textId="42D4E935" w:rsidR="00731D95" w:rsidRPr="003F5B52" w:rsidRDefault="00731D95" w:rsidP="008756AC">
            <w:pPr>
              <w:jc w:val="left"/>
            </w:pPr>
            <w:r w:rsidRPr="00F70B1D">
              <w:t xml:space="preserve">Further processing of the powder is required </w:t>
            </w:r>
          </w:p>
        </w:tc>
      </w:tr>
      <w:tr w:rsidR="001C45DC" w14:paraId="164562C0" w14:textId="77777777" w:rsidTr="009D24D4">
        <w:trPr>
          <w:trHeight w:val="20"/>
        </w:trPr>
        <w:tc>
          <w:tcPr>
            <w:tcW w:w="1362" w:type="pct"/>
          </w:tcPr>
          <w:p w14:paraId="26864ADD" w14:textId="77777777" w:rsidR="00731D95" w:rsidRDefault="00731D95" w:rsidP="008756AC">
            <w:pPr>
              <w:jc w:val="left"/>
            </w:pPr>
            <w:r>
              <w:t xml:space="preserve">Hydrogen decrepitation </w:t>
            </w:r>
          </w:p>
          <w:p w14:paraId="529DBBF7" w14:textId="77777777" w:rsidR="00731D95" w:rsidRDefault="00731D95" w:rsidP="008756AC">
            <w:pPr>
              <w:jc w:val="left"/>
            </w:pPr>
          </w:p>
        </w:tc>
        <w:tc>
          <w:tcPr>
            <w:tcW w:w="1378" w:type="pct"/>
          </w:tcPr>
          <w:p w14:paraId="5F9F283F" w14:textId="77777777" w:rsidR="00731D95" w:rsidRDefault="00731D95" w:rsidP="008756AC">
            <w:pPr>
              <w:jc w:val="left"/>
            </w:pPr>
            <w:r>
              <w:t xml:space="preserve">The magnets absorb hydrogen and expand in volume, breaking into coarse granules/powder </w:t>
            </w:r>
          </w:p>
          <w:p w14:paraId="0840C9BA" w14:textId="77777777" w:rsidR="00731D95" w:rsidRDefault="00731D95" w:rsidP="008756AC">
            <w:pPr>
              <w:jc w:val="left"/>
            </w:pPr>
          </w:p>
        </w:tc>
        <w:tc>
          <w:tcPr>
            <w:tcW w:w="1149" w:type="pct"/>
          </w:tcPr>
          <w:p w14:paraId="347975D3" w14:textId="77777777" w:rsidR="00731D95" w:rsidRDefault="00731D95" w:rsidP="008756AC">
            <w:pPr>
              <w:jc w:val="left"/>
            </w:pPr>
            <w:r>
              <w:t xml:space="preserve">Efficient for products containing small magnets </w:t>
            </w:r>
          </w:p>
          <w:p w14:paraId="0A1241D3" w14:textId="77777777" w:rsidR="003F5B52" w:rsidRDefault="003F5B52" w:rsidP="008756AC">
            <w:pPr>
              <w:jc w:val="left"/>
            </w:pPr>
          </w:p>
          <w:p w14:paraId="00D82287" w14:textId="495475C6" w:rsidR="00731D95" w:rsidRDefault="00731D95" w:rsidP="008756AC">
            <w:pPr>
              <w:jc w:val="left"/>
            </w:pPr>
            <w:r>
              <w:t xml:space="preserve">Cost-effective preparation method </w:t>
            </w:r>
          </w:p>
          <w:p w14:paraId="388793A0" w14:textId="77777777" w:rsidR="00731D95" w:rsidRDefault="00731D95" w:rsidP="008756AC">
            <w:pPr>
              <w:jc w:val="left"/>
            </w:pPr>
          </w:p>
        </w:tc>
        <w:tc>
          <w:tcPr>
            <w:tcW w:w="1110" w:type="pct"/>
          </w:tcPr>
          <w:p w14:paraId="617861E5" w14:textId="4CC3421C" w:rsidR="001D2B5E" w:rsidRPr="001D2B5E" w:rsidRDefault="00731D95" w:rsidP="008756AC">
            <w:pPr>
              <w:jc w:val="left"/>
            </w:pPr>
            <w:r>
              <w:t xml:space="preserve">Further processing of the powder is required </w:t>
            </w:r>
          </w:p>
          <w:p w14:paraId="46991431" w14:textId="77777777" w:rsidR="001D2B5E" w:rsidRDefault="001D2B5E" w:rsidP="008756AC">
            <w:pPr>
              <w:jc w:val="left"/>
            </w:pPr>
          </w:p>
          <w:p w14:paraId="44373DA9" w14:textId="6F846CDC" w:rsidR="00731D95" w:rsidRDefault="00731D95" w:rsidP="008756AC">
            <w:pPr>
              <w:jc w:val="left"/>
            </w:pPr>
            <w:r>
              <w:t xml:space="preserve">Not suited for mixed feeds, oxidized magnets, and magnets with </w:t>
            </w:r>
            <w:r>
              <w:lastRenderedPageBreak/>
              <w:t xml:space="preserve">large differences in composition </w:t>
            </w:r>
          </w:p>
        </w:tc>
      </w:tr>
      <w:tr w:rsidR="001C45DC" w14:paraId="7A615FDF" w14:textId="77777777" w:rsidTr="009D24D4">
        <w:trPr>
          <w:trHeight w:val="20"/>
        </w:trPr>
        <w:tc>
          <w:tcPr>
            <w:tcW w:w="1362" w:type="pct"/>
          </w:tcPr>
          <w:p w14:paraId="270941C5" w14:textId="77777777" w:rsidR="00731D95" w:rsidRDefault="00731D95" w:rsidP="008756AC">
            <w:pPr>
              <w:jc w:val="left"/>
            </w:pPr>
            <w:r>
              <w:lastRenderedPageBreak/>
              <w:t xml:space="preserve">Hydrometallurgy </w:t>
            </w:r>
          </w:p>
          <w:p w14:paraId="7EEA17DE" w14:textId="77777777" w:rsidR="00731D95" w:rsidRDefault="00731D95" w:rsidP="008756AC">
            <w:pPr>
              <w:jc w:val="left"/>
            </w:pPr>
          </w:p>
        </w:tc>
        <w:tc>
          <w:tcPr>
            <w:tcW w:w="1378" w:type="pct"/>
          </w:tcPr>
          <w:p w14:paraId="2DE3BB76" w14:textId="77777777" w:rsidR="00731D95" w:rsidRDefault="00731D95" w:rsidP="008756AC">
            <w:pPr>
              <w:jc w:val="left"/>
            </w:pPr>
            <w:r>
              <w:t xml:space="preserve">The magnets are dissolved in a solution (leaching), followed by separation of ions using precipitation/ solvent extraction or their combination </w:t>
            </w:r>
          </w:p>
          <w:p w14:paraId="75A2A1B9" w14:textId="77777777" w:rsidR="00731D95" w:rsidRDefault="00731D95" w:rsidP="008756AC">
            <w:pPr>
              <w:jc w:val="left"/>
            </w:pPr>
          </w:p>
        </w:tc>
        <w:tc>
          <w:tcPr>
            <w:tcW w:w="1149" w:type="pct"/>
          </w:tcPr>
          <w:p w14:paraId="1489D62F" w14:textId="77777777" w:rsidR="00731D95" w:rsidRDefault="00731D95" w:rsidP="008756AC">
            <w:pPr>
              <w:jc w:val="left"/>
            </w:pPr>
            <w:r>
              <w:t xml:space="preserve">Can separate all metals with very high purity </w:t>
            </w:r>
          </w:p>
          <w:p w14:paraId="2417C344" w14:textId="77777777" w:rsidR="003F5B52" w:rsidRDefault="003F5B52" w:rsidP="008756AC">
            <w:pPr>
              <w:jc w:val="left"/>
            </w:pPr>
          </w:p>
          <w:p w14:paraId="4D15E1A0" w14:textId="4C9C528D" w:rsidR="00731D95" w:rsidRDefault="00731D95" w:rsidP="008756AC">
            <w:pPr>
              <w:jc w:val="left"/>
            </w:pPr>
            <w:r>
              <w:t xml:space="preserve">Applicable to all types of waste </w:t>
            </w:r>
          </w:p>
          <w:p w14:paraId="39512910" w14:textId="77777777" w:rsidR="003F5B52" w:rsidRDefault="003F5B52" w:rsidP="008756AC">
            <w:pPr>
              <w:jc w:val="left"/>
            </w:pPr>
          </w:p>
          <w:p w14:paraId="19A322F9" w14:textId="77777777" w:rsidR="003F5B52" w:rsidRDefault="00731D95" w:rsidP="008756AC">
            <w:pPr>
              <w:jc w:val="left"/>
            </w:pPr>
            <w:r>
              <w:t>Can handle large variations in composition/impurities</w:t>
            </w:r>
          </w:p>
          <w:p w14:paraId="3D9FE2DA" w14:textId="735EDF22" w:rsidR="00731D95" w:rsidRDefault="00731D95" w:rsidP="008756AC">
            <w:pPr>
              <w:jc w:val="left"/>
            </w:pPr>
            <w:r>
              <w:t xml:space="preserve">Similar to virgin mining of REEs </w:t>
            </w:r>
          </w:p>
          <w:p w14:paraId="7B231CA1" w14:textId="77777777" w:rsidR="00731D95" w:rsidRDefault="00731D95" w:rsidP="008756AC">
            <w:pPr>
              <w:jc w:val="left"/>
            </w:pPr>
          </w:p>
        </w:tc>
        <w:tc>
          <w:tcPr>
            <w:tcW w:w="1110" w:type="pct"/>
          </w:tcPr>
          <w:p w14:paraId="127D0F26" w14:textId="77777777" w:rsidR="00731D95" w:rsidRDefault="00731D95" w:rsidP="008756AC">
            <w:pPr>
              <w:jc w:val="left"/>
            </w:pPr>
            <w:r>
              <w:t xml:space="preserve">Requires pretreatment (separation of magnets from products) </w:t>
            </w:r>
          </w:p>
          <w:p w14:paraId="5C6FB848" w14:textId="77777777" w:rsidR="003F5B52" w:rsidRDefault="003F5B52" w:rsidP="008756AC">
            <w:pPr>
              <w:jc w:val="left"/>
            </w:pPr>
          </w:p>
          <w:p w14:paraId="4BC06035" w14:textId="22817B9B" w:rsidR="00731D95" w:rsidRDefault="00731D95" w:rsidP="008756AC">
            <w:pPr>
              <w:jc w:val="left"/>
            </w:pPr>
            <w:r>
              <w:t xml:space="preserve">Reagent-intensive </w:t>
            </w:r>
          </w:p>
          <w:p w14:paraId="4E1FD990" w14:textId="77777777" w:rsidR="003F5B52" w:rsidRDefault="003F5B52" w:rsidP="008756AC">
            <w:pPr>
              <w:jc w:val="left"/>
            </w:pPr>
          </w:p>
          <w:p w14:paraId="4A1AFA98" w14:textId="44FD8D3B" w:rsidR="00731D95" w:rsidRDefault="00731D95" w:rsidP="008756AC">
            <w:pPr>
              <w:jc w:val="left"/>
            </w:pPr>
            <w:r>
              <w:t xml:space="preserve">Generation of secondary wastes </w:t>
            </w:r>
          </w:p>
          <w:p w14:paraId="0D0E5862" w14:textId="2C97805B" w:rsidR="00731D95" w:rsidRDefault="00731D95" w:rsidP="008756AC">
            <w:pPr>
              <w:jc w:val="left"/>
            </w:pPr>
            <w:r>
              <w:t xml:space="preserve">Large number of separation stages needed for high product purity </w:t>
            </w:r>
          </w:p>
        </w:tc>
      </w:tr>
      <w:tr w:rsidR="001C45DC" w14:paraId="442150F0" w14:textId="77777777" w:rsidTr="00872002">
        <w:trPr>
          <w:cantSplit/>
          <w:trHeight w:val="1134"/>
        </w:trPr>
        <w:tc>
          <w:tcPr>
            <w:tcW w:w="1362" w:type="pct"/>
          </w:tcPr>
          <w:p w14:paraId="0E4B630F" w14:textId="77777777" w:rsidR="00731D95" w:rsidRDefault="00731D95" w:rsidP="008D2CFE">
            <w:pPr>
              <w:jc w:val="left"/>
            </w:pPr>
            <w:r>
              <w:lastRenderedPageBreak/>
              <w:t xml:space="preserve">Pyrometallurgy </w:t>
            </w:r>
          </w:p>
          <w:p w14:paraId="04A7D7AA" w14:textId="77777777" w:rsidR="00731D95" w:rsidRDefault="00731D95" w:rsidP="008D2CFE">
            <w:pPr>
              <w:jc w:val="left"/>
            </w:pPr>
          </w:p>
        </w:tc>
        <w:tc>
          <w:tcPr>
            <w:tcW w:w="1378" w:type="pct"/>
          </w:tcPr>
          <w:p w14:paraId="5B66F212" w14:textId="77777777" w:rsidR="00731D95" w:rsidRDefault="00731D95" w:rsidP="00872002">
            <w:pPr>
              <w:jc w:val="left"/>
            </w:pPr>
            <w:r>
              <w:t xml:space="preserve">Gassolid and solidliquid interactions (chlorination, carbonylation), which lead to products with different volatilities </w:t>
            </w:r>
          </w:p>
          <w:p w14:paraId="55BCEE37" w14:textId="77777777" w:rsidR="003F5B52" w:rsidRDefault="003F5B52" w:rsidP="00872002">
            <w:pPr>
              <w:jc w:val="left"/>
            </w:pPr>
          </w:p>
          <w:p w14:paraId="7DB6B691" w14:textId="36EA4DF1" w:rsidR="00731D95" w:rsidRDefault="00731D95" w:rsidP="00872002">
            <w:pPr>
              <w:jc w:val="left"/>
            </w:pPr>
            <w:r>
              <w:t xml:space="preserve">Selective extraction of Nd in molten Mg </w:t>
            </w:r>
          </w:p>
          <w:p w14:paraId="7549208F" w14:textId="77777777" w:rsidR="003F5B52" w:rsidRDefault="003F5B52" w:rsidP="00872002">
            <w:pPr>
              <w:jc w:val="left"/>
            </w:pPr>
          </w:p>
          <w:p w14:paraId="3B80F94E" w14:textId="77777777" w:rsidR="008D2CFE" w:rsidRDefault="008D2CFE" w:rsidP="00872002">
            <w:pPr>
              <w:jc w:val="left"/>
            </w:pPr>
          </w:p>
          <w:p w14:paraId="1943EB32" w14:textId="5547B894" w:rsidR="00731D95" w:rsidRDefault="00731D95" w:rsidP="00872002">
            <w:pPr>
              <w:jc w:val="left"/>
            </w:pPr>
            <w:r>
              <w:t>Molten salt extraction (MgCl</w:t>
            </w:r>
            <w:r>
              <w:rPr>
                <w:position w:val="-2"/>
                <w:sz w:val="12"/>
                <w:szCs w:val="12"/>
              </w:rPr>
              <w:t>2</w:t>
            </w:r>
            <w:r>
              <w:t xml:space="preserve">) </w:t>
            </w:r>
          </w:p>
          <w:p w14:paraId="12353D2B" w14:textId="77777777" w:rsidR="003F5B52" w:rsidRDefault="003F5B52" w:rsidP="00872002">
            <w:pPr>
              <w:jc w:val="left"/>
            </w:pPr>
          </w:p>
          <w:p w14:paraId="613AD286" w14:textId="4F166D12" w:rsidR="003F5B52" w:rsidRPr="008D2CFE" w:rsidRDefault="003F5B52" w:rsidP="00872002">
            <w:pPr>
              <w:jc w:val="left"/>
            </w:pPr>
          </w:p>
          <w:p w14:paraId="12D9D511" w14:textId="77777777" w:rsidR="00872002" w:rsidRDefault="00872002" w:rsidP="00872002">
            <w:pPr>
              <w:jc w:val="left"/>
            </w:pPr>
          </w:p>
          <w:p w14:paraId="6924920B" w14:textId="43B1B0D6" w:rsidR="003F5B52" w:rsidRDefault="00731D95" w:rsidP="00872002">
            <w:pPr>
              <w:jc w:val="left"/>
            </w:pPr>
            <w:r>
              <w:t xml:space="preserve">Flux or slag processes using molten fluorides </w:t>
            </w:r>
          </w:p>
          <w:p w14:paraId="6004A4D1" w14:textId="1F78676D" w:rsidR="00731D95" w:rsidRDefault="00731D95" w:rsidP="00872002">
            <w:pPr>
              <w:jc w:val="left"/>
            </w:pPr>
            <w:r>
              <w:t>Glass slag method (molten B</w:t>
            </w:r>
            <w:r>
              <w:rPr>
                <w:position w:val="-4"/>
                <w:sz w:val="12"/>
                <w:szCs w:val="12"/>
              </w:rPr>
              <w:t>2</w:t>
            </w:r>
            <w:r>
              <w:t>O</w:t>
            </w:r>
            <w:r>
              <w:rPr>
                <w:position w:val="-4"/>
                <w:sz w:val="12"/>
                <w:szCs w:val="12"/>
              </w:rPr>
              <w:t>3</w:t>
            </w:r>
            <w:r>
              <w:t xml:space="preserve">) </w:t>
            </w:r>
          </w:p>
          <w:p w14:paraId="5DBFC2D4" w14:textId="77777777" w:rsidR="00731D95" w:rsidRDefault="00731D95" w:rsidP="00872002">
            <w:pPr>
              <w:jc w:val="left"/>
            </w:pPr>
          </w:p>
          <w:p w14:paraId="36094CBB" w14:textId="77777777" w:rsidR="00731D95" w:rsidRDefault="00731D95" w:rsidP="00872002">
            <w:pPr>
              <w:jc w:val="left"/>
            </w:pPr>
          </w:p>
        </w:tc>
        <w:tc>
          <w:tcPr>
            <w:tcW w:w="1149" w:type="pct"/>
          </w:tcPr>
          <w:p w14:paraId="2CEB2C4F" w14:textId="77777777" w:rsidR="00731D95" w:rsidRDefault="00731D95" w:rsidP="008D2CFE">
            <w:pPr>
              <w:jc w:val="left"/>
            </w:pPr>
            <w:r>
              <w:t xml:space="preserve">Applicable to magnets and swarf </w:t>
            </w:r>
          </w:p>
          <w:p w14:paraId="533BB43F" w14:textId="77777777" w:rsidR="00731D95" w:rsidRDefault="00731D95" w:rsidP="008D2CFE">
            <w:pPr>
              <w:jc w:val="left"/>
            </w:pPr>
          </w:p>
          <w:p w14:paraId="14582B0F" w14:textId="040E1545" w:rsidR="003F5B52" w:rsidRDefault="003F5B52" w:rsidP="008D2CFE">
            <w:pPr>
              <w:jc w:val="left"/>
            </w:pPr>
          </w:p>
          <w:p w14:paraId="2B52B822" w14:textId="1F6EAF72" w:rsidR="00475F03" w:rsidRDefault="00475F03" w:rsidP="008D2CFE">
            <w:pPr>
              <w:jc w:val="left"/>
            </w:pPr>
          </w:p>
          <w:p w14:paraId="744D59A4" w14:textId="77777777" w:rsidR="00475F03" w:rsidRDefault="00475F03" w:rsidP="008D2CFE">
            <w:pPr>
              <w:jc w:val="left"/>
            </w:pPr>
          </w:p>
          <w:p w14:paraId="50FB3ACF" w14:textId="77777777" w:rsidR="003F5B52" w:rsidRDefault="003F5B52" w:rsidP="008D2CFE">
            <w:pPr>
              <w:jc w:val="left"/>
            </w:pPr>
          </w:p>
          <w:p w14:paraId="565A08EA" w14:textId="510BE92C" w:rsidR="00731D95" w:rsidRDefault="00731D95" w:rsidP="008D2CFE">
            <w:pPr>
              <w:jc w:val="left"/>
            </w:pPr>
            <w:r>
              <w:t xml:space="preserve">Can handle variations in composition </w:t>
            </w:r>
          </w:p>
          <w:p w14:paraId="57137E91" w14:textId="77777777" w:rsidR="00731D95" w:rsidRDefault="00731D95" w:rsidP="008D2CFE">
            <w:pPr>
              <w:jc w:val="left"/>
            </w:pPr>
          </w:p>
          <w:p w14:paraId="66DE1531" w14:textId="2FA936A8" w:rsidR="00731D95" w:rsidRDefault="00731D95" w:rsidP="008D2CFE">
            <w:pPr>
              <w:jc w:val="left"/>
            </w:pPr>
            <w:r>
              <w:t xml:space="preserve">Molten metal extraction can produce REEs in metallic state </w:t>
            </w:r>
          </w:p>
          <w:p w14:paraId="5C159994" w14:textId="77777777" w:rsidR="00872002" w:rsidRDefault="00872002" w:rsidP="008D2CFE">
            <w:pPr>
              <w:jc w:val="left"/>
            </w:pPr>
          </w:p>
          <w:p w14:paraId="4103D035" w14:textId="261A5AAE" w:rsidR="00731D95" w:rsidRDefault="00731D95" w:rsidP="008D2CFE">
            <w:pPr>
              <w:jc w:val="left"/>
            </w:pPr>
            <w:r>
              <w:t xml:space="preserve">Allows production of alloys </w:t>
            </w:r>
          </w:p>
          <w:p w14:paraId="1DD16FB6" w14:textId="72C1ED27" w:rsidR="00731D95" w:rsidRPr="00731D95" w:rsidRDefault="00731D95" w:rsidP="008D2CFE">
            <w:pPr>
              <w:jc w:val="left"/>
              <w:rPr>
                <w:lang w:val="en-US"/>
              </w:rPr>
            </w:pPr>
          </w:p>
        </w:tc>
        <w:tc>
          <w:tcPr>
            <w:tcW w:w="1110" w:type="pct"/>
          </w:tcPr>
          <w:p w14:paraId="1B26AB0C" w14:textId="77777777" w:rsidR="00731D95" w:rsidRDefault="00731D95" w:rsidP="008D2CFE">
            <w:pPr>
              <w:jc w:val="left"/>
            </w:pPr>
            <w:r>
              <w:t xml:space="preserve">Energy-intensive (high temperatures required) </w:t>
            </w:r>
          </w:p>
          <w:p w14:paraId="09988166" w14:textId="77777777" w:rsidR="00731D95" w:rsidRDefault="00731D95" w:rsidP="008D2CFE">
            <w:pPr>
              <w:jc w:val="left"/>
            </w:pPr>
          </w:p>
          <w:p w14:paraId="7C90F259" w14:textId="77777777" w:rsidR="00731D95" w:rsidRDefault="00731D95" w:rsidP="008D2CFE">
            <w:pPr>
              <w:jc w:val="left"/>
            </w:pPr>
          </w:p>
          <w:p w14:paraId="3A985D66" w14:textId="77777777" w:rsidR="00731D95" w:rsidRDefault="00731D95" w:rsidP="008D2CFE">
            <w:pPr>
              <w:jc w:val="left"/>
            </w:pPr>
          </w:p>
          <w:p w14:paraId="0084E215" w14:textId="77777777" w:rsidR="003F5B52" w:rsidRDefault="003F5B52" w:rsidP="008D2CFE">
            <w:pPr>
              <w:jc w:val="left"/>
            </w:pPr>
          </w:p>
          <w:p w14:paraId="3523A912" w14:textId="04E1FC2D" w:rsidR="00731D95" w:rsidRDefault="00731D95" w:rsidP="008D2CFE">
            <w:pPr>
              <w:jc w:val="left"/>
            </w:pPr>
            <w:r>
              <w:t>Uses chlorine gas/AlCl</w:t>
            </w:r>
            <w:r>
              <w:rPr>
                <w:position w:val="-2"/>
                <w:sz w:val="12"/>
                <w:szCs w:val="12"/>
              </w:rPr>
              <w:t xml:space="preserve">3 </w:t>
            </w:r>
            <w:r>
              <w:t xml:space="preserve">(corrosive) </w:t>
            </w:r>
          </w:p>
          <w:p w14:paraId="278696E0" w14:textId="77777777" w:rsidR="008D2CFE" w:rsidRDefault="008D2CFE" w:rsidP="008D2CFE">
            <w:pPr>
              <w:jc w:val="left"/>
            </w:pPr>
          </w:p>
          <w:p w14:paraId="69FB891C" w14:textId="12E99F07" w:rsidR="00731D95" w:rsidRDefault="00731D95" w:rsidP="008D2CFE">
            <w:pPr>
              <w:jc w:val="left"/>
            </w:pPr>
            <w:r>
              <w:t>Glass</w:t>
            </w:r>
            <w:r w:rsidR="003F5B52">
              <w:rPr>
                <w:lang w:val="en-US"/>
              </w:rPr>
              <w:t xml:space="preserve"> </w:t>
            </w:r>
            <w:r>
              <w:t xml:space="preserve">slag/electroslag refining generates solid wastes </w:t>
            </w:r>
          </w:p>
          <w:p w14:paraId="0731AF48" w14:textId="77777777" w:rsidR="00731D95" w:rsidRDefault="00731D95" w:rsidP="008D2CFE">
            <w:pPr>
              <w:jc w:val="left"/>
            </w:pPr>
          </w:p>
          <w:p w14:paraId="06B7616D" w14:textId="3C519694" w:rsidR="00731D95" w:rsidRDefault="00731D95" w:rsidP="008D2CFE">
            <w:pPr>
              <w:jc w:val="left"/>
            </w:pPr>
            <w:r>
              <w:t xml:space="preserve">Some methods, e.g., direct smelting and liquid metal extraction, cannot be applied to oxidized streams </w:t>
            </w:r>
          </w:p>
        </w:tc>
      </w:tr>
      <w:tr w:rsidR="001C45DC" w14:paraId="5575C508" w14:textId="77777777" w:rsidTr="009D24D4">
        <w:trPr>
          <w:trHeight w:val="62"/>
        </w:trPr>
        <w:tc>
          <w:tcPr>
            <w:tcW w:w="1362" w:type="pct"/>
          </w:tcPr>
          <w:p w14:paraId="25CA26BB" w14:textId="3BB7A75C" w:rsidR="00731D95" w:rsidRDefault="00731D95" w:rsidP="008D2CFE">
            <w:pPr>
              <w:jc w:val="left"/>
            </w:pPr>
            <w:r>
              <w:t xml:space="preserve">Resintering of scrap magnets and magnetic powder </w:t>
            </w:r>
          </w:p>
          <w:p w14:paraId="4D2AE5D2" w14:textId="77777777" w:rsidR="00731D95" w:rsidRDefault="00731D95" w:rsidP="008D2CFE">
            <w:pPr>
              <w:jc w:val="left"/>
            </w:pPr>
          </w:p>
        </w:tc>
        <w:tc>
          <w:tcPr>
            <w:tcW w:w="1378" w:type="pct"/>
          </w:tcPr>
          <w:p w14:paraId="01BF92F1" w14:textId="6AD1C697" w:rsidR="00731D95" w:rsidRPr="001C45DC" w:rsidRDefault="00731D95" w:rsidP="008D2CFE">
            <w:pPr>
              <w:jc w:val="left"/>
            </w:pPr>
            <w:r>
              <w:t xml:space="preserve">Blending and milling powder with extra REEs, followed by magnetic alignment, isostatic pressing, and sintering. </w:t>
            </w:r>
          </w:p>
        </w:tc>
        <w:tc>
          <w:tcPr>
            <w:tcW w:w="1149" w:type="pct"/>
          </w:tcPr>
          <w:p w14:paraId="67A05D26" w14:textId="77777777" w:rsidR="00FF478D" w:rsidRDefault="00731D95" w:rsidP="008D2CFE">
            <w:pPr>
              <w:jc w:val="left"/>
            </w:pPr>
            <w:r>
              <w:t xml:space="preserve">Fewer process steps </w:t>
            </w:r>
          </w:p>
          <w:p w14:paraId="5BCF2183" w14:textId="77777777" w:rsidR="00FF478D" w:rsidRDefault="00FF478D" w:rsidP="008D2CFE">
            <w:pPr>
              <w:jc w:val="left"/>
            </w:pPr>
          </w:p>
          <w:p w14:paraId="7756C81D" w14:textId="5E7579D1" w:rsidR="003F5B52" w:rsidRDefault="00731D95" w:rsidP="008D2CFE">
            <w:pPr>
              <w:jc w:val="left"/>
            </w:pPr>
            <w:r>
              <w:t>Lower cost</w:t>
            </w:r>
          </w:p>
          <w:p w14:paraId="6BA21DAB" w14:textId="77777777" w:rsidR="00FF478D" w:rsidRDefault="00FF478D" w:rsidP="008D2CFE">
            <w:pPr>
              <w:jc w:val="left"/>
            </w:pPr>
          </w:p>
          <w:p w14:paraId="2D74DF60" w14:textId="34458F95" w:rsidR="00731D95" w:rsidRPr="009D24D4" w:rsidRDefault="00731D95" w:rsidP="008D2CFE">
            <w:pPr>
              <w:jc w:val="left"/>
            </w:pPr>
            <w:r>
              <w:t>Lower environmental</w:t>
            </w:r>
            <w:r>
              <w:rPr>
                <w:lang w:val="en-US"/>
              </w:rPr>
              <w:t xml:space="preserve"> </w:t>
            </w:r>
            <w:r>
              <w:t xml:space="preserve">footprint than hydrometallurgy </w:t>
            </w:r>
          </w:p>
        </w:tc>
        <w:tc>
          <w:tcPr>
            <w:tcW w:w="1110" w:type="pct"/>
          </w:tcPr>
          <w:p w14:paraId="1AF40DD2" w14:textId="5CDAA382" w:rsidR="00731D95" w:rsidRDefault="00731D95" w:rsidP="008D2CFE">
            <w:pPr>
              <w:jc w:val="left"/>
            </w:pPr>
            <w:r>
              <w:t xml:space="preserve">Requires clean, nonoxidized powder </w:t>
            </w:r>
          </w:p>
          <w:p w14:paraId="77AA25B7" w14:textId="77777777" w:rsidR="00731D95" w:rsidRDefault="00731D95" w:rsidP="00F70B1D"/>
        </w:tc>
      </w:tr>
    </w:tbl>
    <w:p w14:paraId="52B71502" w14:textId="77777777" w:rsidR="0056568A" w:rsidRDefault="0056568A" w:rsidP="009A215A"/>
    <w:p w14:paraId="4EBEE067" w14:textId="71DEA506" w:rsidR="000043EA" w:rsidRPr="00633EF7" w:rsidRDefault="000043EA" w:rsidP="009A215A">
      <w:pPr>
        <w:rPr>
          <w:lang w:val="nl-NL"/>
        </w:rPr>
      </w:pPr>
      <w:r w:rsidRPr="009A215A">
        <w:t>Amongst the processes mentioned above, hydrometallurgy appears as the most versatile. It can recover individual REE with high purity from heterogeneous composition feeds, containing or not large amounts of impurity</w:t>
      </w:r>
      <w:r w:rsidR="00E2177E">
        <w:rPr>
          <w:lang w:val="en-US"/>
        </w:rPr>
        <w:t xml:space="preserve">, </w:t>
      </w:r>
      <w:r w:rsidRPr="009A215A">
        <w:t>allowing</w:t>
      </w:r>
      <w:r w:rsidR="00312CE5" w:rsidRPr="009A215A">
        <w:t xml:space="preserve"> </w:t>
      </w:r>
      <w:r w:rsidRPr="009A215A">
        <w:t>REE</w:t>
      </w:r>
      <w:r w:rsidR="00BC2E81">
        <w:rPr>
          <w:lang w:val="en-US"/>
        </w:rPr>
        <w:t>s</w:t>
      </w:r>
      <w:r w:rsidRPr="009A215A">
        <w:t xml:space="preserve"> compounds in different chemical forms </w:t>
      </w:r>
      <w:r w:rsidR="000D4896">
        <w:lastRenderedPageBreak/>
        <w:fldChar w:fldCharType="begin" w:fldLock="1"/>
      </w:r>
      <w:r w:rsidR="007E0A6B">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2018)","plainTextFormattedCitation":"(Gergorić, 2018)","previouslyFormattedCitation":"(Gergorić, 2018)"},"properties":{"noteIndex":0},"schema":"https://github.com/citation-style-language/schema/raw/master/csl-citation.json"}</w:instrText>
      </w:r>
      <w:r w:rsidR="000D4896">
        <w:fldChar w:fldCharType="separate"/>
      </w:r>
      <w:r w:rsidR="000D4896" w:rsidRPr="000D4896">
        <w:rPr>
          <w:noProof/>
        </w:rPr>
        <w:t>(Gergorić, 2018)</w:t>
      </w:r>
      <w:r w:rsidR="000D4896">
        <w:fldChar w:fldCharType="end"/>
      </w:r>
      <w:r w:rsidRPr="009A215A">
        <w:t xml:space="preserve">. </w:t>
      </w:r>
      <w:r w:rsidR="00312CE5" w:rsidRPr="009A215A">
        <w:t>When c</w:t>
      </w:r>
      <w:r w:rsidRPr="009A215A">
        <w:t xml:space="preserve">ompared to pyrometallurgy, hydrometallurgy contrasts by generating less gaseous pollution, being easier to perform, and consuming less energy, although </w:t>
      </w:r>
      <w:r w:rsidR="00312CE5" w:rsidRPr="009A215A">
        <w:t>consuming</w:t>
      </w:r>
      <w:r w:rsidRPr="009A215A">
        <w:t xml:space="preserve"> higher amounts of chemicals generating wastewater that need</w:t>
      </w:r>
      <w:r w:rsidR="00312CE5" w:rsidRPr="009A215A">
        <w:t>s</w:t>
      </w:r>
      <w:r w:rsidRPr="009A215A">
        <w:t xml:space="preserve"> proper treatment to avoid environmental problems </w:t>
      </w:r>
      <w:r w:rsidR="007E0A6B">
        <w:fldChar w:fldCharType="begin" w:fldLock="1"/>
      </w:r>
      <w:r w:rsidR="007E0A6B">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2018)","manualFormatting":"(Gergorić, 2018;","plainTextFormattedCitation":"(Gergorić, 2018)","previouslyFormattedCitation":"(Gergorić, 2018)"},"properties":{"noteIndex":0},"schema":"https://github.com/citation-style-language/schema/raw/master/csl-citation.json"}</w:instrText>
      </w:r>
      <w:r w:rsidR="007E0A6B">
        <w:fldChar w:fldCharType="separate"/>
      </w:r>
      <w:r w:rsidR="007E0A6B" w:rsidRPr="007E0A6B">
        <w:rPr>
          <w:noProof/>
        </w:rPr>
        <w:t>(Gergorić, 2018</w:t>
      </w:r>
      <w:r w:rsidR="007E0A6B">
        <w:rPr>
          <w:noProof/>
          <w:lang w:val="en-US"/>
        </w:rPr>
        <w:t>;</w:t>
      </w:r>
      <w:r w:rsidR="007E0A6B">
        <w:fldChar w:fldCharType="end"/>
      </w:r>
      <w:r w:rsidR="007E0A6B">
        <w:rPr>
          <w:lang w:val="en-US"/>
        </w:rPr>
        <w:t xml:space="preserve"> </w:t>
      </w:r>
      <w:r w:rsidR="007E0A6B">
        <w:rPr>
          <w:lang w:val="en-US"/>
        </w:rPr>
        <w:fldChar w:fldCharType="begin" w:fldLock="1"/>
      </w:r>
      <w:r w:rsidR="00151E6A">
        <w:rPr>
          <w:lang w:val="en-US"/>
        </w:rPr>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2015)","manualFormatting":"Tunsu et al., 2015)","plainTextFormattedCitation":"(Tunsu et al., 2015)","previouslyFormattedCitation":"(Tunsu et al., 2015)"},"properties":{"noteIndex":0},"schema":"https://github.com/citation-style-language/schema/raw/master/csl-citation.json"}</w:instrText>
      </w:r>
      <w:r w:rsidR="007E0A6B">
        <w:rPr>
          <w:lang w:val="en-US"/>
        </w:rPr>
        <w:fldChar w:fldCharType="separate"/>
      </w:r>
      <w:r w:rsidR="007E0A6B" w:rsidRPr="007E0A6B">
        <w:rPr>
          <w:noProof/>
          <w:lang w:val="en-US"/>
        </w:rPr>
        <w:t>Tunsu et al., 2015)</w:t>
      </w:r>
      <w:r w:rsidR="007E0A6B">
        <w:rPr>
          <w:lang w:val="en-US"/>
        </w:rPr>
        <w:fldChar w:fldCharType="end"/>
      </w:r>
      <w:r w:rsidRPr="009A215A">
        <w:t xml:space="preserve">. Another property that makes hydrometallurgical routes interesting is the selective dissolution, allowing relevant metals to be targeted, leaving behind the rest </w:t>
      </w:r>
      <w:r w:rsidR="00151E6A">
        <w:fldChar w:fldCharType="begin" w:fldLock="1"/>
      </w:r>
      <w:r w:rsidR="00151E6A">
        <w:instrText>ADDIN CSL_CITATION {"citationItems":[{"id":"ITEM-1","itemData":{"DOI":"10.1016/j.hydromet.2016.01.035","ISSN":"0304386X","abstract":"Rare earth metals are essential ingredients for the development of modern industry as well as designing and developing high technology products used in our daily lives. Consequently, the worldwide demand of rare earth metals is rising quickly and predicted to surpass the supply by 40,000 tons annually. However, their availability is declining, mainly due to the export quotas imposed by the Chinese government and actions taken against illegal mining operations. This has laid emphasis to exploit and expand technologies to meet the future necessities of rare earth metals. Bastnasite, monazite, and xenotime are their chief mercantile sources, which are generally beneficiated by flotation, gravity or magnetic separation processes to get concentrates that are processed using pyro/hydrometallurgical routes. To develop feasible and eco-friendly processes, R&amp;D studies are being conducted for the extraction of rare earth metals from leached solutions (chloride, nitrate, sulfate, thiocyanate, etc.) using different cationic, anionic and solvating solvents or ions depending on material and media. Commercial extraction of rare earth metals has been carried out using different extractants viz. D2EHPA, Cyanex 272, PC 88A, Versatic 10, TBP, Aliquat 336, etc. The present paper reviews the methods used for the recovery of rare earth metals from primary as well as secondary resources, with special attention to the hydrometallurgical techniques, consisting of leaching with acids and alkalis followed by solvent extraction, ion exchange or precipitation. The piece of comparative and summarized review will be useful for the researchers to develop processes for rare earth recovery under various conditions.","author":[{"dropping-particle":"","family":"Jha","given":"Manis Kumar","non-dropping-particle":"","parse-names":false,"suffix":""},{"dropping-particle":"","family":"Kumari","given":"Archana","non-dropping-particle":"","parse-names":false,"suffix":""},{"dropping-particle":"","family":"Panda","given":"Rekha","non-dropping-particle":"","parse-names":false,"suffix":""},{"dropping-particle":"","family":"Rajesh Kumar","given":"Jyothi","non-dropping-particle":"","parse-names":false,"suffix":""},{"dropping-particle":"","family":"Yoo","given":"Kyoungkeun","non-dropping-particle":"","parse-names":false,"suffix":""},{"dropping-particle":"","family":"Lee","given":"Jin Young","non-dropping-particle":"","parse-names":false,"suffix":""}],"container-title":"Hydrometallurgy","id":"ITEM-1","issued":{"date-parts":[["2016"]]},"page":"2-26","publisher":"Elsevier B.V.","title":"Review on hydrometallurgical recovery of rare earth metals","type":"article-journal","volume":"165"},"uris":["http://www.mendeley.com/documents/?uuid=a38b1670-2a0f-4b31-bcda-c0c9172c7512"]}],"mendeley":{"formattedCitation":"(Jha et al., 2016)","plainTextFormattedCitation":"(Jha et al., 2016)","previouslyFormattedCitation":"(Jha et al., 2016)"},"properties":{"noteIndex":0},"schema":"https://github.com/citation-style-language/schema/raw/master/csl-citation.json"}</w:instrText>
      </w:r>
      <w:r w:rsidR="00151E6A">
        <w:fldChar w:fldCharType="separate"/>
      </w:r>
      <w:r w:rsidR="00151E6A" w:rsidRPr="00151E6A">
        <w:rPr>
          <w:noProof/>
        </w:rPr>
        <w:t>(Jha et al., 2016)</w:t>
      </w:r>
      <w:r w:rsidR="00151E6A">
        <w:fldChar w:fldCharType="end"/>
      </w:r>
      <w:r w:rsidRPr="009A215A">
        <w:t xml:space="preserve">.  </w:t>
      </w:r>
      <w:r w:rsidR="00151E6A">
        <w:fldChar w:fldCharType="begin" w:fldLock="1"/>
      </w:r>
      <w:r w:rsidR="00DD2D13">
        <w:instrText>ADDIN CSL_CITATION {"citationItems":[{"id":"ITEM-1","itemData":{"DOI":"10.1016/j.jclepro.2019.02.094","ISSN":"09596526","abstract":"The continuous miniaturization of modern green and advanced technologies is increasing the demand of rare earth elements (REEs). Consequently, REEs are listed as the critical metals concerning their crucial role for a clean environment. However, their resources are limited which in turn disrupt their supply chain. To tackle the supply issue and to meet future demand, there is need to exploit recycling schemes for the recovery REEs from secondary resources. This review describes comprehensively various processes developed for the separation of REEs and transition metals from secondary resources. It focuses on the hydrometallurgical route, especially solvent extraction employed to separate REEs and transition metals from potential wastes originated from different industries. The use of different commercial extractants for the recycling purposes and mechanisms involved in the extraction has been discussed in detail.","author":[{"dropping-particle":"","family":"Swain","given":"Nilam","non-dropping-particle":"","parse-names":false,"suffix":""},{"dropping-particle":"","family":"Mishra","given":"Sujata","non-dropping-particle":"","parse-names":false,"suffix":""}],"container-title":"Journal of Cleaner Production","id":"ITEM-1","issued":{"date-parts":[["2019"]]},"page":"884-898","publisher":"Elsevier Ltd","title":"A review on the recovery and separation of rare earths and transition metals from secondary resources","type":"article-journal","volume":"220"},"uris":["http://www.mendeley.com/documents/?uuid=17248aca-536c-497d-be2d-f27e4ca9c5aa"]}],"mendeley":{"formattedCitation":"(Swain &amp; Mishra, 2019)","manualFormatting":"Swain &amp; Mishra (2019)","plainTextFormattedCitation":"(Swain &amp; Mishra, 2019)","previouslyFormattedCitation":"(Swain &amp; Mishra, 2019)"},"properties":{"noteIndex":0},"schema":"https://github.com/citation-style-language/schema/raw/master/csl-citation.json"}</w:instrText>
      </w:r>
      <w:r w:rsidR="00151E6A">
        <w:fldChar w:fldCharType="separate"/>
      </w:r>
      <w:r w:rsidR="00151E6A" w:rsidRPr="00151E6A">
        <w:rPr>
          <w:noProof/>
        </w:rPr>
        <w:t>Swain &amp; Mishra</w:t>
      </w:r>
      <w:r w:rsidR="00151E6A" w:rsidRPr="00633EF7">
        <w:rPr>
          <w:noProof/>
          <w:lang w:val="nl-NL"/>
        </w:rPr>
        <w:t xml:space="preserve"> (</w:t>
      </w:r>
      <w:r w:rsidR="00151E6A" w:rsidRPr="00151E6A">
        <w:rPr>
          <w:noProof/>
        </w:rPr>
        <w:t>2019)</w:t>
      </w:r>
      <w:r w:rsidR="00151E6A">
        <w:fldChar w:fldCharType="end"/>
      </w:r>
      <w:r w:rsidR="00151E6A" w:rsidRPr="00633EF7">
        <w:rPr>
          <w:lang w:val="nl-NL"/>
        </w:rPr>
        <w:t xml:space="preserve"> </w:t>
      </w:r>
      <w:r w:rsidRPr="009A215A">
        <w:t>listed the advantages of hydrometallurgical process over pyrometallurgical processes</w:t>
      </w:r>
      <w:r w:rsidR="00193687" w:rsidRPr="00633EF7">
        <w:rPr>
          <w:lang w:val="nl-NL"/>
        </w:rPr>
        <w:t>,</w:t>
      </w:r>
      <w:r w:rsidRPr="009A215A">
        <w:t xml:space="preserve"> given in</w:t>
      </w:r>
      <w:r w:rsidR="0099689E" w:rsidRPr="00633EF7">
        <w:rPr>
          <w:lang w:val="nl-NL"/>
        </w:rPr>
        <w:t xml:space="preserve"> </w:t>
      </w:r>
      <w:r w:rsidR="0099689E">
        <w:rPr>
          <w:lang w:val="en-US"/>
        </w:rPr>
        <w:fldChar w:fldCharType="begin"/>
      </w:r>
      <w:r w:rsidR="0099689E" w:rsidRPr="00633EF7">
        <w:rPr>
          <w:lang w:val="nl-NL"/>
        </w:rPr>
        <w:instrText xml:space="preserve"> REF _Ref74761957 \h </w:instrText>
      </w:r>
      <w:r w:rsidR="0099689E">
        <w:rPr>
          <w:lang w:val="en-US"/>
        </w:rPr>
      </w:r>
      <w:r w:rsidR="0099689E">
        <w:rPr>
          <w:lang w:val="en-US"/>
        </w:rPr>
        <w:fldChar w:fldCharType="separate"/>
      </w:r>
      <w:r w:rsidR="00BC31F4">
        <w:t xml:space="preserve">Table </w:t>
      </w:r>
      <w:r w:rsidR="006765B5" w:rsidRPr="00633EF7">
        <w:rPr>
          <w:noProof/>
          <w:lang w:val="nl-NL"/>
        </w:rPr>
        <w:t>2</w:t>
      </w:r>
      <w:r w:rsidR="00BC31F4">
        <w:t>.</w:t>
      </w:r>
      <w:r w:rsidR="00BC31F4">
        <w:rPr>
          <w:noProof/>
        </w:rPr>
        <w:t>2</w:t>
      </w:r>
      <w:r w:rsidR="0099689E">
        <w:rPr>
          <w:lang w:val="en-US"/>
        </w:rPr>
        <w:fldChar w:fldCharType="end"/>
      </w:r>
      <w:r w:rsidR="006765B5" w:rsidRPr="00633EF7">
        <w:rPr>
          <w:lang w:val="nl-NL"/>
        </w:rPr>
        <w:t>:</w:t>
      </w:r>
    </w:p>
    <w:p w14:paraId="36D04F82" w14:textId="3D991342" w:rsidR="0056568A" w:rsidRDefault="0056568A" w:rsidP="0056568A">
      <w:pPr>
        <w:pStyle w:val="Caption"/>
        <w:keepNext/>
      </w:pPr>
    </w:p>
    <w:p w14:paraId="20F4909B" w14:textId="61DF83AC" w:rsidR="0099689E" w:rsidRDefault="0099689E" w:rsidP="0099689E">
      <w:pPr>
        <w:pStyle w:val="Caption"/>
        <w:keepNext/>
      </w:pPr>
      <w:bookmarkStart w:id="21" w:name="_Ref74761957"/>
      <w:bookmarkStart w:id="22" w:name="_Toc76730031"/>
      <w:r>
        <w:t xml:space="preserve">Table </w:t>
      </w:r>
      <w:r w:rsidR="00AA1459" w:rsidRPr="00FD6033">
        <w:rPr>
          <w:lang w:val="nl-NL"/>
        </w:rPr>
        <w:t>2</w:t>
      </w:r>
      <w:r w:rsidR="00C50A78">
        <w:t>.</w:t>
      </w:r>
      <w:r w:rsidR="00BE45E3">
        <w:fldChar w:fldCharType="begin"/>
      </w:r>
      <w:r w:rsidR="00BE45E3">
        <w:instrText xml:space="preserve"> SEQ Table \* </w:instrText>
      </w:r>
      <w:r w:rsidR="00BE45E3">
        <w:instrText xml:space="preserve">ARABIC \s 1 </w:instrText>
      </w:r>
      <w:r w:rsidR="00BE45E3">
        <w:fldChar w:fldCharType="separate"/>
      </w:r>
      <w:r w:rsidR="00BC31F4">
        <w:rPr>
          <w:noProof/>
        </w:rPr>
        <w:t>2</w:t>
      </w:r>
      <w:r w:rsidR="00BE45E3">
        <w:rPr>
          <w:noProof/>
        </w:rPr>
        <w:fldChar w:fldCharType="end"/>
      </w:r>
      <w:bookmarkEnd w:id="21"/>
      <w:r w:rsidRPr="00FD6033">
        <w:rPr>
          <w:lang w:val="en-US"/>
        </w:rPr>
        <w:t xml:space="preserve"> Comparison between pyrometallurgy and hyd</w:t>
      </w:r>
      <w:r w:rsidRPr="00676D4C">
        <w:rPr>
          <w:lang w:val="en-US"/>
        </w:rPr>
        <w:t>rometallurgy. Source: Swain &amp; Mishra (2019).</w:t>
      </w:r>
      <w:bookmarkEnd w:id="22"/>
    </w:p>
    <w:tbl>
      <w:tblPr>
        <w:tblStyle w:val="TableGrid"/>
        <w:tblW w:w="5000" w:type="pct"/>
        <w:tblCellMar>
          <w:left w:w="28" w:type="dxa"/>
          <w:right w:w="28" w:type="dxa"/>
        </w:tblCellMar>
        <w:tblLook w:val="04A0" w:firstRow="1" w:lastRow="0" w:firstColumn="1" w:lastColumn="0" w:noHBand="0" w:noVBand="1"/>
      </w:tblPr>
      <w:tblGrid>
        <w:gridCol w:w="5603"/>
        <w:gridCol w:w="3457"/>
      </w:tblGrid>
      <w:tr w:rsidR="008D2CFE" w14:paraId="73D21AA1" w14:textId="77777777" w:rsidTr="003A1127">
        <w:trPr>
          <w:trHeight w:val="454"/>
        </w:trPr>
        <w:tc>
          <w:tcPr>
            <w:tcW w:w="3092" w:type="pct"/>
          </w:tcPr>
          <w:p w14:paraId="0E64F838" w14:textId="196B46BC" w:rsidR="008D2CFE" w:rsidRPr="001D2B5F" w:rsidRDefault="008D2CFE" w:rsidP="003A1127">
            <w:pPr>
              <w:jc w:val="left"/>
              <w:rPr>
                <w:b/>
                <w:bCs/>
                <w:lang w:val="en-US"/>
              </w:rPr>
            </w:pPr>
            <w:r w:rsidRPr="001D2B5F">
              <w:rPr>
                <w:b/>
                <w:bCs/>
                <w:lang w:val="en-US"/>
              </w:rPr>
              <w:t>P</w:t>
            </w:r>
            <w:r w:rsidRPr="001D2B5F">
              <w:rPr>
                <w:b/>
                <w:bCs/>
              </w:rPr>
              <w:t>yrometallurgy</w:t>
            </w:r>
          </w:p>
        </w:tc>
        <w:tc>
          <w:tcPr>
            <w:tcW w:w="1908" w:type="pct"/>
          </w:tcPr>
          <w:p w14:paraId="5293312B" w14:textId="630FBCE0" w:rsidR="008D2CFE" w:rsidRPr="001D2B5F" w:rsidRDefault="008D2CFE" w:rsidP="003A1127">
            <w:pPr>
              <w:jc w:val="left"/>
              <w:rPr>
                <w:b/>
                <w:bCs/>
                <w:lang w:val="en-US"/>
              </w:rPr>
            </w:pPr>
            <w:r w:rsidRPr="001D2B5F">
              <w:rPr>
                <w:b/>
                <w:bCs/>
                <w:lang w:val="en-US"/>
              </w:rPr>
              <w:t>Hydrometallurgy</w:t>
            </w:r>
          </w:p>
        </w:tc>
      </w:tr>
      <w:tr w:rsidR="008069D3" w14:paraId="61C28AF3" w14:textId="77777777" w:rsidTr="002B2D50">
        <w:trPr>
          <w:trHeight w:val="207"/>
        </w:trPr>
        <w:tc>
          <w:tcPr>
            <w:tcW w:w="3092" w:type="pct"/>
          </w:tcPr>
          <w:p w14:paraId="4EC08B7F" w14:textId="23DA7CA2" w:rsidR="008069D3" w:rsidRDefault="008069D3" w:rsidP="008756AC">
            <w:pPr>
              <w:jc w:val="left"/>
            </w:pPr>
            <w:r>
              <w:t>Applicable to only high-grade ores</w:t>
            </w:r>
          </w:p>
        </w:tc>
        <w:tc>
          <w:tcPr>
            <w:tcW w:w="1908" w:type="pct"/>
          </w:tcPr>
          <w:p w14:paraId="4BB45F8D" w14:textId="59B04134" w:rsidR="008069D3" w:rsidRPr="00A0538C" w:rsidRDefault="008069D3" w:rsidP="008756AC">
            <w:pPr>
              <w:jc w:val="left"/>
            </w:pPr>
            <w:r>
              <w:t>Applicable to both high and low</w:t>
            </w:r>
            <w:r w:rsidR="003B7C10">
              <w:rPr>
                <w:lang w:val="en-US"/>
              </w:rPr>
              <w:t xml:space="preserve"> </w:t>
            </w:r>
            <w:r>
              <w:t>grade ores</w:t>
            </w:r>
          </w:p>
        </w:tc>
      </w:tr>
      <w:tr w:rsidR="000A139C" w14:paraId="1A3A3F31" w14:textId="77777777" w:rsidTr="002B2D50">
        <w:tc>
          <w:tcPr>
            <w:tcW w:w="3092" w:type="pct"/>
          </w:tcPr>
          <w:p w14:paraId="57CAA469" w14:textId="7FAC425E" w:rsidR="000A139C" w:rsidRPr="008069D3" w:rsidRDefault="000A139C" w:rsidP="008756AC">
            <w:pPr>
              <w:jc w:val="left"/>
            </w:pPr>
            <w:r>
              <w:t>Oxidized alloys are dif</w:t>
            </w:r>
            <w:r>
              <w:rPr>
                <w:rFonts w:ascii="AdvOT863180fb+fb" w:hAnsi="AdvOT863180fb+fb"/>
              </w:rPr>
              <w:t>fi</w:t>
            </w:r>
            <w:r>
              <w:t>cult to be processed in some of the treatments like direct melting and liquid metal extraction</w:t>
            </w:r>
          </w:p>
        </w:tc>
        <w:tc>
          <w:tcPr>
            <w:tcW w:w="1908" w:type="pct"/>
          </w:tcPr>
          <w:p w14:paraId="69C682BF" w14:textId="77777777" w:rsidR="000A139C" w:rsidRDefault="000A139C" w:rsidP="008756AC">
            <w:pPr>
              <w:jc w:val="left"/>
            </w:pPr>
            <w:r>
              <w:t>Both oxidized and non-oxidized alloys could be processed</w:t>
            </w:r>
          </w:p>
          <w:p w14:paraId="141239A6" w14:textId="77777777" w:rsidR="000A139C" w:rsidRDefault="000A139C" w:rsidP="008756AC">
            <w:pPr>
              <w:jc w:val="left"/>
            </w:pPr>
          </w:p>
        </w:tc>
      </w:tr>
      <w:tr w:rsidR="00953F93" w14:paraId="57E365B7" w14:textId="77777777" w:rsidTr="002B2D50">
        <w:tc>
          <w:tcPr>
            <w:tcW w:w="3092" w:type="pct"/>
          </w:tcPr>
          <w:p w14:paraId="13B222D0" w14:textId="43AE8B51" w:rsidR="00953F93" w:rsidRPr="003A7DE8" w:rsidRDefault="003A7DE8" w:rsidP="008756AC">
            <w:pPr>
              <w:jc w:val="left"/>
            </w:pPr>
            <w:r>
              <w:t>Requires high energy</w:t>
            </w:r>
          </w:p>
        </w:tc>
        <w:tc>
          <w:tcPr>
            <w:tcW w:w="1908" w:type="pct"/>
          </w:tcPr>
          <w:p w14:paraId="33EE4BEC" w14:textId="30ECB745" w:rsidR="00953F93" w:rsidRPr="003A7DE8" w:rsidRDefault="003A7DE8" w:rsidP="008756AC">
            <w:pPr>
              <w:jc w:val="left"/>
            </w:pPr>
            <w:r>
              <w:t>Requires less energy</w:t>
            </w:r>
          </w:p>
        </w:tc>
      </w:tr>
      <w:tr w:rsidR="00953F93" w14:paraId="7B57E6D8" w14:textId="77777777" w:rsidTr="002B2D50">
        <w:tc>
          <w:tcPr>
            <w:tcW w:w="3092" w:type="pct"/>
          </w:tcPr>
          <w:p w14:paraId="49C1F42C" w14:textId="43FC9F1B" w:rsidR="00953F93" w:rsidRPr="003A7DE8" w:rsidRDefault="003A7DE8" w:rsidP="008756AC">
            <w:pPr>
              <w:jc w:val="left"/>
            </w:pPr>
            <w:r>
              <w:t>The end products need additional processing to obtain pure REEs (ex. Electro slag re</w:t>
            </w:r>
            <w:r>
              <w:rPr>
                <w:rFonts w:ascii="AdvOT863180fb+fb" w:hAnsi="AdvOT863180fb+fb"/>
              </w:rPr>
              <w:t>fi</w:t>
            </w:r>
            <w:r>
              <w:t xml:space="preserve">ning) </w:t>
            </w:r>
          </w:p>
        </w:tc>
        <w:tc>
          <w:tcPr>
            <w:tcW w:w="1908" w:type="pct"/>
          </w:tcPr>
          <w:p w14:paraId="30C11BE5" w14:textId="1EB6BF14" w:rsidR="00953F93" w:rsidRPr="003A7DE8" w:rsidRDefault="003A7DE8" w:rsidP="008756AC">
            <w:pPr>
              <w:jc w:val="left"/>
            </w:pPr>
            <w:r>
              <w:t xml:space="preserve">No need of additional processing </w:t>
            </w:r>
          </w:p>
        </w:tc>
      </w:tr>
      <w:tr w:rsidR="00953F93" w14:paraId="2288E9AB" w14:textId="77777777" w:rsidTr="002B2D50">
        <w:tc>
          <w:tcPr>
            <w:tcW w:w="3092" w:type="pct"/>
          </w:tcPr>
          <w:p w14:paraId="763FF7AF" w14:textId="6A7326AE" w:rsidR="00953F93" w:rsidRPr="003A7DE8" w:rsidRDefault="003A7DE8" w:rsidP="008756AC">
            <w:pPr>
              <w:jc w:val="left"/>
            </w:pPr>
            <w:r>
              <w:t>Cause air pollution</w:t>
            </w:r>
          </w:p>
        </w:tc>
        <w:tc>
          <w:tcPr>
            <w:tcW w:w="1908" w:type="pct"/>
          </w:tcPr>
          <w:p w14:paraId="0F0DE14C" w14:textId="32BCF324" w:rsidR="00953F93" w:rsidRPr="003A7DE8" w:rsidRDefault="003A7DE8" w:rsidP="008756AC">
            <w:pPr>
              <w:jc w:val="left"/>
            </w:pPr>
            <w:r>
              <w:t>Less air pollution</w:t>
            </w:r>
          </w:p>
        </w:tc>
      </w:tr>
      <w:tr w:rsidR="00953F93" w14:paraId="7486CA80" w14:textId="77777777" w:rsidTr="002B2D50">
        <w:tc>
          <w:tcPr>
            <w:tcW w:w="3092" w:type="pct"/>
          </w:tcPr>
          <w:p w14:paraId="7978FC6A" w14:textId="03941644" w:rsidR="00953F93" w:rsidRPr="003A7DE8" w:rsidRDefault="003A7DE8" w:rsidP="008756AC">
            <w:pPr>
              <w:jc w:val="left"/>
            </w:pPr>
            <w:r>
              <w:t>Leaching is dif</w:t>
            </w:r>
            <w:r>
              <w:rPr>
                <w:rFonts w:ascii="AdvOT863180fb+fb" w:hAnsi="AdvOT863180fb+fb"/>
              </w:rPr>
              <w:t>fi</w:t>
            </w:r>
            <w:r>
              <w:t xml:space="preserve">cult. </w:t>
            </w:r>
          </w:p>
        </w:tc>
        <w:tc>
          <w:tcPr>
            <w:tcW w:w="1908" w:type="pct"/>
          </w:tcPr>
          <w:p w14:paraId="317870A9" w14:textId="558F047E" w:rsidR="00953F93" w:rsidRPr="003A7DE8" w:rsidRDefault="003A7DE8" w:rsidP="008756AC">
            <w:pPr>
              <w:jc w:val="left"/>
            </w:pPr>
            <w:r>
              <w:t xml:space="preserve">Leaching is easier </w:t>
            </w:r>
          </w:p>
        </w:tc>
      </w:tr>
    </w:tbl>
    <w:p w14:paraId="5C9FC07C" w14:textId="77777777" w:rsidR="00E2177E" w:rsidRDefault="00E2177E" w:rsidP="009A215A"/>
    <w:p w14:paraId="190C8878" w14:textId="70D6CDDF" w:rsidR="00E910F2" w:rsidRDefault="00F255CF" w:rsidP="009A215A">
      <w:pPr>
        <w:rPr>
          <w:lang w:val="en-US"/>
        </w:rPr>
      </w:pPr>
      <w:r w:rsidRPr="009A215A">
        <w:t>The choice for a possible treatment method depends on the nature of the EOL stream to be processed along with its chemical complexity and REE</w:t>
      </w:r>
      <w:r w:rsidR="00BC2E81">
        <w:rPr>
          <w:lang w:val="en-US"/>
        </w:rPr>
        <w:t>s</w:t>
      </w:r>
      <w:r w:rsidRPr="009A215A">
        <w:t xml:space="preserve"> content </w:t>
      </w:r>
      <w:r w:rsidR="00DD2D13">
        <w:fldChar w:fldCharType="begin" w:fldLock="1"/>
      </w:r>
      <w:r w:rsidR="009701AA">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DD2D13">
        <w:fldChar w:fldCharType="separate"/>
      </w:r>
      <w:r w:rsidR="00DD2D13" w:rsidRPr="00DD2D13">
        <w:rPr>
          <w:noProof/>
        </w:rPr>
        <w:t>(Tunsu et al., 2015)</w:t>
      </w:r>
      <w:r w:rsidR="00DD2D13">
        <w:fldChar w:fldCharType="end"/>
      </w:r>
      <w:r w:rsidR="00DD2D13">
        <w:rPr>
          <w:lang w:val="en-US"/>
        </w:rPr>
        <w:t xml:space="preserve">. </w:t>
      </w:r>
      <w:r w:rsidRPr="009A215A">
        <w:t xml:space="preserve">In this context, pyrometallurgy is </w:t>
      </w:r>
      <w:r w:rsidR="00786CD7">
        <w:rPr>
          <w:lang w:val="en-US"/>
        </w:rPr>
        <w:t>preferred</w:t>
      </w:r>
      <w:r w:rsidRPr="009A215A">
        <w:t xml:space="preserve"> in the processing of high-grade ores, which compensates for the process's high energy requirements. Moreover, pyrometallurgy is more appropriated to treat greater amounts of materials </w:t>
      </w:r>
      <w:r w:rsidR="009701AA">
        <w:fldChar w:fldCharType="begin" w:fldLock="1"/>
      </w:r>
      <w:r w:rsidR="009701AA">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9701AA">
        <w:fldChar w:fldCharType="separate"/>
      </w:r>
      <w:r w:rsidR="009701AA" w:rsidRPr="009701AA">
        <w:rPr>
          <w:noProof/>
        </w:rPr>
        <w:t>(Tunsu et al., 2015)</w:t>
      </w:r>
      <w:r w:rsidR="009701AA">
        <w:fldChar w:fldCharType="end"/>
      </w:r>
      <w:r w:rsidR="009701AA">
        <w:rPr>
          <w:lang w:val="en-US"/>
        </w:rPr>
        <w:t>.</w:t>
      </w:r>
      <w:r w:rsidRPr="009A215A">
        <w:t xml:space="preserve"> Hydrometallurgy, for instance, is preferred to treat lower-grade ores from complex and contaminated streams, resulting in high product purity </w:t>
      </w:r>
      <w:r w:rsidR="009701AA">
        <w:fldChar w:fldCharType="begin" w:fldLock="1"/>
      </w:r>
      <w:r w:rsidR="00256294">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9701AA">
        <w:fldChar w:fldCharType="separate"/>
      </w:r>
      <w:r w:rsidR="009701AA" w:rsidRPr="009701AA">
        <w:rPr>
          <w:noProof/>
        </w:rPr>
        <w:t>(Tunsu et al., 2015)</w:t>
      </w:r>
      <w:r w:rsidR="009701AA">
        <w:fldChar w:fldCharType="end"/>
      </w:r>
      <w:r w:rsidRPr="009A215A">
        <w:t>.</w:t>
      </w:r>
      <w:r w:rsidR="00AB575E">
        <w:rPr>
          <w:lang w:val="en-US"/>
        </w:rPr>
        <w:t xml:space="preserve"> </w:t>
      </w:r>
    </w:p>
    <w:p w14:paraId="6ABACDAD" w14:textId="77777777" w:rsidR="00E910F2" w:rsidRDefault="00E910F2" w:rsidP="009A215A">
      <w:pPr>
        <w:rPr>
          <w:lang w:val="en-US"/>
        </w:rPr>
      </w:pPr>
    </w:p>
    <w:p w14:paraId="10C89F0F" w14:textId="509F1281" w:rsidR="00F255CF" w:rsidRPr="00B61EE1" w:rsidRDefault="00AB575E" w:rsidP="009A215A">
      <w:r>
        <w:rPr>
          <w:lang w:val="en-US"/>
        </w:rPr>
        <w:t>For the sake of consistence with the</w:t>
      </w:r>
      <w:r w:rsidR="001A1C25" w:rsidRPr="009A215A">
        <w:t xml:space="preserve"> </w:t>
      </w:r>
      <w:r>
        <w:rPr>
          <w:lang w:val="en-US"/>
        </w:rPr>
        <w:t xml:space="preserve">goal of </w:t>
      </w:r>
      <w:r w:rsidR="00F255CF" w:rsidRPr="009A215A">
        <w:t>this work, this literature review will focus from now on hydrometallurgy only.</w:t>
      </w:r>
    </w:p>
    <w:p w14:paraId="1094C9C2" w14:textId="4C4302F9" w:rsidR="00675315" w:rsidRDefault="00675315" w:rsidP="00F92ED7">
      <w:pPr>
        <w:pStyle w:val="Heading3"/>
      </w:pPr>
      <w:bookmarkStart w:id="23" w:name="_Toc76752263"/>
      <w:r>
        <w:lastRenderedPageBreak/>
        <w:t>Hydrometallurgy for REE</w:t>
      </w:r>
      <w:r w:rsidR="00BC2E81">
        <w:t>s</w:t>
      </w:r>
      <w:r>
        <w:t xml:space="preserve"> recovery</w:t>
      </w:r>
      <w:bookmarkEnd w:id="23"/>
      <w:r>
        <w:t xml:space="preserve"> </w:t>
      </w:r>
    </w:p>
    <w:p w14:paraId="5CD03243" w14:textId="3CCE532A" w:rsidR="00846291" w:rsidRPr="00675315" w:rsidRDefault="00846291" w:rsidP="00BB0E40"/>
    <w:p w14:paraId="23083C3E" w14:textId="34D29A7E" w:rsidR="001A1C25" w:rsidRPr="00256294" w:rsidRDefault="00F255CF" w:rsidP="009A215A">
      <w:pPr>
        <w:rPr>
          <w:lang w:val="en-US"/>
        </w:rPr>
      </w:pPr>
      <w:r w:rsidRPr="009A215A">
        <w:t>Hydrometallurgical treatment and REE</w:t>
      </w:r>
      <w:r w:rsidR="00BC2E81">
        <w:rPr>
          <w:lang w:val="en-US"/>
        </w:rPr>
        <w:t>s</w:t>
      </w:r>
      <w:r w:rsidRPr="009A215A">
        <w:t xml:space="preserve"> recovery from Nd magnets involve two major steps: leaching and precipitation or solvent extraction </w:t>
      </w:r>
      <w:r w:rsidR="00256294">
        <w:fldChar w:fldCharType="begin" w:fldLock="1"/>
      </w:r>
      <w:r w:rsidR="00256294">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2018)","plainTextFormattedCitation":"(Tunsu, 2018)","previouslyFormattedCitation":"(Tunsu, 2018)"},"properties":{"noteIndex":0},"schema":"https://github.com/citation-style-language/schema/raw/master/csl-citation.json"}</w:instrText>
      </w:r>
      <w:r w:rsidR="00256294">
        <w:fldChar w:fldCharType="separate"/>
      </w:r>
      <w:r w:rsidR="00256294" w:rsidRPr="00256294">
        <w:rPr>
          <w:noProof/>
        </w:rPr>
        <w:t>(Tunsu, 2018)</w:t>
      </w:r>
      <w:r w:rsidR="00256294">
        <w:fldChar w:fldCharType="end"/>
      </w:r>
      <w:r w:rsidR="00256294">
        <w:rPr>
          <w:lang w:val="en-US"/>
        </w:rPr>
        <w:t xml:space="preserve">. </w:t>
      </w:r>
      <w:r w:rsidRPr="009A215A">
        <w:t xml:space="preserve">Literature has reported other methods for the latter phase, such as ion-exchange </w:t>
      </w:r>
      <w:r w:rsidR="00256294">
        <w:fldChar w:fldCharType="begin" w:fldLock="1"/>
      </w:r>
      <w:r w:rsidR="00256294">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256294">
        <w:fldChar w:fldCharType="separate"/>
      </w:r>
      <w:r w:rsidR="00256294" w:rsidRPr="00256294">
        <w:rPr>
          <w:noProof/>
        </w:rPr>
        <w:t>(Tunsu et al., 2015)</w:t>
      </w:r>
      <w:r w:rsidR="00256294">
        <w:fldChar w:fldCharType="end"/>
      </w:r>
      <w:r w:rsidRPr="009A215A">
        <w:t xml:space="preserve">, and electrowinning </w:t>
      </w:r>
      <w:r w:rsidR="00256294">
        <w:fldChar w:fldCharType="begin" w:fldLock="1"/>
      </w:r>
      <w:r w:rsidR="00AD1724">
        <w:instrText>ADDIN CSL_CITATION {"citationItems":[{"id":"ITEM-1","itemData":{"DOI":"10.1007/s11356-020-09630-2","ISSN":"16147499","PMID":"32617815","abstract":"The demand for rare earth elements (REEs) has significantly increased due to their indispensable uses in integrated circuits of modern technology. However, due to the extensive use of high-tech applications in our daily life and the depletion of their primary ores, REE’s recovery from secondary sources is today needed. REEs have now attracted attention to policymakers and scientists to develop novel recovery technologies for materials’ supply sustainability. This paper summarizes the recent progress for the recovery of REEs using various emerging technologies such as bioleaching, biosorption, cryo-milling, electrochemical processes and nanomaterials, siderophores, hydrometallurgy, pyrometallurgy, and supercritical CO2. The challenges facing this recovery are discussed comprehensively and some possible improvements are presented. This work also highlights the economic and engineering aspects of the recovery of REE from waste electrical and electronic equipment (WEEE). Finally, this review suggests that greener and low chemical consuming technologies, such as siderophores and electrochemical processes, are promising for the recovery of REEs present in small quantities. These technologies present also a potential for large-scale application.","author":[{"dropping-particle":"","family":"Ambaye","given":"Teklit Gebregiorgis","non-dropping-particle":"","parse-names":false,"suffix":""},{"dropping-particle":"","family":"Vaccari","given":"Mentore","non-dropping-particle":"","parse-names":false,"suffix":""},{"dropping-particle":"","family":"Castro","given":"Francine Duarte","non-dropping-particle":"","parse-names":false,"suffix":""},{"dropping-particle":"","family":"Prasad","given":"Shiv","non-dropping-particle":"","parse-names":false,"suffix":""},{"dropping-particle":"","family":"Rtimi","given":"Sami","non-dropping-particle":"","parse-names":false,"suffix":""}],"container-title":"Environmental Science and Pollution Research","id":"ITEM-1","issue":"29","issued":{"date-parts":[["2020"]]},"page":"36052-36074","publisher":"Environmental Science and Pollution Research","title":"Emerging technologies for the recovery of rare earth elements (REEs) from the end-of-life electronic wastes: a review on progress, challenges, and perspectives","type":"article-journal","volume":"27"},"uris":["http://www.mendeley.com/documents/?uuid=715d054f-b6aa-4987-a4c7-5c34b08b50b7"]}],"mendeley":{"formattedCitation":"(Ambaye et al., 2020)","plainTextFormattedCitation":"(Ambaye et al., 2020)","previouslyFormattedCitation":"(Ambaye et al., 2020)"},"properties":{"noteIndex":0},"schema":"https://github.com/citation-style-language/schema/raw/master/csl-citation.json"}</w:instrText>
      </w:r>
      <w:r w:rsidR="00256294">
        <w:fldChar w:fldCharType="separate"/>
      </w:r>
      <w:r w:rsidR="00256294" w:rsidRPr="00256294">
        <w:rPr>
          <w:noProof/>
        </w:rPr>
        <w:t>(Ambaye et al., 2020)</w:t>
      </w:r>
      <w:r w:rsidR="00256294">
        <w:fldChar w:fldCharType="end"/>
      </w:r>
      <w:r w:rsidR="00256294">
        <w:rPr>
          <w:lang w:val="en-US"/>
        </w:rPr>
        <w:t xml:space="preserve">. </w:t>
      </w:r>
    </w:p>
    <w:p w14:paraId="13C58288" w14:textId="77777777" w:rsidR="001A1C25" w:rsidRPr="009A215A" w:rsidRDefault="001A1C25" w:rsidP="009A215A"/>
    <w:p w14:paraId="344480EB" w14:textId="07CCFD27" w:rsidR="00382873" w:rsidRPr="009A215A" w:rsidRDefault="00F255CF" w:rsidP="009A215A">
      <w:r w:rsidRPr="009A215A">
        <w:t>Leaching is a dissolution process, which the main goal is to completely transfer REE</w:t>
      </w:r>
      <w:r w:rsidR="00BC2E81">
        <w:rPr>
          <w:lang w:val="en-US"/>
        </w:rPr>
        <w:t>s</w:t>
      </w:r>
      <w:r w:rsidRPr="009A215A">
        <w:t xml:space="preserve"> into the aqueous solution. There are two leaching modalities, selective and non-selective leaching. Non-selective leaching promotes the total leaching of metals in solution, whereas selective leaching allows for targeted leaching, avoiding the dissolution of unwanted metal, particularly </w:t>
      </w:r>
      <w:r w:rsidR="008C5F3C" w:rsidRPr="0043415A">
        <w:rPr>
          <w:lang w:val="en-US"/>
        </w:rPr>
        <w:t>iron (</w:t>
      </w:r>
      <w:r w:rsidR="00E97B98" w:rsidRPr="0043415A">
        <w:t>Fe</w:t>
      </w:r>
      <w:r w:rsidR="008C5F3C" w:rsidRPr="0043415A">
        <w:rPr>
          <w:lang w:val="en-US"/>
        </w:rPr>
        <w:t>)</w:t>
      </w:r>
      <w:r w:rsidRPr="009A215A">
        <w:t xml:space="preserve"> </w:t>
      </w:r>
      <w:r w:rsidR="00AD1724">
        <w:fldChar w:fldCharType="begin" w:fldLock="1"/>
      </w:r>
      <w:r w:rsidR="00AD1724">
        <w:instrText>ADDIN CSL_CITATION {"citationItems":[{"id":"ITEM-1","itemData":{"DOI":"10.1080/08827508.2019.1692010","ISSN":"15477401","abstract":"Waste electrical and electronic equipments (WEEE or e-waste) are an important source for rare earth elements (REEs). Among various type of WEEE, NdFeB magnets are known for their high content of neodymium (Nd) and dysprosium (Dy). Recovery of REEs from NdFeB magnets is of prime interest for the industry to meet the ever-growing demand for REEs. In this study, some physical and hydrometallurgical approaches including demagnetization, grinding, screening, leaching, precipitation and extraction have been adopted to study the Nd and Dy recovery from spent NdFeB magnets. Various inorganic (HCl, HNO₃, H₂SO₄ and aqua regia) and organic reagents (acetic acid and oxalic acid) were tested as lixiviants for leaching of the magnets. As a new approach, the recovery of Nd and Dy in the leaching solution was tested by eliminating the iron by a solution purification process involving precipitation of ferric iron in solution as hydroxide and solvent extraction with ionic liquids (ILs). The comparative studies demonstrated that the extraction efficiency of di-2-ethylhexyl phosphoric acid (D2EHPA) was higher than trihexyltetradecylphosphonium chloride (CYPHOS® IL101) after leaching stage. Nd and Dy were successfully extracted with complete recovery from the optimized system.","author":[{"dropping-particle":"","family":"Erust","given":"C.","non-dropping-particle":"","parse-names":false,"suffix":""},{"dropping-particle":"","family":"Akcil","given":"A.","non-dropping-particle":"","parse-names":false,"suffix":""},{"dropping-particle":"","family":"Tuncuk","given":"A.","non-dropping-particle":"","parse-names":false,"suffix":""},{"dropping-particle":"","family":"Deveci","given":"H.","non-dropping-particle":"","parse-names":false,"suffix":""},{"dropping-particle":"","family":"Yazici","given":"E. Y.","non-dropping-particle":"","parse-names":false,"suffix":""}],"container-title":"Mineral Processing and Extractive Metallurgy Review","id":"ITEM-1","issue":"2","issued":{"date-parts":[["2021"]]},"page":"90-101","publisher":"Taylor &amp; Francis","title":"A Multi-stage Process for Recovery of Neodymium (Nd) and Dysprosium (Dy) from Spent Hard Disc Drives (HDDs)","type":"article-journal","volume":"42"},"uris":["http://www.mendeley.com/documents/?uuid=0b13a3c1-bb3a-470f-8419-6afaf2d26909"]}],"mendeley":{"formattedCitation":"(Erust et al., 2021)","manualFormatting":"(Erust et al., 2021","plainTextFormattedCitation":"(Erust et al., 2021)","previouslyFormattedCitation":"(Erust et al., 2021)"},"properties":{"noteIndex":0},"schema":"https://github.com/citation-style-language/schema/raw/master/csl-citation.json"}</w:instrText>
      </w:r>
      <w:r w:rsidR="00AD1724">
        <w:fldChar w:fldCharType="separate"/>
      </w:r>
      <w:r w:rsidR="00AD1724" w:rsidRPr="00AD1724">
        <w:rPr>
          <w:noProof/>
        </w:rPr>
        <w:t>(Erust et al., 2021</w:t>
      </w:r>
      <w:r w:rsidR="00AD1724">
        <w:fldChar w:fldCharType="end"/>
      </w:r>
      <w:r w:rsidRPr="009A215A">
        <w:t xml:space="preserve">; </w:t>
      </w:r>
      <w:r w:rsidR="00AD1724">
        <w:fldChar w:fldCharType="begin" w:fldLock="1"/>
      </w:r>
      <w:r w:rsidR="00BD4017">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2018)","manualFormatting":"Tunsu, 2018)","plainTextFormattedCitation":"(Tunsu, 2018)","previouslyFormattedCitation":"(Tunsu, 2018)"},"properties":{"noteIndex":0},"schema":"https://github.com/citation-style-language/schema/raw/master/csl-citation.json"}</w:instrText>
      </w:r>
      <w:r w:rsidR="00AD1724">
        <w:fldChar w:fldCharType="separate"/>
      </w:r>
      <w:r w:rsidR="00AD1724" w:rsidRPr="00AD1724">
        <w:rPr>
          <w:noProof/>
        </w:rPr>
        <w:t>Tunsu, 2018)</w:t>
      </w:r>
      <w:r w:rsidR="00AD1724">
        <w:fldChar w:fldCharType="end"/>
      </w:r>
      <w:r w:rsidRPr="009A215A">
        <w:t>. Usually, co-leaching of Fe and other elements (</w:t>
      </w:r>
      <w:r w:rsidRPr="0043415A">
        <w:t>B, Co, and Ni)</w:t>
      </w:r>
      <w:r w:rsidRPr="009A215A">
        <w:t xml:space="preserve"> poses a threat to further purification, making selective leaching preferable </w:t>
      </w:r>
      <w:r w:rsidR="00BD4017">
        <w:fldChar w:fldCharType="begin" w:fldLock="1"/>
      </w:r>
      <w:r w:rsidR="00853CF6">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2018)","plainTextFormattedCitation":"(Gergorić, 2018)","previouslyFormattedCitation":"(Gergorić, 2018)"},"properties":{"noteIndex":0},"schema":"https://github.com/citation-style-language/schema/raw/master/csl-citation.json"}</w:instrText>
      </w:r>
      <w:r w:rsidR="00BD4017">
        <w:fldChar w:fldCharType="separate"/>
      </w:r>
      <w:r w:rsidR="00BD4017" w:rsidRPr="00BD4017">
        <w:rPr>
          <w:noProof/>
        </w:rPr>
        <w:t>(Gergorić, 2018)</w:t>
      </w:r>
      <w:r w:rsidR="00BD4017">
        <w:fldChar w:fldCharType="end"/>
      </w:r>
      <w:r w:rsidR="00BD4017" w:rsidRPr="009E6D77">
        <w:rPr>
          <w:lang w:val="nl-NL"/>
        </w:rPr>
        <w:t>.</w:t>
      </w:r>
      <w:r w:rsidR="00E97B98" w:rsidRPr="009A215A">
        <w:t xml:space="preserve"> </w:t>
      </w:r>
      <w:r w:rsidRPr="009A215A">
        <w:t xml:space="preserve">Selective leaching can be strategically reached using the Pourbaix diagram, which describes the relative stability of chemical species present in the same aqueous environment, the leaching solution. </w:t>
      </w:r>
    </w:p>
    <w:p w14:paraId="395F818B" w14:textId="77777777" w:rsidR="00382873" w:rsidRPr="009A215A" w:rsidRDefault="00382873" w:rsidP="009A215A"/>
    <w:p w14:paraId="2C7AD61C" w14:textId="1CFD9F51" w:rsidR="00F255CF" w:rsidRPr="004A14E8" w:rsidRDefault="00F255CF" w:rsidP="009A215A">
      <w:pPr>
        <w:rPr>
          <w:lang w:val="en-US"/>
        </w:rPr>
      </w:pPr>
      <w:r w:rsidRPr="009A215A">
        <w:t>There have been reported in literature several leaching solutions use</w:t>
      </w:r>
      <w:r w:rsidR="00193687">
        <w:rPr>
          <w:lang w:val="en-US"/>
        </w:rPr>
        <w:t>d</w:t>
      </w:r>
      <w:r w:rsidRPr="009A215A">
        <w:t xml:space="preserve"> for NdFeB magnet recovery. Leaching solution</w:t>
      </w:r>
      <w:r w:rsidR="00193687">
        <w:rPr>
          <w:lang w:val="en-US"/>
        </w:rPr>
        <w:t>s</w:t>
      </w:r>
      <w:r w:rsidRPr="009A215A">
        <w:t xml:space="preserve"> can be grouped into inorganic acids (strong) and organic acids (weak). The use of inorganic acids is commonly reported and is shown to be very efficient. Solutions of </w:t>
      </w:r>
      <w:r w:rsidRPr="0043415A">
        <w:t>H2SO4, HCL, HF, and HNO3</w:t>
      </w:r>
      <w:r w:rsidRPr="009A215A">
        <w:t xml:space="preserve"> and mixes of them are mostly used </w:t>
      </w:r>
      <w:r w:rsidR="00853CF6">
        <w:fldChar w:fldCharType="begin" w:fldLock="1"/>
      </w:r>
      <w:r w:rsidR="00853CF6">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2018)","manualFormatting":"(Gergorić, 2018;","plainTextFormattedCitation":"(Gergorić, 2018)","previouslyFormattedCitation":"(Gergorić, 2018)"},"properties":{"noteIndex":0},"schema":"https://github.com/citation-style-language/schema/raw/master/csl-citation.json"}</w:instrText>
      </w:r>
      <w:r w:rsidR="00853CF6">
        <w:fldChar w:fldCharType="separate"/>
      </w:r>
      <w:r w:rsidR="00853CF6" w:rsidRPr="00853CF6">
        <w:rPr>
          <w:noProof/>
        </w:rPr>
        <w:t>(Gergorić, 2018</w:t>
      </w:r>
      <w:r w:rsidR="00853CF6">
        <w:rPr>
          <w:noProof/>
          <w:lang w:val="en-US"/>
        </w:rPr>
        <w:t>;</w:t>
      </w:r>
      <w:r w:rsidR="00853CF6">
        <w:fldChar w:fldCharType="end"/>
      </w:r>
      <w:r w:rsidR="00853CF6">
        <w:rPr>
          <w:lang w:val="en-US"/>
        </w:rPr>
        <w:t xml:space="preserve"> </w:t>
      </w:r>
      <w:r w:rsidR="00853CF6">
        <w:rPr>
          <w:lang w:val="en-US"/>
        </w:rPr>
        <w:fldChar w:fldCharType="begin" w:fldLock="1"/>
      </w:r>
      <w:r w:rsidR="00853CF6">
        <w:rPr>
          <w:lang w:val="en-US"/>
        </w:rPr>
        <w:instrText>ADDIN CSL_CITATION {"citationItems":[{"id":"ITEM-1","itemData":{"DOI":"10.1016/j.hydromet.2016.01.035","ISSN":"0304386X","abstract":"Rare earth metals are essential ingredients for the development of modern industry as well as designing and developing high technology products used in our daily lives. Consequently, the worldwide demand of rare earth metals is rising quickly and predicted to surpass the supply by 40,000 tons annually. However, their availability is declining, mainly due to the export quotas imposed by the Chinese government and actions taken against illegal mining operations. This has laid emphasis to exploit and expand technologies to meet the future necessities of rare earth metals. Bastnasite, monazite, and xenotime are their chief mercantile sources, which are generally beneficiated by flotation, gravity or magnetic separation processes to get concentrates that are processed using pyro/hydrometallurgical routes. To develop feasible and eco-friendly processes, R&amp;D studies are being conducted for the extraction of rare earth metals from leached solutions (chloride, nitrate, sulfate, thiocyanate, etc.) using different cationic, anionic and solvating solvents or ions depending on material and media. Commercial extraction of rare earth metals has been carried out using different extractants viz. D2EHPA, Cyanex 272, PC 88A, Versatic 10, TBP, Aliquat 336, etc. The present paper reviews the methods used for the recovery of rare earth metals from primary as well as secondary resources, with special attention to the hydrometallurgical techniques, consisting of leaching with acids and alkalis followed by solvent extraction, ion exchange or precipitation. The piece of comparative and summarized review will be useful for the researchers to develop processes for rare earth recovery under various conditions.","author":[{"dropping-particle":"","family":"Jha","given":"Manis Kumar","non-dropping-particle":"","parse-names":false,"suffix":""},{"dropping-particle":"","family":"Kumari","given":"Archana","non-dropping-particle":"","parse-names":false,"suffix":""},{"dropping-particle":"","family":"Panda","given":"Rekha","non-dropping-particle":"","parse-names":false,"suffix":""},{"dropping-particle":"","family":"Rajesh Kumar","given":"Jyothi","non-dropping-particle":"","parse-names":false,"suffix":""},{"dropping-particle":"","family":"Yoo","given":"Kyoungkeun","non-dropping-particle":"","parse-names":false,"suffix":""},{"dropping-particle":"","family":"Lee","given":"Jin Young","non-dropping-particle":"","parse-names":false,"suffix":""}],"container-title":"Hydrometallurgy","id":"ITEM-1","issued":{"date-parts":[["2016"]]},"page":"2-26","publisher":"Elsevier B.V.","title":"Review on hydrometallurgical recovery of rare earth metals","type":"article-journal","volume":"165"},"uris":["http://www.mendeley.com/documents/?uuid=a38b1670-2a0f-4b31-bcda-c0c9172c7512"]}],"mendeley":{"formattedCitation":"(Jha et al., 2016)","manualFormatting":"Jha et al., 2016)","plainTextFormattedCitation":"(Jha et al., 2016)","previouslyFormattedCitation":"(Jha et al., 2016)"},"properties":{"noteIndex":0},"schema":"https://github.com/citation-style-language/schema/raw/master/csl-citation.json"}</w:instrText>
      </w:r>
      <w:r w:rsidR="00853CF6">
        <w:rPr>
          <w:lang w:val="en-US"/>
        </w:rPr>
        <w:fldChar w:fldCharType="separate"/>
      </w:r>
      <w:r w:rsidR="00853CF6" w:rsidRPr="00853CF6">
        <w:rPr>
          <w:noProof/>
          <w:lang w:val="en-US"/>
        </w:rPr>
        <w:t>Jha et al., 2016)</w:t>
      </w:r>
      <w:r w:rsidR="00853CF6">
        <w:rPr>
          <w:lang w:val="en-US"/>
        </w:rPr>
        <w:fldChar w:fldCharType="end"/>
      </w:r>
      <w:r w:rsidR="00853CF6">
        <w:rPr>
          <w:lang w:val="en-US"/>
        </w:rPr>
        <w:t xml:space="preserve">. </w:t>
      </w:r>
      <w:r w:rsidRPr="009A215A">
        <w:t>On the other hand, the use of organic acids for leaching of Neodymium magnets has been poorly investigated, although solutions of citric acid and acetic acid could be appropriated since they form soluble complexes with REE</w:t>
      </w:r>
      <w:r w:rsidR="00BC2E81">
        <w:rPr>
          <w:lang w:val="en-US"/>
        </w:rPr>
        <w:t>s</w:t>
      </w:r>
      <w:r w:rsidR="00C72980">
        <w:rPr>
          <w:lang w:val="en-US"/>
        </w:rPr>
        <w:t xml:space="preserve"> </w:t>
      </w:r>
      <w:r w:rsidR="00C72980">
        <w:rPr>
          <w:lang w:val="en-US"/>
        </w:rPr>
        <w:fldChar w:fldCharType="begin" w:fldLock="1"/>
      </w:r>
      <w:r w:rsidR="00C72980">
        <w:rPr>
          <w:lang w:val="en-US"/>
        </w:rPr>
        <w:instrText>ADDIN CSL_CITATION {"citationItems":[{"id":"ITEM-1","itemData":{"DOI":"10.1080/08827508.2019.1692010","ISSN":"15477401","abstract":"Waste electrical and electronic equipments (WEEE or e-waste) are an important source for rare earth elements (REEs). Among various type of WEEE, NdFeB magnets are known for their high content of neodymium (Nd) and dysprosium (Dy). Recovery of REEs from NdFeB magnets is of prime interest for the industry to meet the ever-growing demand for REEs. In this study, some physical and hydrometallurgical approaches including demagnetization, grinding, screening, leaching, precipitation and extraction have been adopted to study the Nd and Dy recovery from spent NdFeB magnets. Various inorganic (HCl, HNO₃, H₂SO₄ and aqua regia) and organic reagents (acetic acid and oxalic acid) were tested as lixiviants for leaching of the magnets. As a new approach, the recovery of Nd and Dy in the leaching solution was tested by eliminating the iron by a solution purification process involving precipitation of ferric iron in solution as hydroxide and solvent extraction with ionic liquids (ILs). The comparative studies demonstrated that the extraction efficiency of di-2-ethylhexyl phosphoric acid (D2EHPA) was higher than trihexyltetradecylphosphonium chloride (CYPHOS® IL101) after leaching stage. Nd and Dy were successfully extracted with complete recovery from the optimized system.","author":[{"dropping-particle":"","family":"Erust","given":"C.","non-dropping-particle":"","parse-names":false,"suffix":""},{"dropping-particle":"","family":"Akcil","given":"A.","non-dropping-particle":"","parse-names":false,"suffix":""},{"dropping-particle":"","family":"Tuncuk","given":"A.","non-dropping-particle":"","parse-names":false,"suffix":""},{"dropping-particle":"","family":"Deveci","given":"H.","non-dropping-particle":"","parse-names":false,"suffix":""},{"dropping-particle":"","family":"Yazici","given":"E. Y.","non-dropping-particle":"","parse-names":false,"suffix":""}],"container-title":"Mineral Processing and Extractive Metallurgy Review","id":"ITEM-1","issue":"2","issued":{"date-parts":[["2021"]]},"page":"90-101","publisher":"Taylor &amp; Francis","title":"A Multi-stage Process for Recovery of Neodymium (Nd) and Dysprosium (Dy) from Spent Hard Disc Drives (HDDs)","type":"article-journal","volume":"42"},"uris":["http://www.mendeley.com/documents/?uuid=0b13a3c1-bb3a-470f-8419-6afaf2d26909"]}],"mendeley":{"formattedCitation":"(Erust et al., 2021)","manualFormatting":"(Erust et al., 2021;","plainTextFormattedCitation":"(Erust et al., 2021)","previouslyFormattedCitation":"(Erust et al., 2021)"},"properties":{"noteIndex":0},"schema":"https://github.com/citation-style-language/schema/raw/master/csl-citation.json"}</w:instrText>
      </w:r>
      <w:r w:rsidR="00C72980">
        <w:rPr>
          <w:lang w:val="en-US"/>
        </w:rPr>
        <w:fldChar w:fldCharType="separate"/>
      </w:r>
      <w:r w:rsidR="00C72980" w:rsidRPr="00C72980">
        <w:rPr>
          <w:noProof/>
          <w:lang w:val="en-US"/>
        </w:rPr>
        <w:t>(Erust et al., 2021</w:t>
      </w:r>
      <w:r w:rsidR="00C72980">
        <w:rPr>
          <w:noProof/>
          <w:lang w:val="en-US"/>
        </w:rPr>
        <w:t>;</w:t>
      </w:r>
      <w:r w:rsidR="00C72980">
        <w:rPr>
          <w:lang w:val="en-US"/>
        </w:rPr>
        <w:fldChar w:fldCharType="end"/>
      </w:r>
      <w:r w:rsidR="00C72980">
        <w:rPr>
          <w:lang w:val="en-US"/>
        </w:rPr>
        <w:t xml:space="preserve"> </w:t>
      </w:r>
      <w:r w:rsidR="00C72980">
        <w:rPr>
          <w:lang w:val="en-US"/>
        </w:rPr>
        <w:fldChar w:fldCharType="begin" w:fldLock="1"/>
      </w:r>
      <w:r w:rsidR="00C72980">
        <w:rPr>
          <w:lang w:val="en-US"/>
        </w:rPr>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2018)","manualFormatting":"Gergorić, 2018)","plainTextFormattedCitation":"(Gergorić, 2018)","previouslyFormattedCitation":"(Gergorić, 2018)"},"properties":{"noteIndex":0},"schema":"https://github.com/citation-style-language/schema/raw/master/csl-citation.json"}</w:instrText>
      </w:r>
      <w:r w:rsidR="00C72980">
        <w:rPr>
          <w:lang w:val="en-US"/>
        </w:rPr>
        <w:fldChar w:fldCharType="separate"/>
      </w:r>
      <w:r w:rsidR="00C72980" w:rsidRPr="00C72980">
        <w:rPr>
          <w:noProof/>
          <w:lang w:val="en-US"/>
        </w:rPr>
        <w:t>Gergorić, 2018)</w:t>
      </w:r>
      <w:r w:rsidR="00C72980">
        <w:rPr>
          <w:lang w:val="en-US"/>
        </w:rPr>
        <w:fldChar w:fldCharType="end"/>
      </w:r>
      <w:r w:rsidRPr="009A215A">
        <w:t xml:space="preserve">. Other organic acids such as glycolic, maleic, and ascorbic were studied by </w:t>
      </w:r>
      <w:r w:rsidR="00C72980">
        <w:fldChar w:fldCharType="begin" w:fldLock="1"/>
      </w:r>
      <w:r w:rsidR="004A14E8">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2018)","manualFormatting":"Gergorić (2018)","plainTextFormattedCitation":"(Gergorić, 2018)","previouslyFormattedCitation":"(Gergorić, 2018)"},"properties":{"noteIndex":0},"schema":"https://github.com/citation-style-language/schema/raw/master/csl-citation.json"}</w:instrText>
      </w:r>
      <w:r w:rsidR="00C72980">
        <w:fldChar w:fldCharType="separate"/>
      </w:r>
      <w:r w:rsidR="00C72980" w:rsidRPr="00C72980">
        <w:rPr>
          <w:noProof/>
        </w:rPr>
        <w:t xml:space="preserve">Gergorić </w:t>
      </w:r>
      <w:r w:rsidR="00C72980">
        <w:rPr>
          <w:noProof/>
          <w:lang w:val="en-US"/>
        </w:rPr>
        <w:t>(</w:t>
      </w:r>
      <w:r w:rsidR="00C72980" w:rsidRPr="00C72980">
        <w:rPr>
          <w:noProof/>
        </w:rPr>
        <w:t>2018)</w:t>
      </w:r>
      <w:r w:rsidR="00C72980">
        <w:fldChar w:fldCharType="end"/>
      </w:r>
      <w:r w:rsidRPr="009A215A">
        <w:t>. Formic, oxalic acid, and lactic acid have been reported in the literature</w:t>
      </w:r>
      <w:r w:rsidR="00382873" w:rsidRPr="009A215A">
        <w:t xml:space="preserve"> too</w:t>
      </w:r>
      <w:r w:rsidRPr="009A215A">
        <w:t xml:space="preserve"> </w:t>
      </w:r>
      <w:r w:rsidR="004A14E8">
        <w:fldChar w:fldCharType="begin" w:fldLock="1"/>
      </w:r>
      <w:r w:rsidR="007D530C">
        <w:instrText>ADDIN CSL_CITATION {"citationItems":[{"id":"ITEM-1","itemData":{"DOI":"10.1080/08827508.2019.1692010","ISSN":"15477401","abstract":"Waste electrical and electronic equipments (WEEE or e-waste) are an important source for rare earth elements (REEs). Among various type of WEEE, NdFeB magnets are known for their high content of neodymium (Nd) and dysprosium (Dy). Recovery of REEs from NdFeB magnets is of prime interest for the industry to meet the ever-growing demand for REEs. In this study, some physical and hydrometallurgical approaches including demagnetization, grinding, screening, leaching, precipitation and extraction have been adopted to study the Nd and Dy recovery from spent NdFeB magnets. Various inorganic (HCl, HNO₃, H₂SO₄ and aqua regia) and organic reagents (acetic acid and oxalic acid) were tested as lixiviants for leaching of the magnets. As a new approach, the recovery of Nd and Dy in the leaching solution was tested by eliminating the iron by a solution purification process involving precipitation of ferric iron in solution as hydroxide and solvent extraction with ionic liquids (ILs). The comparative studies demonstrated that the extraction efficiency of di-2-ethylhexyl phosphoric acid (D2EHPA) was higher than trihexyltetradecylphosphonium chloride (CYPHOS® IL101) after leaching stage. Nd and Dy were successfully extracted with complete recovery from the optimized system.","author":[{"dropping-particle":"","family":"Erust","given":"C.","non-dropping-particle":"","parse-names":false,"suffix":""},{"dropping-particle":"","family":"Akcil","given":"A.","non-dropping-particle":"","parse-names":false,"suffix":""},{"dropping-particle":"","family":"Tuncuk","given":"A.","non-dropping-particle":"","parse-names":false,"suffix":""},{"dropping-particle":"","family":"Deveci","given":"H.","non-dropping-particle":"","parse-names":false,"suffix":""},{"dropping-particle":"","family":"Yazici","given":"E. Y.","non-dropping-particle":"","parse-names":false,"suffix":""}],"container-title":"Mineral Processing and Extractive Metallurgy Review","id":"ITEM-1","issue":"2","issued":{"date-parts":[["2021"]]},"page":"90-101","publisher":"Taylor &amp; Francis","title":"A Multi-stage Process for Recovery of Neodymium (Nd) and Dysprosium (Dy) from Spent Hard Disc Drives (HDDs)","type":"article-journal","volume":"42"},"uris":["http://www.mendeley.com/documents/?uuid=0b13a3c1-bb3a-470f-8419-6afaf2d26909"]},{"id":"ITEM-2","itemData":{"DOI":"10.1016/B978-0-08-102057-9.00008-1","ISBN":"9780081020579","abstract":"Neodymium-iron-boron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Methods","id":"ITEM-2","issued":{"date-parts":[["2018"]]},"number-of-pages":"175-211","publisher":"Elsevier Ltd","title":"Hydrometallurgy in the recycling of spent NdFeB permanent magnets","type":"book"},"uris":["http://www.mendeley.com/documents/?uuid=b3f7c0c6-17e9-4bd0-b287-d45291bc0aa8"]}],"mendeley":{"formattedCitation":"(Erust et al., 2021; Tunsu, 2018)","plainTextFormattedCitation":"(Erust et al., 2021; Tunsu, 2018)","previouslyFormattedCitation":"(Erust et al., 2021; Tunsu, 2018)"},"properties":{"noteIndex":0},"schema":"https://github.com/citation-style-language/schema/raw/master/csl-citation.json"}</w:instrText>
      </w:r>
      <w:r w:rsidR="004A14E8">
        <w:fldChar w:fldCharType="separate"/>
      </w:r>
      <w:r w:rsidR="004A14E8" w:rsidRPr="004A14E8">
        <w:rPr>
          <w:noProof/>
        </w:rPr>
        <w:t>(Erust et al., 2021; Tunsu, 2018)</w:t>
      </w:r>
      <w:r w:rsidR="004A14E8">
        <w:fldChar w:fldCharType="end"/>
      </w:r>
      <w:r w:rsidR="004A14E8">
        <w:rPr>
          <w:lang w:val="en-US"/>
        </w:rPr>
        <w:t xml:space="preserve">. </w:t>
      </w:r>
    </w:p>
    <w:p w14:paraId="7F74BDF2" w14:textId="77777777" w:rsidR="00F255CF" w:rsidRPr="009A215A" w:rsidRDefault="00F255CF" w:rsidP="009A215A"/>
    <w:p w14:paraId="3CA7DB95" w14:textId="298668C0" w:rsidR="00F255CF" w:rsidRPr="00412D3C" w:rsidRDefault="00F255CF" w:rsidP="009A215A">
      <w:pPr>
        <w:rPr>
          <w:lang w:val="en-US"/>
        </w:rPr>
      </w:pPr>
      <w:r w:rsidRPr="009A215A">
        <w:t xml:space="preserve">The environmental consequences of using strong acids </w:t>
      </w:r>
      <w:r w:rsidR="00412D3C">
        <w:rPr>
          <w:lang w:val="en-US"/>
        </w:rPr>
        <w:t>in</w:t>
      </w:r>
      <w:r w:rsidRPr="009A215A">
        <w:t xml:space="preserve"> leach</w:t>
      </w:r>
      <w:proofErr w:type="spellStart"/>
      <w:r w:rsidR="00412D3C">
        <w:rPr>
          <w:lang w:val="en-US"/>
        </w:rPr>
        <w:t>ing</w:t>
      </w:r>
      <w:proofErr w:type="spellEnd"/>
      <w:r w:rsidRPr="009A215A">
        <w:t xml:space="preserve"> </w:t>
      </w:r>
      <w:r w:rsidR="00412D3C">
        <w:rPr>
          <w:lang w:val="en-US"/>
        </w:rPr>
        <w:t>are</w:t>
      </w:r>
      <w:r w:rsidR="00AA421E">
        <w:rPr>
          <w:lang w:val="en-US"/>
        </w:rPr>
        <w:t xml:space="preserve"> reported in</w:t>
      </w:r>
      <w:r w:rsidRPr="009A215A">
        <w:t xml:space="preserve"> </w:t>
      </w:r>
      <w:r w:rsidR="007D530C">
        <w:fldChar w:fldCharType="begin" w:fldLock="1"/>
      </w:r>
      <w:r w:rsidR="00EB43F6">
        <w:instrText>ADDIN CSL_CITATION {"citationItems":[{"id":"ITEM-1","itemData":{"ISBN":"9789175978260","author":[{"dropping-particle":"","family":"Gergorić","given":"Marino","non-dropping-particle":"","parse-names":false,"suffix":""}],"id":"ITEM-1","issued":{"date-parts":[["2018"]]},"number-of-pages":"84","title":"Hydrometallurgical Treatment of Neodymium Magnet Waste","type":"thesis"},"uris":["http://www.mendeley.com/documents/?uuid=627ce18b-163d-4bc0-a598-a647739699e7"]}],"mendeley":{"formattedCitation":"(Gergorić, 2018)","plainTextFormattedCitation":"(Gergorić, 2018)","previouslyFormattedCitation":"(Gergorić, 2018)"},"properties":{"noteIndex":0},"schema":"https://github.com/citation-style-language/schema/raw/master/csl-citation.json"}</w:instrText>
      </w:r>
      <w:r w:rsidR="007D530C">
        <w:fldChar w:fldCharType="separate"/>
      </w:r>
      <w:r w:rsidR="007D530C" w:rsidRPr="007D530C">
        <w:rPr>
          <w:noProof/>
        </w:rPr>
        <w:t xml:space="preserve">Gergorić </w:t>
      </w:r>
      <w:r w:rsidR="00AA421E">
        <w:rPr>
          <w:noProof/>
          <w:lang w:val="en-US"/>
        </w:rPr>
        <w:t>(</w:t>
      </w:r>
      <w:r w:rsidR="007D530C" w:rsidRPr="007D530C">
        <w:rPr>
          <w:noProof/>
        </w:rPr>
        <w:t>2018)</w:t>
      </w:r>
      <w:r w:rsidR="007D530C">
        <w:fldChar w:fldCharType="end"/>
      </w:r>
      <w:r w:rsidR="007D530C">
        <w:rPr>
          <w:lang w:val="en-US"/>
        </w:rPr>
        <w:t>.</w:t>
      </w:r>
      <w:r w:rsidR="00412D3C">
        <w:rPr>
          <w:lang w:val="en-US"/>
        </w:rPr>
        <w:t xml:space="preserve"> </w:t>
      </w:r>
      <w:r w:rsidRPr="009A215A">
        <w:t xml:space="preserve">Reclaiming from the introduction section, some of the environmental concerns of strong acid leachates are potential soil acidification and the release of poisonous gases such as </w:t>
      </w:r>
      <w:r w:rsidRPr="005C0762">
        <w:t>H2, NOx, and SO2.</w:t>
      </w:r>
      <w:r w:rsidRPr="009A215A">
        <w:t xml:space="preserve"> Conversely, organic acids can potentially mitigate these consequences due to </w:t>
      </w:r>
      <w:r w:rsidRPr="009A215A">
        <w:lastRenderedPageBreak/>
        <w:t xml:space="preserve">their lower acidities, releasing less poisonous gases, and being easier to degrade </w:t>
      </w:r>
      <w:r w:rsidR="00EB43F6">
        <w:fldChar w:fldCharType="begin" w:fldLock="1"/>
      </w:r>
      <w:r w:rsidR="00EB43F6">
        <w:instrText>ADDIN CSL_CITATION {"citationItems":[{"id":"ITEM-1","itemData":{"DOI":"10.1080/08827508.2019.1692010","ISSN":"15477401","abstract":"Waste electrical and electronic equipments (WEEE or e-waste) are an important source for rare earth elements (REEs). Among various type of WEEE, NdFeB magnets are known for their high content of neodymium (Nd) and dysprosium (Dy). Recovery of REEs from NdFeB magnets is of prime interest for the industry to meet the ever-growing demand for REEs. In this study, some physical and hydrometallurgical approaches including demagnetization, grinding, screening, leaching, precipitation and extraction have been adopted to study the Nd and Dy recovery from spent NdFeB magnets. Various inorganic (HCl, HNO₃, H₂SO₄ and aqua regia) and organic reagents (acetic acid and oxalic acid) were tested as lixiviants for leaching of the magnets. As a new approach, the recovery of Nd and Dy in the leaching solution was tested by eliminating the iron by a solution purification process involving precipitation of ferric iron in solution as hydroxide and solvent extraction with ionic liquids (ILs). The comparative studies demonstrated that the extraction efficiency of di-2-ethylhexyl phosphoric acid (D2EHPA) was higher than trihexyltetradecylphosphonium chloride (CYPHOS® IL101) after leaching stage. Nd and Dy were successfully extracted with complete recovery from the optimized system.","author":[{"dropping-particle":"","family":"Erust","given":"C.","non-dropping-particle":"","parse-names":false,"suffix":""},{"dropping-particle":"","family":"Akcil","given":"A.","non-dropping-particle":"","parse-names":false,"suffix":""},{"dropping-particle":"","family":"Tuncuk","given":"A.","non-dropping-particle":"","parse-names":false,"suffix":""},{"dropping-particle":"","family":"Deveci","given":"H.","non-dropping-particle":"","parse-names":false,"suffix":""},{"dropping-particle":"","family":"Yazici","given":"E. Y.","non-dropping-particle":"","parse-names":false,"suffix":""}],"container-title":"Mineral Processing and Extractive Metallurgy Review","id":"ITEM-1","issue":"2","issued":{"date-parts":[["2021"]]},"page":"90-101","publisher":"Taylor &amp; Francis","title":"A Multi-stage Process for Recovery of Neodymium (Nd) and Dysprosium (Dy) from Spent Hard Disc Drives (HDDs)","type":"article-journal","volume":"42"},"uris":["http://www.mendeley.com/documents/?uuid=0b13a3c1-bb3a-470f-8419-6afaf2d26909"]}],"mendeley":{"formattedCitation":"(Erust et al., 2021)","plainTextFormattedCitation":"(Erust et al., 2021)","previouslyFormattedCitation":"(Erust et al., 2021)"},"properties":{"noteIndex":0},"schema":"https://github.com/citation-style-language/schema/raw/master/csl-citation.json"}</w:instrText>
      </w:r>
      <w:r w:rsidR="00EB43F6">
        <w:fldChar w:fldCharType="separate"/>
      </w:r>
      <w:r w:rsidR="00EB43F6" w:rsidRPr="00EB43F6">
        <w:rPr>
          <w:noProof/>
        </w:rPr>
        <w:t>(Erust et al., 2021)</w:t>
      </w:r>
      <w:r w:rsidR="00EB43F6">
        <w:fldChar w:fldCharType="end"/>
      </w:r>
      <w:r w:rsidR="00EB43F6">
        <w:rPr>
          <w:lang w:val="en-US"/>
        </w:rPr>
        <w:t>.</w:t>
      </w:r>
      <w:r w:rsidR="00412D3C">
        <w:rPr>
          <w:lang w:val="en-US"/>
        </w:rPr>
        <w:t xml:space="preserve"> </w:t>
      </w:r>
      <w:r w:rsidR="00412D3C" w:rsidRPr="009A215A">
        <w:t>Indeed, this is the inspiration for this thesis' research question.</w:t>
      </w:r>
    </w:p>
    <w:p w14:paraId="0E9FC7E9" w14:textId="77777777" w:rsidR="00F255CF" w:rsidRPr="009A215A" w:rsidRDefault="00F255CF" w:rsidP="009A215A"/>
    <w:p w14:paraId="240B25EE" w14:textId="00AD937C" w:rsidR="00E146E5" w:rsidRDefault="00F255CF" w:rsidP="001F77D3">
      <w:r w:rsidRPr="009A215A">
        <w:t>Regardless of the approach, the next step</w:t>
      </w:r>
      <w:r w:rsidR="00B011D5" w:rsidRPr="009A215A">
        <w:t xml:space="preserve"> in a hydrometallurgical route</w:t>
      </w:r>
      <w:r w:rsidRPr="009A215A">
        <w:t xml:space="preserve"> is to separate </w:t>
      </w:r>
      <w:r w:rsidR="00BC2E81" w:rsidRPr="009A215A">
        <w:t>REE</w:t>
      </w:r>
      <w:r w:rsidR="00BC2E81">
        <w:rPr>
          <w:lang w:val="en-US"/>
        </w:rPr>
        <w:t>s</w:t>
      </w:r>
      <w:r w:rsidR="00BC2E81" w:rsidRPr="009A215A">
        <w:t xml:space="preserve"> </w:t>
      </w:r>
      <w:r w:rsidRPr="009A215A">
        <w:t>from the leachate</w:t>
      </w:r>
      <w:r w:rsidR="00BF589E" w:rsidRPr="009A215A">
        <w:t>,</w:t>
      </w:r>
      <w:r w:rsidRPr="009A215A">
        <w:t xml:space="preserve"> producing solid compounds that can be reused. Amongst the </w:t>
      </w:r>
      <w:r w:rsidR="00BF589E" w:rsidRPr="009A215A">
        <w:t xml:space="preserve">most </w:t>
      </w:r>
      <w:r w:rsidRPr="009A215A">
        <w:t>common methods found in the literature for the separation of REE</w:t>
      </w:r>
      <w:r w:rsidR="00BC2E81">
        <w:rPr>
          <w:lang w:val="en-US"/>
        </w:rPr>
        <w:t>s</w:t>
      </w:r>
      <w:r w:rsidRPr="009A215A">
        <w:t xml:space="preserve"> from leachate</w:t>
      </w:r>
      <w:r w:rsidR="00BF589E" w:rsidRPr="009A215A">
        <w:t>s</w:t>
      </w:r>
      <w:r w:rsidRPr="009A215A">
        <w:t xml:space="preserve"> are precipitation and solvent extraction. The decision upon which method to apply varies according to desired product purity, type of impurities and amounts in the leachate, and </w:t>
      </w:r>
      <w:r w:rsidR="000E6325">
        <w:rPr>
          <w:lang w:val="en-US"/>
        </w:rPr>
        <w:t xml:space="preserve">the </w:t>
      </w:r>
      <w:r w:rsidRPr="009A215A">
        <w:t xml:space="preserve">desired chemical form of product (individualized REE compounds or mixed) </w:t>
      </w:r>
      <w:r w:rsidR="00EB43F6">
        <w:fldChar w:fldCharType="begin" w:fldLock="1"/>
      </w:r>
      <w:r w:rsidR="00EB43F6">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2018)","plainTextFormattedCitation":"(Tunsu, 2018)","previouslyFormattedCitation":"(Tunsu, 2018)"},"properties":{"noteIndex":0},"schema":"https://github.com/citation-style-language/schema/raw/master/csl-citation.json"}</w:instrText>
      </w:r>
      <w:r w:rsidR="00EB43F6">
        <w:fldChar w:fldCharType="separate"/>
      </w:r>
      <w:r w:rsidR="00EB43F6" w:rsidRPr="00EB43F6">
        <w:rPr>
          <w:noProof/>
        </w:rPr>
        <w:t>(Tunsu, 2018)</w:t>
      </w:r>
      <w:r w:rsidR="00EB43F6">
        <w:fldChar w:fldCharType="end"/>
      </w:r>
      <w:r w:rsidR="00EB43F6">
        <w:rPr>
          <w:lang w:val="en-US"/>
        </w:rPr>
        <w:t>.</w:t>
      </w:r>
      <w:r w:rsidR="00BB0E40">
        <w:rPr>
          <w:lang w:val="en-US"/>
        </w:rPr>
        <w:t xml:space="preserve"> </w:t>
      </w:r>
      <w:r w:rsidR="00BB0E40">
        <w:rPr>
          <w:lang w:val="en-US"/>
        </w:rPr>
        <w:fldChar w:fldCharType="begin"/>
      </w:r>
      <w:r w:rsidR="00BB0E40">
        <w:rPr>
          <w:lang w:val="en-US"/>
        </w:rPr>
        <w:instrText xml:space="preserve"> REF _Ref74762113 \h </w:instrText>
      </w:r>
      <w:r w:rsidR="00BB0E40">
        <w:rPr>
          <w:lang w:val="en-US"/>
        </w:rPr>
      </w:r>
      <w:r w:rsidR="00BB0E40">
        <w:rPr>
          <w:lang w:val="en-US"/>
        </w:rPr>
        <w:fldChar w:fldCharType="separate"/>
      </w:r>
      <w:r w:rsidR="00BC31F4">
        <w:t xml:space="preserve">Table </w:t>
      </w:r>
      <w:r w:rsidR="00F12D2F">
        <w:rPr>
          <w:noProof/>
          <w:lang w:val="en-US"/>
        </w:rPr>
        <w:t>2</w:t>
      </w:r>
      <w:r w:rsidR="00BC31F4">
        <w:t>.</w:t>
      </w:r>
      <w:r w:rsidR="00BC31F4">
        <w:rPr>
          <w:noProof/>
        </w:rPr>
        <w:t>3</w:t>
      </w:r>
      <w:r w:rsidR="00BB0E40">
        <w:rPr>
          <w:lang w:val="en-US"/>
        </w:rPr>
        <w:fldChar w:fldCharType="end"/>
      </w:r>
      <w:r w:rsidR="00BB0E40">
        <w:rPr>
          <w:lang w:val="en-US"/>
        </w:rPr>
        <w:t xml:space="preserve"> </w:t>
      </w:r>
      <w:r w:rsidRPr="009A215A">
        <w:t>summarize</w:t>
      </w:r>
      <w:r w:rsidR="00BF589E" w:rsidRPr="009A215A">
        <w:t>s</w:t>
      </w:r>
      <w:r w:rsidRPr="009A215A">
        <w:t xml:space="preserve"> the advantages and disadvantages </w:t>
      </w:r>
      <w:r w:rsidR="00BD4417" w:rsidRPr="009A215A">
        <w:t>of</w:t>
      </w:r>
      <w:r w:rsidR="00BF589E" w:rsidRPr="009A215A">
        <w:t xml:space="preserve"> the </w:t>
      </w:r>
      <w:r w:rsidR="00BD4417" w:rsidRPr="009A215A">
        <w:t>two common</w:t>
      </w:r>
      <w:r w:rsidR="00BF589E" w:rsidRPr="009A215A">
        <w:t xml:space="preserve"> </w:t>
      </w:r>
      <w:r w:rsidRPr="009A215A">
        <w:t>method</w:t>
      </w:r>
      <w:r w:rsidR="00BD4417" w:rsidRPr="009A215A">
        <w:t xml:space="preserve">s. The information was </w:t>
      </w:r>
      <w:r w:rsidRPr="009A215A">
        <w:t xml:space="preserve">given </w:t>
      </w:r>
      <w:r w:rsidR="00BD4417" w:rsidRPr="009A215A">
        <w:t xml:space="preserve">by </w:t>
      </w:r>
      <w:r w:rsidR="00EB43F6">
        <w:fldChar w:fldCharType="begin" w:fldLock="1"/>
      </w:r>
      <w:r w:rsidR="006E3C7A">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2018)","manualFormatting":"Tunsu (2018)","plainTextFormattedCitation":"(Tunsu, 2018)","previouslyFormattedCitation":"(Tunsu, 2018)"},"properties":{"noteIndex":0},"schema":"https://github.com/citation-style-language/schema/raw/master/csl-citation.json"}</w:instrText>
      </w:r>
      <w:r w:rsidR="00EB43F6">
        <w:fldChar w:fldCharType="separate"/>
      </w:r>
      <w:r w:rsidR="00EB43F6" w:rsidRPr="00EB43F6">
        <w:rPr>
          <w:noProof/>
        </w:rPr>
        <w:t xml:space="preserve">Tunsu </w:t>
      </w:r>
      <w:r w:rsidR="00EB43F6">
        <w:rPr>
          <w:noProof/>
          <w:lang w:val="en-US"/>
        </w:rPr>
        <w:t>(</w:t>
      </w:r>
      <w:r w:rsidR="00EB43F6" w:rsidRPr="00EB43F6">
        <w:rPr>
          <w:noProof/>
        </w:rPr>
        <w:t>2018)</w:t>
      </w:r>
      <w:r w:rsidR="00EB43F6">
        <w:fldChar w:fldCharType="end"/>
      </w:r>
      <w:r w:rsidRPr="009A215A">
        <w:t>:</w:t>
      </w:r>
    </w:p>
    <w:p w14:paraId="402D3DE0" w14:textId="77777777" w:rsidR="00F24C6B" w:rsidRDefault="00F24C6B" w:rsidP="00BB0E40">
      <w:pPr>
        <w:pStyle w:val="Caption"/>
        <w:keepNext/>
      </w:pPr>
      <w:bookmarkStart w:id="24" w:name="_Ref74762113"/>
    </w:p>
    <w:p w14:paraId="5806A7B2" w14:textId="500A3AD0" w:rsidR="00BB0E40" w:rsidRDefault="00BB0E40" w:rsidP="00BB0E40">
      <w:pPr>
        <w:pStyle w:val="Caption"/>
        <w:keepNext/>
      </w:pPr>
      <w:bookmarkStart w:id="25" w:name="_Toc76730032"/>
      <w:r>
        <w:t xml:space="preserve">Table </w:t>
      </w:r>
      <w:r w:rsidR="00AA1459">
        <w:rPr>
          <w:lang w:val="en-US"/>
        </w:rPr>
        <w:t>2</w:t>
      </w:r>
      <w:r w:rsidR="00C50A78">
        <w:t>.</w:t>
      </w:r>
      <w:r w:rsidR="00BE45E3">
        <w:fldChar w:fldCharType="begin"/>
      </w:r>
      <w:r w:rsidR="00BE45E3">
        <w:instrText xml:space="preserve"> SEQ Table \* ARABIC \s 1 </w:instrText>
      </w:r>
      <w:r w:rsidR="00BE45E3">
        <w:fldChar w:fldCharType="separate"/>
      </w:r>
      <w:r w:rsidR="00BC31F4">
        <w:rPr>
          <w:noProof/>
        </w:rPr>
        <w:t>3</w:t>
      </w:r>
      <w:r w:rsidR="00BE45E3">
        <w:rPr>
          <w:noProof/>
        </w:rPr>
        <w:fldChar w:fldCharType="end"/>
      </w:r>
      <w:bookmarkEnd w:id="24"/>
      <w:r>
        <w:rPr>
          <w:lang w:val="en-US"/>
        </w:rPr>
        <w:t xml:space="preserve"> </w:t>
      </w:r>
      <w:r w:rsidRPr="004810CF">
        <w:rPr>
          <w:lang w:val="en-US"/>
        </w:rPr>
        <w:t xml:space="preserve">Comparison between precipitation and solvent extraction. Source: </w:t>
      </w:r>
      <w:proofErr w:type="spellStart"/>
      <w:r w:rsidRPr="004810CF">
        <w:rPr>
          <w:lang w:val="en-US"/>
        </w:rPr>
        <w:t>Tunsu</w:t>
      </w:r>
      <w:proofErr w:type="spellEnd"/>
      <w:r w:rsidRPr="004810CF">
        <w:rPr>
          <w:lang w:val="en-US"/>
        </w:rPr>
        <w:t xml:space="preserve"> (2018).</w:t>
      </w:r>
      <w:bookmarkEnd w:id="25"/>
    </w:p>
    <w:tbl>
      <w:tblPr>
        <w:tblStyle w:val="TableGrid"/>
        <w:tblW w:w="5000" w:type="pct"/>
        <w:tblCellMar>
          <w:left w:w="28" w:type="dxa"/>
          <w:right w:w="28" w:type="dxa"/>
        </w:tblCellMar>
        <w:tblLook w:val="04A0" w:firstRow="1" w:lastRow="0" w:firstColumn="1" w:lastColumn="0" w:noHBand="0" w:noVBand="1"/>
      </w:tblPr>
      <w:tblGrid>
        <w:gridCol w:w="1528"/>
        <w:gridCol w:w="2455"/>
        <w:gridCol w:w="5077"/>
      </w:tblGrid>
      <w:tr w:rsidR="00AF4A20" w14:paraId="2294E831" w14:textId="77777777" w:rsidTr="003A1127">
        <w:tc>
          <w:tcPr>
            <w:tcW w:w="843" w:type="pct"/>
          </w:tcPr>
          <w:p w14:paraId="2839C25F" w14:textId="2D24DE51" w:rsidR="00BF2590" w:rsidRPr="001D2B5F" w:rsidRDefault="00BF2590" w:rsidP="003A1127">
            <w:pPr>
              <w:jc w:val="left"/>
              <w:rPr>
                <w:b/>
                <w:bCs/>
                <w:lang w:val="en-US"/>
              </w:rPr>
            </w:pPr>
            <w:r w:rsidRPr="001D2B5F">
              <w:rPr>
                <w:b/>
                <w:bCs/>
                <w:lang w:val="en-US"/>
              </w:rPr>
              <w:t>Method</w:t>
            </w:r>
          </w:p>
        </w:tc>
        <w:tc>
          <w:tcPr>
            <w:tcW w:w="1355" w:type="pct"/>
          </w:tcPr>
          <w:p w14:paraId="4AE2864F" w14:textId="77009CEF" w:rsidR="00BF2590" w:rsidRPr="001D2B5F" w:rsidRDefault="00BF2590" w:rsidP="003A1127">
            <w:pPr>
              <w:jc w:val="left"/>
              <w:rPr>
                <w:b/>
                <w:bCs/>
                <w:lang w:val="en-US"/>
              </w:rPr>
            </w:pPr>
            <w:r w:rsidRPr="001D2B5F">
              <w:rPr>
                <w:b/>
                <w:bCs/>
                <w:lang w:val="en-US"/>
              </w:rPr>
              <w:t>Advantages</w:t>
            </w:r>
          </w:p>
        </w:tc>
        <w:tc>
          <w:tcPr>
            <w:tcW w:w="2802" w:type="pct"/>
          </w:tcPr>
          <w:p w14:paraId="6F476FB2" w14:textId="21DFE086" w:rsidR="00BF2590" w:rsidRPr="001D2B5F" w:rsidRDefault="00BF2590" w:rsidP="003A1127">
            <w:pPr>
              <w:jc w:val="left"/>
              <w:rPr>
                <w:b/>
                <w:bCs/>
                <w:lang w:val="en-US"/>
              </w:rPr>
            </w:pPr>
            <w:r w:rsidRPr="001D2B5F">
              <w:rPr>
                <w:b/>
                <w:bCs/>
                <w:lang w:val="en-US"/>
              </w:rPr>
              <w:t>Disadvantages</w:t>
            </w:r>
          </w:p>
        </w:tc>
      </w:tr>
      <w:tr w:rsidR="00AF4A20" w14:paraId="5E6DFC8A" w14:textId="77777777" w:rsidTr="001F77D3">
        <w:tc>
          <w:tcPr>
            <w:tcW w:w="843" w:type="pct"/>
          </w:tcPr>
          <w:p w14:paraId="459C6243" w14:textId="1B0AFDCE" w:rsidR="00BF2590" w:rsidRPr="0008056D" w:rsidRDefault="0008056D" w:rsidP="009A215A">
            <w:pPr>
              <w:rPr>
                <w:lang w:val="en-US"/>
              </w:rPr>
            </w:pPr>
            <w:r>
              <w:rPr>
                <w:lang w:val="en-US"/>
              </w:rPr>
              <w:t>Precipitation</w:t>
            </w:r>
          </w:p>
        </w:tc>
        <w:tc>
          <w:tcPr>
            <w:tcW w:w="1355" w:type="pct"/>
          </w:tcPr>
          <w:p w14:paraId="47416468" w14:textId="77777777" w:rsidR="00BF2590" w:rsidRDefault="0008056D" w:rsidP="008756AC">
            <w:pPr>
              <w:jc w:val="left"/>
              <w:rPr>
                <w:lang w:val="en-US"/>
              </w:rPr>
            </w:pPr>
            <w:r>
              <w:rPr>
                <w:lang w:val="en-US"/>
              </w:rPr>
              <w:t>Simplest technique</w:t>
            </w:r>
          </w:p>
          <w:p w14:paraId="15C870A2" w14:textId="77777777" w:rsidR="00AF4A20" w:rsidRDefault="00AF4A20" w:rsidP="008756AC">
            <w:pPr>
              <w:jc w:val="left"/>
              <w:rPr>
                <w:lang w:val="en-US"/>
              </w:rPr>
            </w:pPr>
          </w:p>
          <w:p w14:paraId="46EFAD3A" w14:textId="0F38EC28" w:rsidR="0008056D" w:rsidRDefault="0008056D" w:rsidP="008756AC">
            <w:pPr>
              <w:jc w:val="left"/>
              <w:rPr>
                <w:lang w:val="en-US"/>
              </w:rPr>
            </w:pPr>
            <w:r>
              <w:rPr>
                <w:lang w:val="en-US"/>
              </w:rPr>
              <w:t>Cheapest option</w:t>
            </w:r>
          </w:p>
          <w:p w14:paraId="1A88E09F" w14:textId="77777777" w:rsidR="00AF4A20" w:rsidRDefault="00AF4A20" w:rsidP="008756AC">
            <w:pPr>
              <w:jc w:val="left"/>
              <w:rPr>
                <w:lang w:val="en-US"/>
              </w:rPr>
            </w:pPr>
          </w:p>
          <w:p w14:paraId="47F5CA94" w14:textId="66765E3E" w:rsidR="0008056D" w:rsidRDefault="0008056D" w:rsidP="008756AC">
            <w:pPr>
              <w:jc w:val="left"/>
              <w:rPr>
                <w:lang w:val="en-US"/>
              </w:rPr>
            </w:pPr>
            <w:r>
              <w:rPr>
                <w:lang w:val="en-US"/>
              </w:rPr>
              <w:t>Need for simple equipment</w:t>
            </w:r>
            <w:r w:rsidR="00AF4A20">
              <w:rPr>
                <w:lang w:val="en-US"/>
              </w:rPr>
              <w:t xml:space="preserve"> </w:t>
            </w:r>
            <w:r>
              <w:rPr>
                <w:lang w:val="en-US"/>
              </w:rPr>
              <w:t>(precipitation tank, filters)</w:t>
            </w:r>
          </w:p>
          <w:p w14:paraId="38A7ABD9" w14:textId="77777777" w:rsidR="00AF4A20" w:rsidRDefault="00AF4A20" w:rsidP="008756AC">
            <w:pPr>
              <w:jc w:val="left"/>
              <w:rPr>
                <w:lang w:val="en-US"/>
              </w:rPr>
            </w:pPr>
          </w:p>
          <w:p w14:paraId="2CE8B845" w14:textId="660A6A94" w:rsidR="0008056D" w:rsidRDefault="0008056D" w:rsidP="008756AC">
            <w:pPr>
              <w:jc w:val="left"/>
              <w:rPr>
                <w:lang w:val="en-US"/>
              </w:rPr>
            </w:pPr>
            <w:r>
              <w:rPr>
                <w:lang w:val="en-US"/>
              </w:rPr>
              <w:t>Easy to optimize and control</w:t>
            </w:r>
          </w:p>
          <w:p w14:paraId="0F4F0E9C" w14:textId="77777777" w:rsidR="00AF4A20" w:rsidRDefault="00AF4A20" w:rsidP="009A215A">
            <w:pPr>
              <w:rPr>
                <w:lang w:val="en-US"/>
              </w:rPr>
            </w:pPr>
          </w:p>
          <w:p w14:paraId="16D152CE" w14:textId="137875E2" w:rsidR="0008056D" w:rsidRDefault="0008056D" w:rsidP="008756AC">
            <w:pPr>
              <w:jc w:val="left"/>
              <w:rPr>
                <w:lang w:val="en-US"/>
              </w:rPr>
            </w:pPr>
            <w:r>
              <w:rPr>
                <w:lang w:val="en-US"/>
              </w:rPr>
              <w:t>Lower amounts of secondary waste (no need for scrubbing/ stripping steps)</w:t>
            </w:r>
          </w:p>
          <w:p w14:paraId="48DBE2B3" w14:textId="77777777" w:rsidR="00DC083F" w:rsidRDefault="00DC083F" w:rsidP="008756AC">
            <w:pPr>
              <w:jc w:val="left"/>
              <w:rPr>
                <w:lang w:val="en-US"/>
              </w:rPr>
            </w:pPr>
          </w:p>
          <w:p w14:paraId="23ABB914" w14:textId="2F3CC199" w:rsidR="0008056D" w:rsidRDefault="0008056D" w:rsidP="008756AC">
            <w:pPr>
              <w:jc w:val="left"/>
              <w:rPr>
                <w:lang w:val="en-US"/>
              </w:rPr>
            </w:pPr>
            <w:r>
              <w:rPr>
                <w:lang w:val="en-US"/>
              </w:rPr>
              <w:lastRenderedPageBreak/>
              <w:t>Generally good product purity for chemically simple solutions</w:t>
            </w:r>
          </w:p>
          <w:p w14:paraId="0D8F6EF9" w14:textId="77777777" w:rsidR="00AF4A20" w:rsidRDefault="00AF4A20" w:rsidP="009A215A">
            <w:pPr>
              <w:rPr>
                <w:lang w:val="en-US"/>
              </w:rPr>
            </w:pPr>
          </w:p>
          <w:p w14:paraId="1FC90D85" w14:textId="7A6B9DBE" w:rsidR="0008056D" w:rsidRDefault="0008056D" w:rsidP="008756AC">
            <w:pPr>
              <w:jc w:val="left"/>
              <w:rPr>
                <w:lang w:val="en-US"/>
              </w:rPr>
            </w:pPr>
            <w:r>
              <w:rPr>
                <w:lang w:val="en-US"/>
              </w:rPr>
              <w:t>Ability to process large volumes of feed in a short time</w:t>
            </w:r>
          </w:p>
          <w:p w14:paraId="05421042" w14:textId="77777777" w:rsidR="00AF4A20" w:rsidRDefault="00AF4A20" w:rsidP="009A215A">
            <w:pPr>
              <w:rPr>
                <w:lang w:val="en-US"/>
              </w:rPr>
            </w:pPr>
          </w:p>
          <w:p w14:paraId="1B72829A" w14:textId="5D2AF1CF" w:rsidR="0008056D" w:rsidRPr="0008056D" w:rsidRDefault="0008056D" w:rsidP="001F77D3">
            <w:pPr>
              <w:jc w:val="left"/>
              <w:rPr>
                <w:lang w:val="en-US"/>
              </w:rPr>
            </w:pPr>
            <w:r>
              <w:rPr>
                <w:lang w:val="en-US"/>
              </w:rPr>
              <w:t>Final product is obtained in solid form</w:t>
            </w:r>
          </w:p>
        </w:tc>
        <w:tc>
          <w:tcPr>
            <w:tcW w:w="2802" w:type="pct"/>
          </w:tcPr>
          <w:p w14:paraId="4CCD6F0A" w14:textId="453DDDC8" w:rsidR="00BF2590" w:rsidRDefault="0008056D" w:rsidP="008756AC">
            <w:pPr>
              <w:jc w:val="left"/>
              <w:rPr>
                <w:lang w:val="en-US"/>
              </w:rPr>
            </w:pPr>
            <w:r>
              <w:rPr>
                <w:lang w:val="en-US"/>
              </w:rPr>
              <w:lastRenderedPageBreak/>
              <w:t>Leads to mixed REE compounds if more than one REE is present in solution</w:t>
            </w:r>
          </w:p>
          <w:p w14:paraId="11925F1E" w14:textId="77777777" w:rsidR="0008056D" w:rsidRDefault="0008056D" w:rsidP="008756AC">
            <w:pPr>
              <w:jc w:val="left"/>
              <w:rPr>
                <w:lang w:val="en-US"/>
              </w:rPr>
            </w:pPr>
            <w:r>
              <w:rPr>
                <w:lang w:val="en-US"/>
              </w:rPr>
              <w:t>Lower product purity compared to solvent extraction</w:t>
            </w:r>
          </w:p>
          <w:p w14:paraId="2E986DD8" w14:textId="77777777" w:rsidR="0008056D" w:rsidRDefault="0008056D" w:rsidP="008756AC">
            <w:pPr>
              <w:jc w:val="left"/>
              <w:rPr>
                <w:lang w:val="en-US"/>
              </w:rPr>
            </w:pPr>
            <w:r>
              <w:rPr>
                <w:lang w:val="en-US"/>
              </w:rPr>
              <w:t>Less selective (problematic for solutions with high amounts/high number of impurities)</w:t>
            </w:r>
          </w:p>
          <w:p w14:paraId="2AA88335" w14:textId="77777777" w:rsidR="00AF4A20" w:rsidRDefault="00AF4A20" w:rsidP="009A215A">
            <w:pPr>
              <w:rPr>
                <w:lang w:val="en-US"/>
              </w:rPr>
            </w:pPr>
          </w:p>
          <w:p w14:paraId="30E37898" w14:textId="77777777" w:rsidR="00AF4A20" w:rsidRDefault="00AF4A20" w:rsidP="009A215A">
            <w:pPr>
              <w:rPr>
                <w:lang w:val="en-US"/>
              </w:rPr>
            </w:pPr>
          </w:p>
          <w:p w14:paraId="66271D80" w14:textId="51D69A1F" w:rsidR="0008056D" w:rsidRDefault="0008056D" w:rsidP="008756AC">
            <w:pPr>
              <w:jc w:val="left"/>
              <w:rPr>
                <w:lang w:val="en-US"/>
              </w:rPr>
            </w:pPr>
            <w:r>
              <w:rPr>
                <w:lang w:val="en-US"/>
              </w:rPr>
              <w:t>Coprecipitation issues</w:t>
            </w:r>
          </w:p>
          <w:p w14:paraId="11A0C750" w14:textId="77777777" w:rsidR="00AF4A20" w:rsidRDefault="00AF4A20" w:rsidP="009A215A">
            <w:pPr>
              <w:rPr>
                <w:lang w:val="en-US"/>
              </w:rPr>
            </w:pPr>
          </w:p>
          <w:p w14:paraId="148436F3" w14:textId="77777777" w:rsidR="00DC083F" w:rsidRDefault="00DC083F" w:rsidP="008756AC">
            <w:pPr>
              <w:jc w:val="left"/>
              <w:rPr>
                <w:lang w:val="en-US"/>
              </w:rPr>
            </w:pPr>
          </w:p>
          <w:p w14:paraId="36F05B41" w14:textId="0FFA6869" w:rsidR="0008056D" w:rsidRDefault="0008056D" w:rsidP="008756AC">
            <w:pPr>
              <w:jc w:val="left"/>
              <w:rPr>
                <w:lang w:val="en-US"/>
              </w:rPr>
            </w:pPr>
            <w:r>
              <w:rPr>
                <w:lang w:val="en-US"/>
              </w:rPr>
              <w:t>Washing of the precipitates is still needed (</w:t>
            </w:r>
            <w:r w:rsidR="00783F8F">
              <w:rPr>
                <w:lang w:val="en-US"/>
              </w:rPr>
              <w:t>wastewater</w:t>
            </w:r>
            <w:r>
              <w:rPr>
                <w:lang w:val="en-US"/>
              </w:rPr>
              <w:t>)</w:t>
            </w:r>
          </w:p>
          <w:p w14:paraId="234360A0" w14:textId="77777777" w:rsidR="00AF4A20" w:rsidRDefault="00AF4A20" w:rsidP="009A215A">
            <w:pPr>
              <w:rPr>
                <w:lang w:val="en-US"/>
              </w:rPr>
            </w:pPr>
          </w:p>
          <w:p w14:paraId="79BF7E06" w14:textId="77777777" w:rsidR="00AF4A20" w:rsidRDefault="00AF4A20" w:rsidP="009A215A">
            <w:pPr>
              <w:rPr>
                <w:lang w:val="en-US"/>
              </w:rPr>
            </w:pPr>
          </w:p>
          <w:p w14:paraId="78390285" w14:textId="77777777" w:rsidR="00AF4A20" w:rsidRDefault="00AF4A20" w:rsidP="009A215A">
            <w:pPr>
              <w:rPr>
                <w:lang w:val="en-US"/>
              </w:rPr>
            </w:pPr>
          </w:p>
          <w:p w14:paraId="025F1E31" w14:textId="77777777" w:rsidR="00DC083F" w:rsidRDefault="00DC083F" w:rsidP="008756AC">
            <w:pPr>
              <w:jc w:val="left"/>
              <w:rPr>
                <w:lang w:val="en-US"/>
              </w:rPr>
            </w:pPr>
          </w:p>
          <w:p w14:paraId="130914C1" w14:textId="3694B7E2" w:rsidR="0008056D" w:rsidRPr="0008056D" w:rsidRDefault="0008056D" w:rsidP="008756AC">
            <w:pPr>
              <w:jc w:val="left"/>
              <w:rPr>
                <w:lang w:val="en-US"/>
              </w:rPr>
            </w:pPr>
            <w:r>
              <w:rPr>
                <w:lang w:val="en-US"/>
              </w:rPr>
              <w:lastRenderedPageBreak/>
              <w:t>Nonregenerative (precipitation agent cannot be reused)</w:t>
            </w:r>
          </w:p>
        </w:tc>
      </w:tr>
      <w:tr w:rsidR="00AF4A20" w14:paraId="743503D9" w14:textId="77777777" w:rsidTr="001F77D3">
        <w:tc>
          <w:tcPr>
            <w:tcW w:w="843" w:type="pct"/>
          </w:tcPr>
          <w:p w14:paraId="3C7E1E76" w14:textId="69044019" w:rsidR="00BF2590" w:rsidRPr="0008056D" w:rsidRDefault="0008056D" w:rsidP="008756AC">
            <w:pPr>
              <w:jc w:val="left"/>
              <w:rPr>
                <w:lang w:val="en-US"/>
              </w:rPr>
            </w:pPr>
            <w:r>
              <w:rPr>
                <w:lang w:val="en-US"/>
              </w:rPr>
              <w:lastRenderedPageBreak/>
              <w:t>Solvent extraction</w:t>
            </w:r>
          </w:p>
        </w:tc>
        <w:tc>
          <w:tcPr>
            <w:tcW w:w="1355" w:type="pct"/>
          </w:tcPr>
          <w:p w14:paraId="732B8E31" w14:textId="77777777" w:rsidR="00BF2590" w:rsidRDefault="0008056D" w:rsidP="008756AC">
            <w:pPr>
              <w:jc w:val="left"/>
              <w:rPr>
                <w:lang w:val="en-US"/>
              </w:rPr>
            </w:pPr>
            <w:r>
              <w:rPr>
                <w:lang w:val="en-US"/>
              </w:rPr>
              <w:t>Allows for individual REE separation</w:t>
            </w:r>
          </w:p>
          <w:p w14:paraId="5FCDE562" w14:textId="77777777" w:rsidR="00DC083F" w:rsidRDefault="00DC083F" w:rsidP="008756AC">
            <w:pPr>
              <w:jc w:val="left"/>
              <w:rPr>
                <w:lang w:val="en-US"/>
              </w:rPr>
            </w:pPr>
          </w:p>
          <w:p w14:paraId="095C2902" w14:textId="1615DD0C" w:rsidR="0008056D" w:rsidRDefault="0008056D" w:rsidP="008756AC">
            <w:pPr>
              <w:jc w:val="left"/>
              <w:rPr>
                <w:lang w:val="en-US"/>
              </w:rPr>
            </w:pPr>
            <w:r>
              <w:rPr>
                <w:lang w:val="en-US"/>
              </w:rPr>
              <w:t>Very high product purity</w:t>
            </w:r>
          </w:p>
          <w:p w14:paraId="1ACFE95B" w14:textId="77777777" w:rsidR="00AF4A20" w:rsidRDefault="00AF4A20" w:rsidP="008756AC">
            <w:pPr>
              <w:jc w:val="left"/>
              <w:rPr>
                <w:lang w:val="en-US"/>
              </w:rPr>
            </w:pPr>
          </w:p>
          <w:p w14:paraId="22296276" w14:textId="77777777" w:rsidR="008756AC" w:rsidRDefault="008756AC" w:rsidP="008756AC">
            <w:pPr>
              <w:jc w:val="left"/>
              <w:rPr>
                <w:lang w:val="en-US"/>
              </w:rPr>
            </w:pPr>
          </w:p>
          <w:p w14:paraId="737A6528" w14:textId="4F023147" w:rsidR="0008056D" w:rsidRDefault="0008056D" w:rsidP="008756AC">
            <w:pPr>
              <w:jc w:val="left"/>
              <w:rPr>
                <w:lang w:val="en-US"/>
              </w:rPr>
            </w:pPr>
            <w:r>
              <w:rPr>
                <w:lang w:val="en-US"/>
              </w:rPr>
              <w:t>High selectivity</w:t>
            </w:r>
          </w:p>
          <w:p w14:paraId="4C8B433B" w14:textId="77777777" w:rsidR="00AF4A20" w:rsidRDefault="00AF4A20" w:rsidP="008756AC">
            <w:pPr>
              <w:jc w:val="left"/>
              <w:rPr>
                <w:lang w:val="en-US"/>
              </w:rPr>
            </w:pPr>
          </w:p>
          <w:p w14:paraId="025F596A" w14:textId="6898E4B8" w:rsidR="0008056D" w:rsidRDefault="0008056D" w:rsidP="008756AC">
            <w:pPr>
              <w:jc w:val="left"/>
              <w:rPr>
                <w:lang w:val="en-US"/>
              </w:rPr>
            </w:pPr>
            <w:r>
              <w:rPr>
                <w:lang w:val="en-US"/>
              </w:rPr>
              <w:t>Can handle chemically complex feeds</w:t>
            </w:r>
          </w:p>
          <w:p w14:paraId="10D69990" w14:textId="77777777" w:rsidR="00AF4A20" w:rsidRDefault="00AF4A20" w:rsidP="008756AC">
            <w:pPr>
              <w:jc w:val="left"/>
              <w:rPr>
                <w:lang w:val="en-US"/>
              </w:rPr>
            </w:pPr>
          </w:p>
          <w:p w14:paraId="49A3D07C" w14:textId="159F06DA" w:rsidR="0008056D" w:rsidRDefault="0008056D" w:rsidP="008756AC">
            <w:pPr>
              <w:jc w:val="left"/>
              <w:rPr>
                <w:lang w:val="en-US"/>
              </w:rPr>
            </w:pPr>
            <w:r>
              <w:rPr>
                <w:lang w:val="en-US"/>
              </w:rPr>
              <w:t xml:space="preserve">Ability to tailor/ develop extractants </w:t>
            </w:r>
            <w:r w:rsidR="00DD7C7E">
              <w:rPr>
                <w:lang w:val="en-US"/>
              </w:rPr>
              <w:t>to</w:t>
            </w:r>
            <w:r>
              <w:rPr>
                <w:lang w:val="en-US"/>
              </w:rPr>
              <w:t xml:space="preserve"> enhance</w:t>
            </w:r>
            <w:r w:rsidR="00DD7C7E">
              <w:rPr>
                <w:lang w:val="en-US"/>
              </w:rPr>
              <w:t xml:space="preserve"> separation</w:t>
            </w:r>
          </w:p>
          <w:p w14:paraId="31A70E97" w14:textId="77777777" w:rsidR="00AF4A20" w:rsidRDefault="00AF4A20" w:rsidP="008756AC">
            <w:pPr>
              <w:jc w:val="left"/>
              <w:rPr>
                <w:lang w:val="en-US"/>
              </w:rPr>
            </w:pPr>
          </w:p>
          <w:p w14:paraId="4D058C1E" w14:textId="014E3DD7" w:rsidR="00DD7C7E" w:rsidRDefault="00DD7C7E" w:rsidP="008756AC">
            <w:pPr>
              <w:jc w:val="left"/>
              <w:rPr>
                <w:lang w:val="en-US"/>
              </w:rPr>
            </w:pPr>
            <w:r>
              <w:rPr>
                <w:lang w:val="en-US"/>
              </w:rPr>
              <w:t>Automated continuous process, easy to scale up (mixer- settlers, columns)</w:t>
            </w:r>
          </w:p>
          <w:p w14:paraId="451D8FEC" w14:textId="77777777" w:rsidR="00AF4A20" w:rsidRDefault="00AF4A20" w:rsidP="008756AC">
            <w:pPr>
              <w:jc w:val="left"/>
              <w:rPr>
                <w:lang w:val="en-US"/>
              </w:rPr>
            </w:pPr>
          </w:p>
          <w:p w14:paraId="364FAFFB" w14:textId="4334368D" w:rsidR="00DD7C7E" w:rsidRDefault="00DD7C7E" w:rsidP="008756AC">
            <w:pPr>
              <w:jc w:val="left"/>
              <w:rPr>
                <w:lang w:val="en-US"/>
              </w:rPr>
            </w:pPr>
            <w:r>
              <w:rPr>
                <w:lang w:val="en-US"/>
              </w:rPr>
              <w:t>Can process large feed volumes</w:t>
            </w:r>
          </w:p>
          <w:p w14:paraId="4F5C4BD9" w14:textId="77777777" w:rsidR="00AF4A20" w:rsidRDefault="00AF4A20" w:rsidP="008756AC">
            <w:pPr>
              <w:jc w:val="left"/>
              <w:rPr>
                <w:lang w:val="en-US"/>
              </w:rPr>
            </w:pPr>
          </w:p>
          <w:p w14:paraId="4D637706" w14:textId="711BB785" w:rsidR="00DD7C7E" w:rsidRPr="0008056D" w:rsidRDefault="00DD7C7E" w:rsidP="008756AC">
            <w:pPr>
              <w:jc w:val="left"/>
              <w:rPr>
                <w:lang w:val="en-US"/>
              </w:rPr>
            </w:pPr>
            <w:r>
              <w:rPr>
                <w:lang w:val="en-US"/>
              </w:rPr>
              <w:lastRenderedPageBreak/>
              <w:t>The organic solvents can be reused</w:t>
            </w:r>
          </w:p>
        </w:tc>
        <w:tc>
          <w:tcPr>
            <w:tcW w:w="2802" w:type="pct"/>
          </w:tcPr>
          <w:p w14:paraId="79A672A9" w14:textId="77777777" w:rsidR="00BF2590" w:rsidRDefault="00DD7C7E" w:rsidP="008756AC">
            <w:pPr>
              <w:jc w:val="left"/>
              <w:rPr>
                <w:lang w:val="en-US"/>
              </w:rPr>
            </w:pPr>
            <w:r>
              <w:rPr>
                <w:lang w:val="en-US"/>
              </w:rPr>
              <w:lastRenderedPageBreak/>
              <w:t>Large requirement for chemicals (extractants, diluents, scrubbing, and stripping reagents)</w:t>
            </w:r>
          </w:p>
          <w:p w14:paraId="23954B8A" w14:textId="77777777" w:rsidR="00DC083F" w:rsidRDefault="00DC083F" w:rsidP="008756AC">
            <w:pPr>
              <w:jc w:val="left"/>
              <w:rPr>
                <w:lang w:val="en-US"/>
              </w:rPr>
            </w:pPr>
          </w:p>
          <w:p w14:paraId="300158BB" w14:textId="78E5D124" w:rsidR="00DD7C7E" w:rsidRDefault="00DD7C7E" w:rsidP="008756AC">
            <w:pPr>
              <w:jc w:val="left"/>
              <w:rPr>
                <w:lang w:val="en-US"/>
              </w:rPr>
            </w:pPr>
            <w:r>
              <w:rPr>
                <w:lang w:val="en-US"/>
              </w:rPr>
              <w:t>Large amounts of secondary waste generated, especially for high product purity</w:t>
            </w:r>
            <w:r w:rsidR="00AF4A20">
              <w:rPr>
                <w:lang w:val="en-US"/>
              </w:rPr>
              <w:t xml:space="preserve"> (need for large number of scrubbing/stripping/regeneration steps)</w:t>
            </w:r>
          </w:p>
          <w:p w14:paraId="09A6522F" w14:textId="28B31166" w:rsidR="00AF4A20" w:rsidRDefault="00AF4A20" w:rsidP="008756AC">
            <w:pPr>
              <w:jc w:val="left"/>
              <w:rPr>
                <w:lang w:val="en-US"/>
              </w:rPr>
            </w:pPr>
            <w:r>
              <w:rPr>
                <w:lang w:val="en-US"/>
              </w:rPr>
              <w:t>Some solvents (particularly noncommercial ones) can be very expensive</w:t>
            </w:r>
          </w:p>
          <w:p w14:paraId="3EC28FF9" w14:textId="77777777" w:rsidR="00AF4A20" w:rsidRDefault="00AF4A20" w:rsidP="008756AC">
            <w:pPr>
              <w:jc w:val="left"/>
              <w:rPr>
                <w:lang w:val="en-US"/>
              </w:rPr>
            </w:pPr>
            <w:r>
              <w:rPr>
                <w:lang w:val="en-US"/>
              </w:rPr>
              <w:t>Regeneration and reuse of the organic solvents is needed</w:t>
            </w:r>
          </w:p>
          <w:p w14:paraId="5BC7211D" w14:textId="77777777" w:rsidR="00AF4A20" w:rsidRDefault="00AF4A20" w:rsidP="008756AC">
            <w:pPr>
              <w:jc w:val="left"/>
              <w:rPr>
                <w:lang w:val="en-US"/>
              </w:rPr>
            </w:pPr>
          </w:p>
          <w:p w14:paraId="27628DA7" w14:textId="13CDDDEA" w:rsidR="00AF4A20" w:rsidRDefault="00AF4A20" w:rsidP="008756AC">
            <w:pPr>
              <w:jc w:val="left"/>
              <w:rPr>
                <w:lang w:val="en-US"/>
              </w:rPr>
            </w:pPr>
            <w:r>
              <w:rPr>
                <w:lang w:val="en-US"/>
              </w:rPr>
              <w:t>Need for more complex and more expensive equipment</w:t>
            </w:r>
          </w:p>
          <w:p w14:paraId="783AA64B" w14:textId="77777777" w:rsidR="00AF4A20" w:rsidRDefault="00AF4A20" w:rsidP="008756AC">
            <w:pPr>
              <w:jc w:val="left"/>
              <w:rPr>
                <w:lang w:val="en-US"/>
              </w:rPr>
            </w:pPr>
          </w:p>
          <w:p w14:paraId="7A5FAB1B" w14:textId="77777777" w:rsidR="00AF4A20" w:rsidRDefault="00AF4A20" w:rsidP="008756AC">
            <w:pPr>
              <w:jc w:val="left"/>
              <w:rPr>
                <w:lang w:val="en-US"/>
              </w:rPr>
            </w:pPr>
          </w:p>
          <w:p w14:paraId="2DDDD7EE" w14:textId="67B19C96" w:rsidR="00AF4A20" w:rsidRDefault="00AF4A20" w:rsidP="008756AC">
            <w:pPr>
              <w:jc w:val="left"/>
              <w:rPr>
                <w:lang w:val="en-US"/>
              </w:rPr>
            </w:pPr>
            <w:r>
              <w:rPr>
                <w:lang w:val="en-US"/>
              </w:rPr>
              <w:t xml:space="preserve">Optimization/control of the process </w:t>
            </w:r>
            <w:r w:rsidR="00193687">
              <w:rPr>
                <w:lang w:val="en-US"/>
              </w:rPr>
              <w:t>i</w:t>
            </w:r>
            <w:r>
              <w:rPr>
                <w:lang w:val="en-US"/>
              </w:rPr>
              <w:t>s more complex than precipitation</w:t>
            </w:r>
          </w:p>
          <w:p w14:paraId="2E4E863C" w14:textId="77777777" w:rsidR="00AF4A20" w:rsidRDefault="00AF4A20" w:rsidP="008756AC">
            <w:pPr>
              <w:jc w:val="left"/>
              <w:rPr>
                <w:lang w:val="en-US"/>
              </w:rPr>
            </w:pPr>
          </w:p>
          <w:p w14:paraId="7A214319" w14:textId="77777777" w:rsidR="00AF4A20" w:rsidRDefault="00AF4A20" w:rsidP="008756AC">
            <w:pPr>
              <w:jc w:val="left"/>
              <w:rPr>
                <w:lang w:val="en-US"/>
              </w:rPr>
            </w:pPr>
          </w:p>
          <w:p w14:paraId="59641F90" w14:textId="77777777" w:rsidR="00AF4A20" w:rsidRDefault="00AF4A20" w:rsidP="008756AC">
            <w:pPr>
              <w:jc w:val="left"/>
              <w:rPr>
                <w:lang w:val="en-US"/>
              </w:rPr>
            </w:pPr>
          </w:p>
          <w:p w14:paraId="789AF555" w14:textId="68F6BF28" w:rsidR="00AF4A20" w:rsidRDefault="00AF4A20" w:rsidP="008756AC">
            <w:pPr>
              <w:jc w:val="left"/>
              <w:rPr>
                <w:lang w:val="en-US"/>
              </w:rPr>
            </w:pPr>
            <w:r>
              <w:rPr>
                <w:lang w:val="en-US"/>
              </w:rPr>
              <w:t>Sensitive to solid impurities in the feed (crud or third-phase formation)</w:t>
            </w:r>
          </w:p>
          <w:p w14:paraId="7BD9F911" w14:textId="181F01F6" w:rsidR="00AF4A20" w:rsidRPr="00DD7C7E" w:rsidRDefault="00AF4A20" w:rsidP="008756AC">
            <w:pPr>
              <w:jc w:val="left"/>
              <w:rPr>
                <w:lang w:val="en-US"/>
              </w:rPr>
            </w:pPr>
            <w:r>
              <w:rPr>
                <w:lang w:val="en-US"/>
              </w:rPr>
              <w:lastRenderedPageBreak/>
              <w:t>The final product is a solution that requires additional processing to obtain solid compounds (e.g., precipitation)</w:t>
            </w:r>
          </w:p>
        </w:tc>
      </w:tr>
    </w:tbl>
    <w:p w14:paraId="1C587574" w14:textId="5294E581" w:rsidR="004C7E31" w:rsidRPr="009A215A" w:rsidRDefault="004C7E31" w:rsidP="009A215A"/>
    <w:p w14:paraId="05E2D03E" w14:textId="3225E79A" w:rsidR="008060FE" w:rsidRDefault="008060FE" w:rsidP="009A215A">
      <w:r w:rsidRPr="009A215A">
        <w:t xml:space="preserve">Precipitation is acknowledged as the cheapest alternative </w:t>
      </w:r>
      <w:r w:rsidR="00441E33" w:rsidRPr="009A215A">
        <w:t>because it</w:t>
      </w:r>
      <w:r w:rsidRPr="009A215A">
        <w:t xml:space="preserve"> us</w:t>
      </w:r>
      <w:r w:rsidR="00441E33" w:rsidRPr="009A215A">
        <w:t>es</w:t>
      </w:r>
      <w:r w:rsidRPr="009A215A">
        <w:t xml:space="preserve"> less expensive chemicals and simpler apparatus. Usually, it results in a high recovery rate, </w:t>
      </w:r>
      <w:r w:rsidR="00441E33" w:rsidRPr="009A215A">
        <w:t xml:space="preserve">but </w:t>
      </w:r>
      <w:r w:rsidRPr="009A215A">
        <w:t>with lower purity when compared to solvent extraction. Chemicals that can be used for precipitation are sodium hydroxide, oxalic acid, or ammonium oxalate</w:t>
      </w:r>
      <w:r w:rsidR="006E3C7A">
        <w:rPr>
          <w:lang w:val="en-US"/>
        </w:rPr>
        <w:t xml:space="preserve"> </w:t>
      </w:r>
      <w:r w:rsidR="006E3C7A">
        <w:rPr>
          <w:lang w:val="en-US"/>
        </w:rPr>
        <w:fldChar w:fldCharType="begin" w:fldLock="1"/>
      </w:r>
      <w:r w:rsidR="006E3C7A">
        <w:rPr>
          <w:lang w:val="en-US"/>
        </w:rPr>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6E3C7A">
        <w:rPr>
          <w:lang w:val="en-US"/>
        </w:rPr>
        <w:fldChar w:fldCharType="separate"/>
      </w:r>
      <w:r w:rsidR="006E3C7A" w:rsidRPr="006E3C7A">
        <w:rPr>
          <w:noProof/>
          <w:lang w:val="en-US"/>
        </w:rPr>
        <w:t>(Tunsu et al., 2015)</w:t>
      </w:r>
      <w:r w:rsidR="006E3C7A">
        <w:rPr>
          <w:lang w:val="en-US"/>
        </w:rPr>
        <w:fldChar w:fldCharType="end"/>
      </w:r>
      <w:r w:rsidR="006E3C7A">
        <w:rPr>
          <w:lang w:val="en-US"/>
        </w:rPr>
        <w:t xml:space="preserve">. </w:t>
      </w:r>
      <w:r w:rsidRPr="009A215A">
        <w:t>Usually, oxalic acid is used, resulting in oxalates insoluble in water and diluted acids, easily separated through filtration</w:t>
      </w:r>
      <w:r w:rsidR="005E1943" w:rsidRPr="009A215A">
        <w:t>,</w:t>
      </w:r>
      <w:r w:rsidRPr="009A215A">
        <w:t xml:space="preserve"> and calcinated at high temperatures </w:t>
      </w:r>
      <w:r w:rsidR="00441E33" w:rsidRPr="009A215A">
        <w:t xml:space="preserve">to </w:t>
      </w:r>
      <w:r w:rsidRPr="009A215A">
        <w:t xml:space="preserve">obtain </w:t>
      </w:r>
      <w:r w:rsidR="00BC2E81" w:rsidRPr="009A215A">
        <w:t>REE</w:t>
      </w:r>
      <w:r w:rsidR="00BC2E81">
        <w:rPr>
          <w:lang w:val="en-US"/>
        </w:rPr>
        <w:t>s</w:t>
      </w:r>
      <w:r w:rsidR="00BC2E81" w:rsidRPr="009A215A">
        <w:t xml:space="preserve"> </w:t>
      </w:r>
      <w:r w:rsidRPr="009A215A">
        <w:t xml:space="preserve">oxides </w:t>
      </w:r>
      <w:r w:rsidR="006E3C7A">
        <w:fldChar w:fldCharType="begin" w:fldLock="1"/>
      </w:r>
      <w:r w:rsidR="00A6167C">
        <w:instrText>ADDIN CSL_CITATION {"citationItems":[{"id":"ITEM-1","itemData":{"DOI":"10.1016/B978-0-08-102057-9.00008-1","ISBN":"9780081020579","abstract":"Neodymium-iron-boron (NdFeB) magnets are used in many applications, from small consumer electronics to future sustainable technologies, e.g., electric transportation and wind power. Rare earth elements (REEs) amount to about a third of the composition of NdFeB magnets. Given that REEs are presently considered critical and have very high supply risk, their recycling from end-of-life products has received increased attention. Magnet-containing streams are valuable secondary sources of REEs, e.g., neodymium, praseodymium, dysprosium, and terbium.","author":[{"dropping-particle":"","family":"Tunsu","given":"Cristian","non-dropping-particle":"","parse-names":false,"suffix":""}],"container-title":"Waste Electrical and Electronic Equipment Recycling: Aqueous Recovery Methods","id":"ITEM-1","issued":{"date-parts":[["2018"]]},"number-of-pages":"175-211","publisher":"Elsevier Ltd","title":"Hydrometallurgy in the recycling of spent NdFeB permanent magnets","type":"book"},"uris":["http://www.mendeley.com/documents/?uuid=b3f7c0c6-17e9-4bd0-b287-d45291bc0aa8"]}],"mendeley":{"formattedCitation":"(Tunsu, 2018)","plainTextFormattedCitation":"(Tunsu, 2018)","previouslyFormattedCitation":"(Tunsu, 2018)"},"properties":{"noteIndex":0},"schema":"https://github.com/citation-style-language/schema/raw/master/csl-citation.json"}</w:instrText>
      </w:r>
      <w:r w:rsidR="006E3C7A">
        <w:fldChar w:fldCharType="separate"/>
      </w:r>
      <w:r w:rsidR="006E3C7A" w:rsidRPr="006E3C7A">
        <w:rPr>
          <w:noProof/>
        </w:rPr>
        <w:t>(Tunsu, 2018)</w:t>
      </w:r>
      <w:r w:rsidR="006E3C7A">
        <w:fldChar w:fldCharType="end"/>
      </w:r>
      <w:r w:rsidRPr="009A215A">
        <w:t xml:space="preserve">. In case the </w:t>
      </w:r>
      <w:r w:rsidR="00BC2E81" w:rsidRPr="009A215A">
        <w:t>REE</w:t>
      </w:r>
      <w:r w:rsidR="00BC2E81">
        <w:rPr>
          <w:lang w:val="en-US"/>
        </w:rPr>
        <w:t>s</w:t>
      </w:r>
      <w:r w:rsidR="00BC2E81" w:rsidRPr="009A215A">
        <w:t xml:space="preserve"> </w:t>
      </w:r>
      <w:r w:rsidRPr="009A215A">
        <w:t xml:space="preserve">are preferred in </w:t>
      </w:r>
      <w:r w:rsidR="005C16A7" w:rsidRPr="009A215A">
        <w:t xml:space="preserve">the </w:t>
      </w:r>
      <w:r w:rsidRPr="009A215A">
        <w:t>metallic form, hydrogen reduction at a high temperature can be used</w:t>
      </w:r>
      <w:r w:rsidR="00A6167C">
        <w:rPr>
          <w:lang w:val="en-US"/>
        </w:rPr>
        <w:t xml:space="preserve"> </w:t>
      </w:r>
      <w:r w:rsidR="00A6167C">
        <w:rPr>
          <w:lang w:val="en-US"/>
        </w:rPr>
        <w:fldChar w:fldCharType="begin" w:fldLock="1"/>
      </w:r>
      <w:r w:rsidR="00017523">
        <w:rPr>
          <w:lang w:val="en-US"/>
        </w:rPr>
        <w:instrText>ADDIN CSL_CITATION {"citationItems":[{"id":"ITEM-1","itemData":{"DOI":"10.1016/j.hydromet.2015.06.007","ISSN":"0304386X","abstract":"Due to their large variety of applications, their low supply and high demand, the rare earth elements (REEs) are presently viewed as being among the most critical chemical elements. Because of this, their potential recovery from end-of-life waste products has been extensively discussed both in society and in the scientific literature. This concept of recovering elements contained in end-of-life products, known as urban mining, is regarded as an important step in achieving a sustainable, circular society. This review article discusses the perspectives of reclaiming the REEs from various waste streams using hydrometallurgical methods. Three main streams are discussed in detail (phosphor-containing products, NiMH batteries and permanent magnets), touching on the state-of-the-art of material pre-treatment, leaching and separation of REEs and refining. Comparisons with the extraction of REEs from ores are drawn, bringing forth both the advantages and some of the disadvantages of urban mining.","author":[{"dropping-particle":"","family":"Tunsu","given":"Cristian","non-dropping-particle":"","parse-names":false,"suffix":""},{"dropping-particle":"","family":"Petranikova","given":"Martina","non-dropping-particle":"","parse-names":false,"suffix":""},{"dropping-particle":"","family":"Gergorić","given":"Marino","non-dropping-particle":"","parse-names":false,"suffix":""},{"dropping-particle":"","family":"Ekberg","given":"Christian","non-dropping-particle":"","parse-names":false,"suffix":""},{"dropping-particle":"","family":"Retegan","given":"Teodora","non-dropping-particle":"","parse-names":false,"suffix":""}],"container-title":"Hydrometallurgy","id":"ITEM-1","issued":{"date-parts":[["2015"]]},"page":"239-258","title":"Reclaiming rare earth elements from end-of-life products: A review of the perspectives for urban mining using hydrometallurgical unit operations","type":"article-journal","volume":"156"},"uris":["http://www.mendeley.com/documents/?uuid=21f740dc-33a7-414d-97e8-503c44cf69e8"]}],"mendeley":{"formattedCitation":"(Tunsu et al., 2015)","plainTextFormattedCitation":"(Tunsu et al., 2015)","previouslyFormattedCitation":"(Tunsu et al., 2015)"},"properties":{"noteIndex":0},"schema":"https://github.com/citation-style-language/schema/raw/master/csl-citation.json"}</w:instrText>
      </w:r>
      <w:r w:rsidR="00A6167C">
        <w:rPr>
          <w:lang w:val="en-US"/>
        </w:rPr>
        <w:fldChar w:fldCharType="separate"/>
      </w:r>
      <w:r w:rsidR="00A6167C" w:rsidRPr="00A6167C">
        <w:rPr>
          <w:noProof/>
          <w:lang w:val="en-US"/>
        </w:rPr>
        <w:t>(Tunsu et al., 2015)</w:t>
      </w:r>
      <w:r w:rsidR="00A6167C">
        <w:rPr>
          <w:lang w:val="en-US"/>
        </w:rPr>
        <w:fldChar w:fldCharType="end"/>
      </w:r>
      <w:r w:rsidR="00A6167C">
        <w:rPr>
          <w:lang w:val="en-US"/>
        </w:rPr>
        <w:t xml:space="preserve">. </w:t>
      </w:r>
      <w:r w:rsidRPr="009A215A">
        <w:t xml:space="preserve"> </w:t>
      </w:r>
    </w:p>
    <w:p w14:paraId="2FF045CE" w14:textId="77777777" w:rsidR="00D976A6" w:rsidRPr="009A215A" w:rsidRDefault="00D976A6" w:rsidP="009A215A"/>
    <w:p w14:paraId="24D608D1" w14:textId="7DFC85CA" w:rsidR="00A56CD3" w:rsidRPr="009A215A" w:rsidRDefault="00D70385" w:rsidP="009A215A">
      <w:r>
        <w:rPr>
          <w:lang w:val="en-US"/>
        </w:rPr>
        <w:t>T</w:t>
      </w:r>
      <w:r w:rsidR="008060FE" w:rsidRPr="009A215A">
        <w:t>he use of hydrometallurgy is appropriate for separating REE</w:t>
      </w:r>
      <w:r w:rsidR="00BC2E81">
        <w:rPr>
          <w:lang w:val="en-US"/>
        </w:rPr>
        <w:t>s</w:t>
      </w:r>
      <w:r w:rsidR="008060FE" w:rsidRPr="009A215A">
        <w:t xml:space="preserve"> from iron and other metallic impurities </w:t>
      </w:r>
      <w:r w:rsidR="00017523">
        <w:fldChar w:fldCharType="begin" w:fldLock="1"/>
      </w:r>
      <w:r w:rsidR="00233865">
        <w:instrText>ADDIN CSL_CITATION {"citationItems":[{"id":"ITEM-1","itemData":{"DOI":"10.1179/1743285514Y.0000000084","ISSN":"17432855","abstract":"The recovery of neodymium from post-consumer products is gaining significant interest. To study the recycling feasibility of neodymium in end-of-life (EOL) computer hard disc drives (HDDs), NdFeB magnets were collected using a steel grate during commercial shredding, followed by thermal demagnetisation, grinding and screening to yield an upgraded scrap. Two metallurgical extraction routes were investigated. The first is a high temperature molten slag extraction followed by H&lt;inf&gt;2&lt;/inf&gt;SO&lt;inf&gt;4&lt;/inf&gt; leaching at room temperature. Both CaO-SiO&lt;inf&gt;2&lt;/inf&gt;-Al&lt;inf&gt;2&lt;/inf&gt;O&lt;inf&gt;3&lt;/inf&gt; and CaO-CaF&lt;inf&gt;2&lt;/inf&gt; slag systems were tested with more than 99% rare earths recovery, but with incomplete leaching. In the second route, the upgraded scrap was directly leached to dissolve 97% rare earth content. In both cases, 98% of the rare earths in the leach solution were subsequently converted into a high purity (98.4%) rare earths double salt (NaNd(SO&lt;inf&gt;4&lt;/inf&gt;)&lt;inf&gt;2&lt;/inf&gt;·H&lt;inf&gt;2&lt;/inf&gt;O) that can be converted to either RF&lt;inf&gt;3&lt;/inf&gt; or R&lt;inf&gt;2&lt;/inf&gt;O&lt;inf&gt;3&lt;/inf&gt;, the two common raw materials in the production of rare earth metals.","author":[{"dropping-particle":"","family":"Abrahami","given":"S. T.","non-dropping-particle":"","parse-names":false,"suffix":""},{"dropping-particle":"","family":"Xiao","given":"Y.","non-dropping-particle":"","parse-names":false,"suffix":""},{"dropping-particle":"","family":"Yang","given":"Y.","non-dropping-particle":"","parse-names":false,"suffix":""}],"container-title":"Transactions of the Institutions of Mining and Metallurgy, Section C: Mineral Processing and Extractive Metallurgy","id":"ITEM-1","issue":"2","issued":{"date-parts":[["2015"]]},"page":"106-115","title":"Rare-earth elements recovery from post-consumer hard-disc drives","type":"article-journal","volume":"124"},"uris":["http://www.mendeley.com/documents/?uuid=ca6841c0-d1c9-47f9-a8ce-8d4359acabfd"]}],"mendeley":{"formattedCitation":"(Abrahami et al., 2015)","plainTextFormattedCitation":"(Abrahami et al., 2015)","previouslyFormattedCitation":"(Abrahami et al., 2015)"},"properties":{"noteIndex":0},"schema":"https://github.com/citation-style-language/schema/raw/master/csl-citation.json"}</w:instrText>
      </w:r>
      <w:r w:rsidR="00017523">
        <w:fldChar w:fldCharType="separate"/>
      </w:r>
      <w:r w:rsidR="00017523" w:rsidRPr="00017523">
        <w:rPr>
          <w:noProof/>
        </w:rPr>
        <w:t>(Abrahami et al., 2015)</w:t>
      </w:r>
      <w:r w:rsidR="00017523">
        <w:fldChar w:fldCharType="end"/>
      </w:r>
      <w:r w:rsidR="00017523">
        <w:rPr>
          <w:lang w:val="en-US"/>
        </w:rPr>
        <w:t>.</w:t>
      </w:r>
      <w:r w:rsidR="008060FE" w:rsidRPr="009A215A">
        <w:t xml:space="preserve"> Nonetheless, the increasing low grade of EOL feed </w:t>
      </w:r>
      <w:r w:rsidR="005E52D7">
        <w:rPr>
          <w:lang w:val="en-US"/>
        </w:rPr>
        <w:t>entails</w:t>
      </w:r>
      <w:r w:rsidR="008060FE" w:rsidRPr="009A215A">
        <w:t xml:space="preserve"> adaptation and refining </w:t>
      </w:r>
      <w:r w:rsidR="00AC02E5">
        <w:rPr>
          <w:lang w:val="en-US"/>
        </w:rPr>
        <w:t>in</w:t>
      </w:r>
      <w:r w:rsidR="008060FE" w:rsidRPr="009A215A">
        <w:t xml:space="preserve"> this recycling technology </w:t>
      </w:r>
      <w:r w:rsidR="00233865">
        <w:fldChar w:fldCharType="begin" w:fldLock="1"/>
      </w:r>
      <w:r w:rsidR="00D64647">
        <w:instrText>ADDIN CSL_CITATION {"citationItems":[{"id":"ITEM-1","itemData":{"DOI":"10.1016/B978-0-12-802328-0.00021-8","ISBN":"9780128023280","abstract":"The recycling of rare earth elements (REEs) from mine tailings and REE containing end-of-life (EoL) scrap, two promising secondary resources, offers great opportunities to secure an REE supply in Europe. The relatively low concentration of REE in mine tailings (1000-1500ppm) and the variety of contaminants in the EoL scrap have made the extraction of REE from these resources challenging. This chapter provides a review of past and present technologies for REE leaching used in primary REE production and of current REE recycling as an important part of hydrometallurgical REE processing. Detailed studies of the existing processes are essential to properly understand and resolve difficulties in REE recycling from these secondary resources. Known processes range from acid leaching with H2SO4, HCl, or HNO3 for primary ores to leaching with NaCl or (NH4)2SO4 of ion adsorbed clays and combined base and acid leaching for EoL lamp phosphors. A comprehensive understanding of these processes is the key to applying them to REE recycling from secondary resources.","author":[{"dropping-particle":"","family":"Peelman","given":"Sebastiaan","non-dropping-particle":"","parse-names":false,"suffix":""},{"dropping-particle":"","family":"Sun","given":"Zhi H.I.","non-dropping-particle":"","parse-names":false,"suffix":""},{"dropping-particle":"","family":"Sietsma","given":"Jilt","non-dropping-particle":"","parse-names":false,"suffix":""},{"dropping-particle":"","family":"Yang","given":"Yongxiang","non-dropping-particle":"","parse-names":false,"suffix":""}],"container-title":"Rare Earths Industry: Technological, Economic, and Environmental Implications","id":"ITEM-1","issued":{"date-parts":[["2015"]]},"number-of-pages":"319-334","publisher":"Elsevier Inc.","title":"Leaching of Rare Earth Elements: Review of Past and Present Technologies","type":"book"},"uris":["http://www.mendeley.com/documents/?uuid=51949dd8-6ef7-4a84-8408-376be07fe2df"]}],"mendeley":{"formattedCitation":"(Peelman et al., 2015)","plainTextFormattedCitation":"(Peelman et al., 2015)","previouslyFormattedCitation":"(Peelman et al., 2015)"},"properties":{"noteIndex":0},"schema":"https://github.com/citation-style-language/schema/raw/master/csl-citation.json"}</w:instrText>
      </w:r>
      <w:r w:rsidR="00233865">
        <w:fldChar w:fldCharType="separate"/>
      </w:r>
      <w:r w:rsidR="00233865" w:rsidRPr="00233865">
        <w:rPr>
          <w:noProof/>
        </w:rPr>
        <w:t>(Peelman et al., 2015)</w:t>
      </w:r>
      <w:r w:rsidR="00233865">
        <w:fldChar w:fldCharType="end"/>
      </w:r>
      <w:r w:rsidR="008060FE" w:rsidRPr="009A215A">
        <w:t xml:space="preserve">. The use of microwave-assisted leaching is a novel and promising technique that reduces time and chemical consumption </w:t>
      </w:r>
      <w:r w:rsidR="00D64647">
        <w:fldChar w:fldCharType="begin" w:fldLock="1"/>
      </w:r>
      <w:r w:rsidR="00C46865">
        <w:instrText>ADDIN CSL_CITATION {"citationItems":[{"id":"ITEM-1","itemData":{"DOI":"10.1016/j.hydromet.2016.01.035","ISSN":"0304386X","abstract":"Rare earth metals are essential ingredients for the development of modern industry as well as designing and developing high technology products used in our daily lives. Consequently, the worldwide demand of rare earth metals is rising quickly and predicted to surpass the supply by 40,000 tons annually. However, their availability is declining, mainly due to the export quotas imposed by the Chinese government and actions taken against illegal mining operations. This has laid emphasis to exploit and expand technologies to meet the future necessities of rare earth metals. Bastnasite, monazite, and xenotime are their chief mercantile sources, which are generally beneficiated by flotation, gravity or magnetic separation processes to get concentrates that are processed using pyro/hydrometallurgical routes. To develop feasible and eco-friendly processes, R&amp;D studies are being conducted for the extraction of rare earth metals from leached solutions (chloride, nitrate, sulfate, thiocyanate, etc.) using different cationic, anionic and solvating solvents or ions depending on material and media. Commercial extraction of rare earth metals has been carried out using different extractants viz. D2EHPA, Cyanex 272, PC 88A, Versatic 10, TBP, Aliquat 336, etc. The present paper reviews the methods used for the recovery of rare earth metals from primary as well as secondary resources, with special attention to the hydrometallurgical techniques, consisting of leaching with acids and alkalis followed by solvent extraction, ion exchange or precipitation. The piece of comparative and summarized review will be useful for the researchers to develop processes for rare earth recovery under various conditions.","author":[{"dropping-particle":"","family":"Jha","given":"Manis Kumar","non-dropping-particle":"","parse-names":false,"suffix":""},{"dropping-particle":"","family":"Kumari","given":"Archana","non-dropping-particle":"","parse-names":false,"suffix":""},{"dropping-particle":"","family":"Panda","given":"Rekha","non-dropping-particle":"","parse-names":false,"suffix":""},{"dropping-particle":"","family":"Rajesh Kumar","given":"Jyothi","non-dropping-particle":"","parse-names":false,"suffix":""},{"dropping-particle":"","family":"Yoo","given":"Kyoungkeun","non-dropping-particle":"","parse-names":false,"suffix":""},{"dropping-particle":"","family":"Lee","given":"Jin Young","non-dropping-particle":"","parse-names":false,"suffix":""}],"container-title":"Hydrometallurgy","id":"ITEM-1","issued":{"date-parts":[["2016"]]},"page":"2-26","publisher":"Elsevier B.V.","title":"Review on hydrometallurgical recovery of rare earth metals","type":"article-journal","volume":"165"},"uris":["http://www.mendeley.com/documents/?uuid=a38b1670-2a0f-4b31-bcda-c0c9172c7512"]}],"mendeley":{"formattedCitation":"(Jha et al., 2016)","plainTextFormattedCitation":"(Jha et al., 2016)","previouslyFormattedCitation":"(Jha et al., 2016)"},"properties":{"noteIndex":0},"schema":"https://github.com/citation-style-language/schema/raw/master/csl-citation.json"}</w:instrText>
      </w:r>
      <w:r w:rsidR="00D64647">
        <w:fldChar w:fldCharType="separate"/>
      </w:r>
      <w:r w:rsidR="00D64647" w:rsidRPr="00D64647">
        <w:rPr>
          <w:noProof/>
        </w:rPr>
        <w:t>(Jha et al., 2016)</w:t>
      </w:r>
      <w:r w:rsidR="00D64647">
        <w:fldChar w:fldCharType="end"/>
      </w:r>
      <w:r w:rsidR="008060FE" w:rsidRPr="009A215A">
        <w:t xml:space="preserve">. Other industry practices, such as bioleaching, appear as favorable for low grade and difficult to leach secondary resources </w:t>
      </w:r>
      <w:r w:rsidR="00C46865">
        <w:fldChar w:fldCharType="begin" w:fldLock="1"/>
      </w:r>
      <w:r w:rsidR="00C46865">
        <w:instrText>ADDIN CSL_CITATION {"citationItems":[{"id":"ITEM-1","itemData":{"DOI":"10.1016/B978-0-12-802328-0.00021-8","ISBN":"9780128023280","abstract":"The recycling of rare earth elements (REEs) from mine tailings and REE containing end-of-life (EoL) scrap, two promising secondary resources, offers great opportunities to secure an REE supply in Europe. The relatively low concentration of REE in mine tailings (1000-1500ppm) and the variety of contaminants in the EoL scrap have made the extraction of REE from these resources challenging. This chapter provides a review of past and present technologies for REE leaching used in primary REE production and of current REE recycling as an important part of hydrometallurgical REE processing. Detailed studies of the existing processes are essential to properly understand and resolve difficulties in REE recycling from these secondary resources. Known processes range from acid leaching with H2SO4, HCl, or HNO3 for primary ores to leaching with NaCl or (NH4)2SO4 of ion adsorbed clays and combined base and acid leaching for EoL lamp phosphors. A comprehensive understanding of these processes is the key to applying them to REE recycling from secondary resources.","author":[{"dropping-particle":"","family":"Peelman","given":"Sebastiaan","non-dropping-particle":"","parse-names":false,"suffix":""},{"dropping-particle":"","family":"Sun","given":"Zhi H.I.","non-dropping-particle":"","parse-names":false,"suffix":""},{"dropping-particle":"","family":"Sietsma","given":"Jilt","non-dropping-particle":"","parse-names":false,"suffix":""},{"dropping-particle":"","family":"Yang","given":"Yongxiang","non-dropping-particle":"","parse-names":false,"suffix":""}],"container-title":"Rare Earths Industry: Technological, Economic, and Environmental Implications","id":"ITEM-1","issued":{"date-parts":[["2015"]]},"number-of-pages":"319-334","publisher":"Elsevier Inc.","title":"Leaching of Rare Earth Elements: Review of Past and Present Technologies","type":"book"},"uris":["http://www.mendeley.com/documents/?uuid=51949dd8-6ef7-4a84-8408-376be07fe2df"]}],"mendeley":{"formattedCitation":"(Peelman et al., 2015)","plainTextFormattedCitation":"(Peelman et al., 2015)","previouslyFormattedCitation":"(Peelman et al., 2015)"},"properties":{"noteIndex":0},"schema":"https://github.com/citation-style-language/schema/raw/master/csl-citation.json"}</w:instrText>
      </w:r>
      <w:r w:rsidR="00C46865">
        <w:fldChar w:fldCharType="separate"/>
      </w:r>
      <w:r w:rsidR="00C46865" w:rsidRPr="00C46865">
        <w:rPr>
          <w:noProof/>
        </w:rPr>
        <w:t>(Peelman et al., 2015)</w:t>
      </w:r>
      <w:r w:rsidR="00C46865">
        <w:fldChar w:fldCharType="end"/>
      </w:r>
      <w:r w:rsidR="008060FE" w:rsidRPr="009A215A">
        <w:t xml:space="preserve">. </w:t>
      </w:r>
      <w:r w:rsidR="00C46865">
        <w:fldChar w:fldCharType="begin" w:fldLock="1"/>
      </w:r>
      <w:r w:rsidR="00C46865">
        <w:instrText>ADDIN CSL_CITATION {"citationItems":[{"id":"ITEM-1","itemData":{"DOI":"10.1007/s11356-020-09630-2","ISSN":"16147499","PMID":"32617815","abstract":"The demand for rare earth elements (REEs) has significantly increased due to their indispensable uses in integrated circuits of modern technology. However, due to the extensive use of high-tech applications in our daily life and the depletion of their primary ores, REE’s recovery from secondary sources is today needed. REEs have now attracted attention to policymakers and scientists to develop novel recovery technologies for materials’ supply sustainability. This paper summarizes the recent progress for the recovery of REEs using various emerging technologies such as bioleaching, biosorption, cryo-milling, electrochemical processes and nanomaterials, siderophores, hydrometallurgy, pyrometallurgy, and supercritical CO2. The challenges facing this recovery are discussed comprehensively and some possible improvements are presented. This work also highlights the economic and engineering aspects of the recovery of REE from waste electrical and electronic equipment (WEEE). Finally, this review suggests that greener and low chemical consuming technologies, such as siderophores and electrochemical processes, are promising for the recovery of REEs present in small quantities. These technologies present also a potential for large-scale application.","author":[{"dropping-particle":"","family":"Ambaye","given":"Teklit Gebregiorgis","non-dropping-particle":"","parse-names":false,"suffix":""},{"dropping-particle":"","family":"Vaccari","given":"Mentore","non-dropping-particle":"","parse-names":false,"suffix":""},{"dropping-particle":"","family":"Castro","given":"Francine Duarte","non-dropping-particle":"","parse-names":false,"suffix":""},{"dropping-particle":"","family":"Prasad","given":"Shiv","non-dropping-particle":"","parse-names":false,"suffix":""},{"dropping-particle":"","family":"Rtimi","given":"Sami","non-dropping-particle":"","parse-names":false,"suffix":""}],"container-title":"Environmental Science and Pollution Research","id":"ITEM-1","issue":"29","issued":{"date-parts":[["2020"]]},"page":"36052-36074","publisher":"Environmental Science and Pollution Research","title":"Emerging technologies for the recovery of rare earth elements (REEs) from the end-of-life electronic wastes: a review on progress, challenges, and perspectives","type":"article-journal","volume":"27"},"uris":["http://www.mendeley.com/documents/?uuid=715d054f-b6aa-4987-a4c7-5c34b08b50b7"]}],"mendeley":{"formattedCitation":"(Ambaye et al., 2020)","manualFormatting":"Ambaye et al. (2020)","plainTextFormattedCitation":"(Ambaye et al., 2020)","previouslyFormattedCitation":"(Ambaye et al., 2020)"},"properties":{"noteIndex":0},"schema":"https://github.com/citation-style-language/schema/raw/master/csl-citation.json"}</w:instrText>
      </w:r>
      <w:r w:rsidR="00C46865">
        <w:fldChar w:fldCharType="separate"/>
      </w:r>
      <w:r w:rsidR="00C46865" w:rsidRPr="00C46865">
        <w:rPr>
          <w:noProof/>
        </w:rPr>
        <w:t>Ambaye et al.</w:t>
      </w:r>
      <w:r w:rsidR="00C46865" w:rsidRPr="00D31E7F">
        <w:rPr>
          <w:noProof/>
          <w:lang w:val="nl-NL"/>
        </w:rPr>
        <w:t xml:space="preserve"> (</w:t>
      </w:r>
      <w:r w:rsidR="00C46865" w:rsidRPr="00C46865">
        <w:rPr>
          <w:noProof/>
        </w:rPr>
        <w:t>2020)</w:t>
      </w:r>
      <w:r w:rsidR="00C46865">
        <w:fldChar w:fldCharType="end"/>
      </w:r>
      <w:r w:rsidR="008060FE" w:rsidRPr="009A215A">
        <w:t xml:space="preserve"> and </w:t>
      </w:r>
      <w:r w:rsidR="00C46865">
        <w:fldChar w:fldCharType="begin" w:fldLock="1"/>
      </w:r>
      <w:r w:rsidR="00432E11">
        <w:instrText>ADDIN CSL_CITATION {"citationItems":[{"id":"ITEM-1","itemData":{"DOI":"10.1016/j.jclepro.2019.02.094","ISSN":"09596526","abstract":"The continuous miniaturization of modern green and advanced technologies is increasing the demand of rare earth elements (REEs). Consequently, REEs are listed as the critical metals concerning their crucial role for a clean environment. However, their resources are limited which in turn disrupt their supply chain. To tackle the supply issue and to meet future demand, there is need to exploit recycling schemes for the recovery REEs from secondary resources. This review describes comprehensively various processes developed for the separation of REEs and transition metals from secondary resources. It focuses on the hydrometallurgical route, especially solvent extraction employed to separate REEs and transition metals from potential wastes originated from different industries. The use of different commercial extractants for the recycling purposes and mechanisms involved in the extraction has been discussed in detail.","author":[{"dropping-particle":"","family":"Swain","given":"Nilam","non-dropping-particle":"","parse-names":false,"suffix":""},{"dropping-particle":"","family":"Mishra","given":"Sujata","non-dropping-particle":"","parse-names":false,"suffix":""}],"container-title":"Journal of Cleaner Production","id":"ITEM-1","issued":{"date-parts":[["2019"]]},"page":"884-898","publisher":"Elsevier Ltd","title":"A review on the recovery and separation of rare earths and transition metals from secondary resources","type":"article-journal","volume":"220"},"uris":["http://www.mendeley.com/documents/?uuid=17248aca-536c-497d-be2d-f27e4ca9c5aa"]}],"mendeley":{"formattedCitation":"(Swain &amp; Mishra, 2019)","manualFormatting":"Swain &amp; Mishra (2019)","plainTextFormattedCitation":"(Swain &amp; Mishra, 2019)","previouslyFormattedCitation":"(Swain &amp; Mishra, 2019)"},"properties":{"noteIndex":0},"schema":"https://github.com/citation-style-language/schema/raw/master/csl-citation.json"}</w:instrText>
      </w:r>
      <w:r w:rsidR="00C46865">
        <w:fldChar w:fldCharType="separate"/>
      </w:r>
      <w:r w:rsidR="00C46865" w:rsidRPr="00C46865">
        <w:rPr>
          <w:noProof/>
        </w:rPr>
        <w:t>Swain &amp; Mishra</w:t>
      </w:r>
      <w:r w:rsidR="00C46865" w:rsidRPr="00D31E7F">
        <w:rPr>
          <w:noProof/>
          <w:lang w:val="nl-NL"/>
        </w:rPr>
        <w:t xml:space="preserve"> (</w:t>
      </w:r>
      <w:r w:rsidR="00C46865" w:rsidRPr="00C46865">
        <w:rPr>
          <w:noProof/>
        </w:rPr>
        <w:t>2019)</w:t>
      </w:r>
      <w:r w:rsidR="00C46865">
        <w:fldChar w:fldCharType="end"/>
      </w:r>
      <w:r w:rsidR="00C46865" w:rsidRPr="00D31E7F">
        <w:rPr>
          <w:lang w:val="nl-NL"/>
        </w:rPr>
        <w:t xml:space="preserve"> </w:t>
      </w:r>
      <w:r w:rsidR="008060FE" w:rsidRPr="009A215A">
        <w:t>mention other REE</w:t>
      </w:r>
      <w:r w:rsidR="00BC2E81" w:rsidRPr="00D31E7F">
        <w:rPr>
          <w:lang w:val="nl-NL"/>
        </w:rPr>
        <w:t>s</w:t>
      </w:r>
      <w:r w:rsidR="008060FE" w:rsidRPr="009A215A">
        <w:t xml:space="preserve"> recovery and separation techniques such as biosorption, siderophores, carbon-based material, molten slag extraction, glass slag method, electro cycling, liquid membrane extraction, and supercritical fluid extraction. All in all, it is possible to see that science and industry are trying to figure out feasible methods to recover REE</w:t>
      </w:r>
      <w:r w:rsidR="00BC2E81">
        <w:rPr>
          <w:lang w:val="en-US"/>
        </w:rPr>
        <w:t>s</w:t>
      </w:r>
      <w:r w:rsidR="008060FE" w:rsidRPr="009A215A">
        <w:t xml:space="preserve">, mostly including economic and environmentally friendly approaches.   </w:t>
      </w:r>
    </w:p>
    <w:p w14:paraId="3D8D59CA" w14:textId="1EAC8989" w:rsidR="005E0228" w:rsidRPr="009A215A" w:rsidRDefault="00A56CD3" w:rsidP="009A215A">
      <w:r w:rsidRPr="009A215A">
        <w:br w:type="page"/>
      </w:r>
    </w:p>
    <w:p w14:paraId="4A7E357F" w14:textId="325EF837" w:rsidR="00ED64B9" w:rsidRDefault="00B035B5" w:rsidP="00F92ED7">
      <w:pPr>
        <w:pStyle w:val="Heading2"/>
      </w:pPr>
      <w:bookmarkStart w:id="26" w:name="_Toc76752264"/>
      <w:r>
        <w:lastRenderedPageBreak/>
        <w:t xml:space="preserve">Ex-ante </w:t>
      </w:r>
      <w:r w:rsidR="005E0228" w:rsidRPr="009A215A">
        <w:t xml:space="preserve">Life </w:t>
      </w:r>
      <w:r w:rsidR="00204F5F">
        <w:t>C</w:t>
      </w:r>
      <w:r w:rsidR="005E0228" w:rsidRPr="009A215A">
        <w:t xml:space="preserve">ycle </w:t>
      </w:r>
      <w:r w:rsidR="00204F5F">
        <w:t>A</w:t>
      </w:r>
      <w:r w:rsidR="005E0228" w:rsidRPr="009A215A">
        <w:t>ssessment</w:t>
      </w:r>
      <w:r w:rsidR="00204F5F">
        <w:t xml:space="preserve"> (LCA)</w:t>
      </w:r>
      <w:bookmarkEnd w:id="26"/>
    </w:p>
    <w:p w14:paraId="0AD2B9A3" w14:textId="77777777" w:rsidR="00FE18D2" w:rsidRPr="009A215A" w:rsidRDefault="00FE18D2" w:rsidP="00FE18D2"/>
    <w:p w14:paraId="6A803741" w14:textId="0340151D" w:rsidR="008060FE" w:rsidRPr="009A215A" w:rsidRDefault="008060FE" w:rsidP="009A215A">
      <w:r w:rsidRPr="009A215A">
        <w:t>The LCA</w:t>
      </w:r>
      <w:r w:rsidR="00204F5F">
        <w:rPr>
          <w:lang w:val="en-US"/>
        </w:rPr>
        <w:t xml:space="preserve"> methodology </w:t>
      </w:r>
      <w:r w:rsidRPr="009A215A">
        <w:t xml:space="preserve">has been used since the late 1960s to evaluate products and services' environmental performance </w:t>
      </w:r>
      <w:r w:rsidR="00432E11">
        <w:fldChar w:fldCharType="begin" w:fldLock="1"/>
      </w:r>
      <w:r w:rsidR="00432E11">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432E11">
        <w:fldChar w:fldCharType="separate"/>
      </w:r>
      <w:r w:rsidR="00432E11" w:rsidRPr="00432E11">
        <w:rPr>
          <w:noProof/>
        </w:rPr>
        <w:t>(Villares et al., 2017)</w:t>
      </w:r>
      <w:r w:rsidR="00432E11">
        <w:fldChar w:fldCharType="end"/>
      </w:r>
      <w:r w:rsidR="00432E11">
        <w:rPr>
          <w:lang w:val="en-US"/>
        </w:rPr>
        <w:t>.</w:t>
      </w:r>
      <w:r w:rsidRPr="009A215A">
        <w:t xml:space="preserve"> LCA is a quantitative tool widely acknowledged by academia and industry for measuring</w:t>
      </w:r>
      <w:r w:rsidR="0000189C">
        <w:rPr>
          <w:lang w:val="en-US"/>
        </w:rPr>
        <w:t xml:space="preserve"> </w:t>
      </w:r>
      <w:r w:rsidRPr="009A215A">
        <w:t>environmental impacts and disclosu</w:t>
      </w:r>
      <w:r w:rsidR="0000189C">
        <w:rPr>
          <w:lang w:val="en-US"/>
        </w:rPr>
        <w:t>ring</w:t>
      </w:r>
      <w:r w:rsidRPr="009A215A">
        <w:t xml:space="preserve"> of environmental hot spots of a product system.  LCA's default application is in ongoing systems, in which process maturity is observed and data collection is relatively easy </w:t>
      </w:r>
      <w:r w:rsidR="00432E11">
        <w:fldChar w:fldCharType="begin" w:fldLock="1"/>
      </w:r>
      <w:r w:rsidR="00D727CC">
        <w:instrText>ADDIN CSL_CITATION {"citationItems":[{"id":"ITEM-1","itemData":{"DOI":"10.1111/jiec.12965","ISSN":"15309290","abstract":"In recent literature, prospective application of life cycle assessment (LCA) at low technology readiness levels (TRL) has gained immense interest for its potential to enable development of emerging technologies with improved environmental performances. However, limited data, uncertain functionality, scale up issues and uncertainties make it very challenging for the standard LCA guidelines to evaluate emerging technologies and requires methodological advances in the current LCA framework. In this paper, we review published literature to identify major methodological challenges and key research efforts to resolve these issues with a focus on recent developments in five major areas: cross-study comparability, data availability and quality, scale-up issues, uncertainty and uncertainty communication, and assessment time. We also provide a number of recommendations for future research to support the evaluation of emerging technologies at low technology readiness levels: (a) the development of a consistent framework and reporting methods for LCA of emerging technologies; (b) the integration of other tools with LCA, such as multicriteria decision analysis, risk analysis, technoeconomic analysis; and (c) the development of a data repository for emerging materials, processes, and technologies.","author":[{"dropping-particle":"","family":"Moni","given":"Sheikh Moniruzzaman","non-dropping-particle":"","parse-names":false,"suffix":""},{"dropping-particle":"","family":"Mahmud","given":"Roksana","non-dropping-particle":"","parse-names":false,"suffix":""},{"dropping-particle":"","family":"High","given":"Karen","non-dropping-particle":"","parse-names":false,"suffix":""},{"dropping-particle":"","family":"Carbajales-Dale","given":"Michael","non-dropping-particle":"","parse-names":false,"suffix":""}],"container-title":"Journal of Industrial Ecology","id":"ITEM-1","issue":"1","issued":{"date-parts":[["2020"]]},"page":"52-63","title":"Life cycle assessment of emerging technologies: A review","type":"article-journal","volume":"24"},"uris":["http://www.mendeley.com/documents/?uuid=ef051e50-e9d7-41d5-ab6c-e493cf68e7ad"]}],"mendeley":{"formattedCitation":"(Moni et al., 2020)","plainTextFormattedCitation":"(Moni et al., 2020)","previouslyFormattedCitation":"(Moni et al., 2020)"},"properties":{"noteIndex":0},"schema":"https://github.com/citation-style-language/schema/raw/master/csl-citation.json"}</w:instrText>
      </w:r>
      <w:r w:rsidR="00432E11">
        <w:fldChar w:fldCharType="separate"/>
      </w:r>
      <w:r w:rsidR="00432E11" w:rsidRPr="00432E11">
        <w:rPr>
          <w:noProof/>
        </w:rPr>
        <w:t>(Moni et al., 2020)</w:t>
      </w:r>
      <w:r w:rsidR="00432E11">
        <w:fldChar w:fldCharType="end"/>
      </w:r>
      <w:r w:rsidRPr="009A215A">
        <w:t xml:space="preserve">. Nonetheless, its application is not limited and has been used for environmental assessment of emerging technologies too. The advantage here resides in the early identification of burdens before market penetration. This entails improvement at low-cost facilitating launching the novel technology as environmentally friendly as the incumbent one </w:t>
      </w:r>
      <w:r w:rsidR="00D727CC">
        <w:fldChar w:fldCharType="begin" w:fldLock="1"/>
      </w:r>
      <w:r w:rsidR="00D727CC">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Technologies","type":"article-journal","volume":"69"},"uris":["http://www.mendeley.com/documents/?uuid=b328ee37-39e1-4df7-b435-a34ab42c1f1f"]}],"mendeley":{"formattedCitation":"(Cucurachi et al., 2018)","plainTextFormattedCitation":"(Cucurachi et al., 2018)","previouslyFormattedCitation":"(Cucurachi et al., 2018)"},"properties":{"noteIndex":0},"schema":"https://github.com/citation-style-language/schema/raw/master/csl-citation.json"}</w:instrText>
      </w:r>
      <w:r w:rsidR="00D727CC">
        <w:fldChar w:fldCharType="separate"/>
      </w:r>
      <w:r w:rsidR="00D727CC" w:rsidRPr="00D727CC">
        <w:rPr>
          <w:noProof/>
        </w:rPr>
        <w:t>(Cucurachi et al., 2018)</w:t>
      </w:r>
      <w:r w:rsidR="00D727CC">
        <w:fldChar w:fldCharType="end"/>
      </w:r>
      <w:r w:rsidR="00D727CC">
        <w:rPr>
          <w:lang w:val="en-US"/>
        </w:rPr>
        <w:t xml:space="preserve">. </w:t>
      </w:r>
      <w:r w:rsidRPr="009A215A">
        <w:t xml:space="preserve">This type of forward-looking LCA application is classified as ex-ante LCA </w:t>
      </w:r>
      <w:r w:rsidR="00D727CC">
        <w:fldChar w:fldCharType="begin" w:fldLock="1"/>
      </w:r>
      <w:r w:rsidR="006B74D9">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Technologies","type":"article-journal","volume":"69"},"uris":["http://www.mendeley.com/documents/?uuid=b328ee37-39e1-4df7-b435-a34ab42c1f1f"]},{"id":"ITEM-2","itemData":{"DOI":"10.1007/s11367-020-01796-8","ISSN":"16147502","abstract":"Purpose: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Assessment","id":"ITEM-2","issue":"9","issued":{"date-parts":[["2020"]]},"page":"1680-1692","publisher":"The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review","type":"article-journal","volume":"25"},"uris":["http://www.mendeley.com/documents/?uuid=bf378caf-ea47-4ee7-89ae-705c5f13674a"]}],"mendeley":{"formattedCitation":"(Cucurachi et al., 2018; Tsoy et al., 2020)","plainTextFormattedCitation":"(Cucurachi et al., 2018; Tsoy et al., 2020)","previouslyFormattedCitation":"(Cucurachi et al., 2018; Tsoy et al., 2020)"},"properties":{"noteIndex":0},"schema":"https://github.com/citation-style-language/schema/raw/master/csl-citation.json"}</w:instrText>
      </w:r>
      <w:r w:rsidR="00D727CC">
        <w:fldChar w:fldCharType="separate"/>
      </w:r>
      <w:r w:rsidR="00D727CC" w:rsidRPr="00D727CC">
        <w:rPr>
          <w:noProof/>
        </w:rPr>
        <w:t>(Cucurachi et al., 2018; Tsoy et al., 2020)</w:t>
      </w:r>
      <w:r w:rsidR="00D727CC">
        <w:fldChar w:fldCharType="end"/>
      </w:r>
      <w:r w:rsidR="00D727CC">
        <w:rPr>
          <w:lang w:val="en-US"/>
        </w:rPr>
        <w:t xml:space="preserve">. </w:t>
      </w:r>
      <w:r w:rsidR="00D66522">
        <w:rPr>
          <w:lang w:val="en-US"/>
        </w:rPr>
        <w:t>As t</w:t>
      </w:r>
      <w:r w:rsidRPr="009A215A">
        <w:t xml:space="preserve">he analysis to be carried out in this work applies to </w:t>
      </w:r>
      <w:r w:rsidR="00004A58" w:rsidRPr="009A215A">
        <w:t xml:space="preserve">an </w:t>
      </w:r>
      <w:r w:rsidRPr="009A215A">
        <w:t>emerging technology to recover EOL NdFeB magnet</w:t>
      </w:r>
      <w:r w:rsidR="00037168">
        <w:rPr>
          <w:lang w:val="en-US"/>
        </w:rPr>
        <w:t>s</w:t>
      </w:r>
      <w:r w:rsidR="00D66522">
        <w:rPr>
          <w:lang w:val="en-US"/>
        </w:rPr>
        <w:t xml:space="preserve">, </w:t>
      </w:r>
      <w:r w:rsidRPr="009A215A">
        <w:t>an ex-ante LCA must be carried</w:t>
      </w:r>
      <w:r w:rsidR="00037168">
        <w:rPr>
          <w:lang w:val="en-US"/>
        </w:rPr>
        <w:t xml:space="preserve"> out</w:t>
      </w:r>
      <w:r w:rsidRPr="009A215A">
        <w:t>.</w:t>
      </w:r>
    </w:p>
    <w:p w14:paraId="0E8CAF22" w14:textId="77777777" w:rsidR="00B035B5" w:rsidRDefault="00B035B5" w:rsidP="009A215A"/>
    <w:p w14:paraId="53D495E6" w14:textId="78C077EE" w:rsidR="008060FE" w:rsidRDefault="008060FE" w:rsidP="009A215A">
      <w:r w:rsidRPr="009A215A">
        <w:t xml:space="preserve">Literature has pointed out a range of methodology variations for performing an ex-ante LCA </w:t>
      </w:r>
      <w:r w:rsidR="006B74D9">
        <w:fldChar w:fldCharType="begin" w:fldLock="1"/>
      </w:r>
      <w:r w:rsidR="00560134">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Technologies","type":"article-journal","volume":"69"},"uris":["http://www.mendeley.com/documents/?uuid=b328ee37-39e1-4df7-b435-a34ab42c1f1f"]},{"id":"ITEM-2","itemData":{"DOI":"10.1111/jiec.12965","ISSN":"15309290","abstract":"In recent literature, prospective application of life cycle assessment (LCA) at low technology readiness levels (TRL) has gained immense interest for its potential to enable development of emerging technologies with improved environmental performances. However, limited data, uncertain functionality, scale up issues and uncertainties make it very challenging for the standard LCA guidelines to evaluate emerging technologies and requires methodological advances in the current LCA framework. In this paper, we review published literature to identify major methodological challenges and key research efforts to resolve these issues with a focus on recent developments in five major areas: cross-study comparability, data availability and quality, scale-up issues, uncertainty and uncertainty communication, and assessment time. We also provide a number of recommendations for future research to support the evaluation of emerging technologies at low technology readiness levels: (a) the development of a consistent framework and reporting methods for LCA of emerging technologies; (b) the integration of other tools with LCA, such as multicriteria decision analysis, risk analysis, technoeconomic analysis; and (c) the development of a data repository for emerging materials, processes, and technologies.","author":[{"dropping-particle":"","family":"Moni","given":"Sheikh Moniruzzaman","non-dropping-particle":"","parse-names":false,"suffix":""},{"dropping-particle":"","family":"Mahmud","given":"Roksana","non-dropping-particle":"","parse-names":false,"suffix":""},{"dropping-particle":"","family":"High","given":"Karen","non-dropping-particle":"","parse-names":false,"suffix":""},{"dropping-particle":"","family":"Carbajales-Dale","given":"Michael","non-dropping-particle":"","parse-names":false,"suffix":""}],"container-title":"Journal of Industrial Ecology","id":"ITEM-2","issue":"1","issued":{"date-parts":[["2020"]]},"page":"52-63","title":"Life cycle assessment of emerging technologies: A review","type":"article-journal","volume":"24"},"uris":["http://www.mendeley.com/documents/?uuid=ef051e50-e9d7-41d5-ab6c-e493cf68e7ad"]},{"id":"ITEM-3","itemData":{"DOI":"10.1007/s11367-020-01796-8","ISSN":"16147502","abstract":"Purpose: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Assessment","id":"ITEM-3","issue":"9","issued":{"date-parts":[["2020"]]},"page":"1680-1692","publisher":"The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review","type":"article-journal","volume":"25"},"uris":["http://www.mendeley.com/documents/?uuid=bf378caf-ea47-4ee7-89ae-705c5f13674a"]}],"mendeley":{"formattedCitation":"(Cucurachi et al., 2018; Moni et al., 2020; Tsoy et al., 2020)","plainTextFormattedCitation":"(Cucurachi et al., 2018; Moni et al., 2020; Tsoy et al., 2020)","previouslyFormattedCitation":"(Cucurachi et al., 2018; Moni et al., 2020; Tsoy et al., 2020)"},"properties":{"noteIndex":0},"schema":"https://github.com/citation-style-language/schema/raw/master/csl-citation.json"}</w:instrText>
      </w:r>
      <w:r w:rsidR="006B74D9">
        <w:fldChar w:fldCharType="separate"/>
      </w:r>
      <w:r w:rsidR="006B74D9" w:rsidRPr="006B74D9">
        <w:rPr>
          <w:noProof/>
        </w:rPr>
        <w:t>(Cucurachi et al., 2018; Moni et al., 2020; Tsoy et al., 2020)</w:t>
      </w:r>
      <w:r w:rsidR="006B74D9">
        <w:fldChar w:fldCharType="end"/>
      </w:r>
      <w:r w:rsidRPr="009A215A">
        <w:t xml:space="preserve">. The challenges tailored by the initial level of information and the starting configuration of the new technology </w:t>
      </w:r>
      <w:r w:rsidR="006527A7">
        <w:rPr>
          <w:lang w:val="en-US"/>
        </w:rPr>
        <w:t xml:space="preserve">is mainly regarded to </w:t>
      </w:r>
      <w:r w:rsidRPr="009A215A">
        <w:t xml:space="preserve">the intrinsic need for an intricate network of interlinked processes to constitute the background and foreground data processes of the LCA system. However, this challenge is an opportunity to improve technology design aspects such as functionality and understand the implications of different choices on the technology's anticipated environmental performance </w:t>
      </w:r>
      <w:r w:rsidR="00560134">
        <w:fldChar w:fldCharType="begin" w:fldLock="1"/>
      </w:r>
      <w:r w:rsidR="00CD19CA">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Technologies","type":"article-journal","volume":"69"},"uris":["http://www.mendeley.com/documents/?uuid=b328ee37-39e1-4df7-b435-a34ab42c1f1f"]}],"mendeley":{"formattedCitation":"(Cucurachi et al., 2018)","plainTextFormattedCitation":"(Cucurachi et al., 2018)","previouslyFormattedCitation":"(Cucurachi et al., 2018)"},"properties":{"noteIndex":0},"schema":"https://github.com/citation-style-language/schema/raw/master/csl-citation.json"}</w:instrText>
      </w:r>
      <w:r w:rsidR="00560134">
        <w:fldChar w:fldCharType="separate"/>
      </w:r>
      <w:r w:rsidR="00560134" w:rsidRPr="00560134">
        <w:rPr>
          <w:noProof/>
        </w:rPr>
        <w:t>(Cucurachi et al., 2018)</w:t>
      </w:r>
      <w:r w:rsidR="00560134">
        <w:fldChar w:fldCharType="end"/>
      </w:r>
      <w:r w:rsidRPr="009A215A">
        <w:t xml:space="preserve">. This avoids technology disruption, environmental burdens, regrettable investments, and even anticipates changes in environmental regulations </w:t>
      </w:r>
      <w:r w:rsidR="00CD19CA">
        <w:fldChar w:fldCharType="begin" w:fldLock="1"/>
      </w:r>
      <w:r w:rsidR="00CD19CA">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Technologies","type":"article-journal","volume":"69"},"uris":["http://www.mendeley.com/documents/?uuid=b328ee37-39e1-4df7-b435-a34ab42c1f1f"]}],"mendeley":{"formattedCitation":"(Cucurachi et al., 2018)","plainTextFormattedCitation":"(Cucurachi et al., 2018)","previouslyFormattedCitation":"(Cucurachi et al., 2018)"},"properties":{"noteIndex":0},"schema":"https://github.com/citation-style-language/schema/raw/master/csl-citation.json"}</w:instrText>
      </w:r>
      <w:r w:rsidR="00CD19CA">
        <w:fldChar w:fldCharType="separate"/>
      </w:r>
      <w:r w:rsidR="00CD19CA" w:rsidRPr="00CD19CA">
        <w:rPr>
          <w:noProof/>
        </w:rPr>
        <w:t>(Cucurachi et al., 2018)</w:t>
      </w:r>
      <w:r w:rsidR="00CD19CA">
        <w:fldChar w:fldCharType="end"/>
      </w:r>
      <w:r w:rsidR="00CD19CA">
        <w:rPr>
          <w:lang w:val="en-US"/>
        </w:rPr>
        <w:t xml:space="preserve">. </w:t>
      </w:r>
      <w:r w:rsidR="00CD19CA">
        <w:rPr>
          <w:lang w:val="en-US"/>
        </w:rPr>
        <w:fldChar w:fldCharType="begin" w:fldLock="1"/>
      </w:r>
      <w:r w:rsidR="00814789">
        <w:rPr>
          <w:lang w:val="en-US"/>
        </w:rPr>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2017)","manualFormatting":"Villares et al. (2017)","plainTextFormattedCitation":"(Villares et al., 2017)","previouslyFormattedCitation":"(Villares et al., 2017)"},"properties":{"noteIndex":0},"schema":"https://github.com/citation-style-language/schema/raw/master/csl-citation.json"}</w:instrText>
      </w:r>
      <w:r w:rsidR="00CD19CA">
        <w:rPr>
          <w:lang w:val="en-US"/>
        </w:rPr>
        <w:fldChar w:fldCharType="separate"/>
      </w:r>
      <w:r w:rsidR="00CD19CA" w:rsidRPr="00CD19CA">
        <w:rPr>
          <w:noProof/>
          <w:lang w:val="en-US"/>
        </w:rPr>
        <w:t>Villares et al.</w:t>
      </w:r>
      <w:r w:rsidR="00CD19CA">
        <w:rPr>
          <w:noProof/>
          <w:lang w:val="en-US"/>
        </w:rPr>
        <w:t xml:space="preserve"> (</w:t>
      </w:r>
      <w:r w:rsidR="00CD19CA" w:rsidRPr="00CD19CA">
        <w:rPr>
          <w:noProof/>
          <w:lang w:val="en-US"/>
        </w:rPr>
        <w:t>2017)</w:t>
      </w:r>
      <w:r w:rsidR="00CD19CA">
        <w:rPr>
          <w:lang w:val="en-US"/>
        </w:rPr>
        <w:fldChar w:fldCharType="end"/>
      </w:r>
      <w:r w:rsidRPr="009A215A">
        <w:t xml:space="preserve"> point</w:t>
      </w:r>
      <w:r w:rsidR="00006B9C">
        <w:rPr>
          <w:lang w:val="en-US"/>
        </w:rPr>
        <w:t>ed</w:t>
      </w:r>
      <w:r w:rsidRPr="009A215A">
        <w:t xml:space="preserve"> out that ex-ante LCA suits the evaluation of research proposals or design concepts, mainly contributing to early-stage studies' viability on closing material loops and desirable transitions to the circular economy. </w:t>
      </w:r>
    </w:p>
    <w:p w14:paraId="1117EB9A" w14:textId="77777777" w:rsidR="00006B9C" w:rsidRPr="009A215A" w:rsidRDefault="00006B9C" w:rsidP="009A215A"/>
    <w:p w14:paraId="32867BA8" w14:textId="6D293C54" w:rsidR="001E24FB" w:rsidRPr="000B65AE" w:rsidRDefault="008060FE" w:rsidP="009A215A">
      <w:pPr>
        <w:rPr>
          <w:lang w:val="en-US"/>
        </w:rPr>
      </w:pPr>
      <w:r w:rsidRPr="009A215A">
        <w:t xml:space="preserve">Emerging technologies are classified according to their </w:t>
      </w:r>
      <w:r w:rsidRPr="005C0762">
        <w:t>technology readiness level (TRL)</w:t>
      </w:r>
      <w:r w:rsidRPr="009A215A">
        <w:t xml:space="preserve"> and </w:t>
      </w:r>
      <w:r w:rsidRPr="005C0762">
        <w:t>manufacturing readiness level (MRL)</w:t>
      </w:r>
      <w:r w:rsidRPr="009A215A">
        <w:t xml:space="preserve">, which both define the level of technological maturity </w:t>
      </w:r>
      <w:r w:rsidR="00814789">
        <w:fldChar w:fldCharType="begin" w:fldLock="1"/>
      </w:r>
      <w:r w:rsidR="00613F8B">
        <w:instrText>ADDIN CSL_CITATION {"citationItems":[{"id":"ITEM-1","itemData":{"DOI":"10.3390/su11195456","ISSN":"20711050","abstract":"Every decision-oriented life cycle assessment (LCAs) entails, at least to some extent, a future-oriented feature. However, apart from the ex-ante LCAs, the majority of LCA studies are retrospective in nature and do not explicitly account for possible future effects. In this review a generic theoretical framework is proposed as a guideline for ex-ante LCA. This framework includes the entire technology life cycle, from the early design phase up to continuous improvements of mature technologies, including their market penetration. The compatibility with commonly applied system models yields an additional aspect of the framework. Practical methods and procedures are categorised, based on how they incorporate future-oriented features in LCA. The results indicate that most of the ex-ante LCAs focus on emerging technologies that have already gone through some research cycles within narrowly defined system boundaries. There is a lack of attention given to technologies that are at a very early development stage, when all options are still open and can be explored at a low cost. It is also acknowledged that technological learning impacts the financial and environmental performance of mature production systems. Once technologies are entering the market, shifts in market composition can lead to substantial changes in environmental performance.","author":[{"dropping-particle":"","family":"Buyle","given":"Matthias","non-dropping-particle":"","parse-names":false,"suffix":""},{"dropping-particle":"","family":"Audenaert","given":"Amaryllis","non-dropping-particle":"","parse-names":false,"suffix":""},{"dropping-particle":"","family":"Billen","given":"Pieter","non-dropping-particle":"","parse-names":false,"suffix":""},{"dropping-particle":"","family":"Boonen","given":"Katrien","non-dropping-particle":"","parse-names":false,"suffix":""},{"dropping-particle":"","family":"Passel","given":"Steven","non-dropping-particle":"Van","parse-names":false,"suffix":""}],"container-title":"Sustainability (Switzerland)","id":"ITEM-1","issue":"19","issued":{"date-parts":[["2019"]]},"page":"1-24","title":"The future of ex-ante LCA? Lessons learned and practical recommendations","type":"article-journal","volume":"11"},"uris":["http://www.mendeley.com/documents/?uuid=f4ca53ff-ec73-4141-9c7d-8f5c35951dfb"]}],"mendeley":{"formattedCitation":"(Buyle et al., 2019)","plainTextFormattedCitation":"(Buyle et al., 2019)","previouslyFormattedCitation":"(Buyle et al., 2019)"},"properties":{"noteIndex":0},"schema":"https://github.com/citation-style-language/schema/raw/master/csl-citation.json"}</w:instrText>
      </w:r>
      <w:r w:rsidR="00814789">
        <w:fldChar w:fldCharType="separate"/>
      </w:r>
      <w:r w:rsidR="00814789" w:rsidRPr="00814789">
        <w:rPr>
          <w:noProof/>
        </w:rPr>
        <w:t>(Buyle et al., 2019)</w:t>
      </w:r>
      <w:r w:rsidR="00814789">
        <w:fldChar w:fldCharType="end"/>
      </w:r>
      <w:r w:rsidR="00814789">
        <w:rPr>
          <w:lang w:val="en-US"/>
        </w:rPr>
        <w:t xml:space="preserve">. </w:t>
      </w:r>
      <w:r w:rsidRPr="009A215A">
        <w:t xml:space="preserve">TRL is a scale focusing on the technology's functional readiness, and MRL is a scale focusing on the maturity of components or subsystems for manufacturing of the </w:t>
      </w:r>
      <w:r w:rsidRPr="009A215A">
        <w:lastRenderedPageBreak/>
        <w:t xml:space="preserve">technology. Technology readiness is a prerequisite for manufacturing readiness, and together they evaluate the development stage of a technology </w:t>
      </w:r>
      <w:r w:rsidR="00613F8B">
        <w:fldChar w:fldCharType="begin" w:fldLock="1"/>
      </w:r>
      <w:r w:rsidR="00613F8B">
        <w:instrText>ADDIN CSL_CITATION {"citationItems":[{"id":"ITEM-1","itemData":{"DOI":"10.1111/jiec.12965","ISSN":"15309290","abstract":"In recent literature, prospective application of life cycle assessment (LCA) at low technology readiness levels (TRL) has gained immense interest for its potential to enable development of emerging technologies with improved environmental performances. However, limited data, uncertain functionality, scale up issues and uncertainties make it very challenging for the standard LCA guidelines to evaluate emerging technologies and requires methodological advances in the current LCA framework. In this paper, we review published literature to identify major methodological challenges and key research efforts to resolve these issues with a focus on recent developments in five major areas: cross-study comparability, data availability and quality, scale-up issues, uncertainty and uncertainty communication, and assessment time. We also provide a number of recommendations for future research to support the evaluation of emerging technologies at low technology readiness levels: (a) the development of a consistent framework and reporting methods for LCA of emerging technologies; (b) the integration of other tools with LCA, such as multicriteria decision analysis, risk analysis, technoeconomic analysis; and (c) the development of a data repository for emerging materials, processes, and technologies.","author":[{"dropping-particle":"","family":"Moni","given":"Sheikh Moniruzzaman","non-dropping-particle":"","parse-names":false,"suffix":""},{"dropping-particle":"","family":"Mahmud","given":"Roksana","non-dropping-particle":"","parse-names":false,"suffix":""},{"dropping-particle":"","family":"High","given":"Karen","non-dropping-particle":"","parse-names":false,"suffix":""},{"dropping-particle":"","family":"Carbajales-Dale","given":"Michael","non-dropping-particle":"","parse-names":false,"suffix":""}],"container-title":"Journal of Industrial Ecology","id":"ITEM-1","issue":"1","issued":{"date-parts":[["2020"]]},"page":"52-63","title":"Life cycle assessment of emerging technologies: A review","type":"article-journal","volume":"24"},"uris":["http://www.mendeley.com/documents/?uuid=ef051e50-e9d7-41d5-ab6c-e493cf68e7ad"]}],"mendeley":{"formattedCitation":"(Moni et al., 2020)","plainTextFormattedCitation":"(Moni et al., 2020)","previouslyFormattedCitation":"(Moni et al., 2020)"},"properties":{"noteIndex":0},"schema":"https://github.com/citation-style-language/schema/raw/master/csl-citation.json"}</w:instrText>
      </w:r>
      <w:r w:rsidR="00613F8B">
        <w:fldChar w:fldCharType="separate"/>
      </w:r>
      <w:r w:rsidR="00613F8B" w:rsidRPr="00613F8B">
        <w:rPr>
          <w:noProof/>
        </w:rPr>
        <w:t>(Moni et al., 2020)</w:t>
      </w:r>
      <w:r w:rsidR="00613F8B">
        <w:fldChar w:fldCharType="end"/>
      </w:r>
      <w:r w:rsidRPr="009A215A">
        <w:t xml:space="preserve">. </w:t>
      </w:r>
      <w:r w:rsidR="00613F8B">
        <w:fldChar w:fldCharType="begin" w:fldLock="1"/>
      </w:r>
      <w:r w:rsidR="006C5DA8">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613F8B">
        <w:fldChar w:fldCharType="separate"/>
      </w:r>
      <w:r w:rsidR="00613F8B" w:rsidRPr="00613F8B">
        <w:rPr>
          <w:noProof/>
        </w:rPr>
        <w:t xml:space="preserve">Tsoy et al. </w:t>
      </w:r>
      <w:r w:rsidR="00613F8B">
        <w:rPr>
          <w:noProof/>
          <w:lang w:val="en-US"/>
        </w:rPr>
        <w:t>(</w:t>
      </w:r>
      <w:r w:rsidR="00613F8B" w:rsidRPr="00613F8B">
        <w:rPr>
          <w:noProof/>
        </w:rPr>
        <w:t>2020)</w:t>
      </w:r>
      <w:r w:rsidR="00613F8B">
        <w:fldChar w:fldCharType="end"/>
      </w:r>
      <w:r w:rsidR="00613F8B">
        <w:rPr>
          <w:lang w:val="en-US"/>
        </w:rPr>
        <w:t xml:space="preserve"> </w:t>
      </w:r>
      <w:r w:rsidRPr="009A215A">
        <w:t xml:space="preserve">reported the connection of both concepts given by The </w:t>
      </w:r>
      <w:r w:rsidRPr="005C0762">
        <w:t>European Association of Research and Technology (EARTO)</w:t>
      </w:r>
      <w:r w:rsidRPr="009A215A">
        <w:t xml:space="preserve"> as shown in </w:t>
      </w:r>
      <w:r w:rsidR="000B65AE">
        <w:fldChar w:fldCharType="begin"/>
      </w:r>
      <w:r w:rsidR="000B65AE">
        <w:instrText xml:space="preserve"> REF _Ref74762222 \h </w:instrText>
      </w:r>
      <w:r w:rsidR="000B65AE">
        <w:fldChar w:fldCharType="separate"/>
      </w:r>
      <w:r w:rsidR="00BC31F4">
        <w:t xml:space="preserve">Figure </w:t>
      </w:r>
      <w:r w:rsidR="00322740">
        <w:rPr>
          <w:noProof/>
          <w:lang w:val="en-US"/>
        </w:rPr>
        <w:t>2</w:t>
      </w:r>
      <w:r w:rsidR="00BC31F4">
        <w:t>.</w:t>
      </w:r>
      <w:r w:rsidR="00BC31F4">
        <w:rPr>
          <w:noProof/>
        </w:rPr>
        <w:t>1</w:t>
      </w:r>
      <w:r w:rsidR="000B65AE">
        <w:fldChar w:fldCharType="end"/>
      </w:r>
      <w:r w:rsidR="000B65AE">
        <w:rPr>
          <w:lang w:val="en-US"/>
        </w:rPr>
        <w:t xml:space="preserve">: </w:t>
      </w:r>
    </w:p>
    <w:p w14:paraId="072D456F" w14:textId="77777777" w:rsidR="000773EF" w:rsidRPr="009A215A" w:rsidRDefault="000773EF" w:rsidP="009A215A"/>
    <w:p w14:paraId="12608FCB" w14:textId="77777777" w:rsidR="000B65AE" w:rsidRDefault="008F2459" w:rsidP="00112FBA">
      <w:pPr>
        <w:keepNext/>
        <w:jc w:val="center"/>
      </w:pPr>
      <w:r w:rsidRPr="009A215A">
        <w:rPr>
          <w:noProof/>
        </w:rPr>
        <w:drawing>
          <wp:inline distT="0" distB="0" distL="0" distR="0" wp14:anchorId="0737A584" wp14:editId="03C2C120">
            <wp:extent cx="5731510" cy="1038225"/>
            <wp:effectExtent l="0" t="0" r="0" b="317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038225"/>
                    </a:xfrm>
                    <a:prstGeom prst="rect">
                      <a:avLst/>
                    </a:prstGeom>
                  </pic:spPr>
                </pic:pic>
              </a:graphicData>
            </a:graphic>
          </wp:inline>
        </w:drawing>
      </w:r>
    </w:p>
    <w:p w14:paraId="7E36DB6F" w14:textId="0297DD3E" w:rsidR="00AC610A" w:rsidRDefault="000B65AE" w:rsidP="000B65AE">
      <w:pPr>
        <w:pStyle w:val="Caption"/>
      </w:pPr>
      <w:bookmarkStart w:id="27" w:name="_Ref74762222"/>
      <w:bookmarkStart w:id="28" w:name="_Toc76729602"/>
      <w:r>
        <w:t xml:space="preserve">Figure </w:t>
      </w:r>
      <w:r w:rsidR="00AA1459">
        <w:rPr>
          <w:lang w:val="en-US"/>
        </w:rPr>
        <w:t>2</w:t>
      </w:r>
      <w:r w:rsidR="001150DB">
        <w:t>.</w:t>
      </w:r>
      <w:r w:rsidR="00BE45E3">
        <w:fldChar w:fldCharType="begin"/>
      </w:r>
      <w:r w:rsidR="00BE45E3">
        <w:instrText xml:space="preserve"> SEQ Figure \* ARABIC \s 1 </w:instrText>
      </w:r>
      <w:r w:rsidR="00BE45E3">
        <w:fldChar w:fldCharType="separate"/>
      </w:r>
      <w:r w:rsidR="00BC31F4">
        <w:rPr>
          <w:noProof/>
        </w:rPr>
        <w:t>1</w:t>
      </w:r>
      <w:r w:rsidR="00BE45E3">
        <w:rPr>
          <w:noProof/>
        </w:rPr>
        <w:fldChar w:fldCharType="end"/>
      </w:r>
      <w:bookmarkEnd w:id="27"/>
      <w:r>
        <w:rPr>
          <w:lang w:val="en-US"/>
        </w:rPr>
        <w:t xml:space="preserve"> </w:t>
      </w:r>
      <w:r w:rsidRPr="00BD1ADF">
        <w:rPr>
          <w:lang w:val="en-US"/>
        </w:rPr>
        <w:t xml:space="preserve">TRL level on the top vs. MRL on the bottom. Source: </w:t>
      </w:r>
      <w:proofErr w:type="spellStart"/>
      <w:r w:rsidRPr="00BD1ADF">
        <w:rPr>
          <w:lang w:val="en-US"/>
        </w:rPr>
        <w:t>Tsoy</w:t>
      </w:r>
      <w:proofErr w:type="spellEnd"/>
      <w:r w:rsidRPr="00BD1ADF">
        <w:rPr>
          <w:lang w:val="en-US"/>
        </w:rPr>
        <w:t xml:space="preserve"> et al. (2020).</w:t>
      </w:r>
      <w:bookmarkEnd w:id="28"/>
    </w:p>
    <w:p w14:paraId="1D8EA2BE" w14:textId="547590BA" w:rsidR="00FF5DD8" w:rsidRPr="000B65AE" w:rsidRDefault="00FF5DD8" w:rsidP="009A215A">
      <w:pPr>
        <w:rPr>
          <w:lang w:val="en-US"/>
        </w:rPr>
      </w:pPr>
    </w:p>
    <w:p w14:paraId="16CAF4AA" w14:textId="171ABB3E" w:rsidR="001E24FB" w:rsidRPr="005A3BC6" w:rsidRDefault="001E24FB" w:rsidP="009A215A">
      <w:pPr>
        <w:rPr>
          <w:lang w:val="en-US"/>
        </w:rPr>
      </w:pPr>
      <w:r w:rsidRPr="009A215A">
        <w:t>For ex-ante LCA, an appropriate comprehension of the state in which the novel technology development encounters is essential. As mentioned above, data on emerging technologies are not as robust as data on established technolog</w:t>
      </w:r>
      <w:proofErr w:type="spellStart"/>
      <w:r w:rsidR="00665E53">
        <w:rPr>
          <w:lang w:val="en-US"/>
        </w:rPr>
        <w:t>ies</w:t>
      </w:r>
      <w:proofErr w:type="spellEnd"/>
      <w:r w:rsidRPr="009A215A">
        <w:t xml:space="preserve">. Compared with traditional ex-post LCA, this difference allows the general LCA framework to be maintained. However, rudimental ex-ante data requests the implementation of particular phases and steps such as the definition of the novel technology's intended application, its functional unit, system boundary, estimation for the projection of the technology, related data, etc. </w:t>
      </w:r>
      <w:r w:rsidR="006C5DA8">
        <w:fldChar w:fldCharType="begin" w:fldLock="1"/>
      </w:r>
      <w:r w:rsidR="005A3BC6">
        <w:instrText>ADDIN CSL_CITATION {"citationItems":[{"id":"ITEM-1","itemData":{"DOI":"10.3390/su12031192","ISSN":"20711050","abstract":"Emerging technologies are expected to contribute to environmental sustainable development. However, throughout the development of novel technologies, it is unknown whether emerging technologies can lead to reduced environmental impacts compared to a potentially displaced mature technology. Additionally, process steps suspected to be environmental hotspots can be improved by process engineers early in the development of the emerging technology. In order to determine the environmental impacts of emerging technologies at an early stage of development, prospective life cycle assessment (LCA) should be performed. However, consistency in prospective LCA methodology is lacking. Therefore, this article develops a framework for a prospective LCA in order to overcome the methodological inconsistencies regarding prospective LCAs. The methodological framework was developed using literature on prospective LCAs of emerging technologies, and therefore, a literature review on prospective LCAs was conducted. We found 44 case studies, four review papers, and 17 papers on methodological guidance. Three main challenges for conducting prospective LCAs are identified: Comparability, data, and uncertainty challenges. The issues in defining the aim, functionality, and system boundaries of the prospective LCAs, as well as problems with specifying LCIA methodologies, comprise the comparability challenge. Data availability, quality, and scaling are issues within the data challenge. Finally, uncertainty exists as an overarching challenge when applying a prospective LCA. These three challenges are especially crucial for the prospective assessment of emerging technologies. However, this review also shows that within the methodological papers and case studies, several approaches exist to tackle these challenges. These approaches were systematically summarized within a framework to give guidance on how to overcome the issues when conducting prospective LCAs of emerging technologies. Accordingly, this framework is useful for LCA practitioners who are analyzing early-stage technologies. Nevertheless, further research is needed to develop appropriate scale-up schemes and to include uncertainty analyses for a more in-depth interpretation of results.","author":[{"dropping-particle":"","family":"Thonemann","given":"Nils","non-dropping-particle":"","parse-names":false,"suffix":""},{"dropping-particle":"","family":"Schulte","given":"Anna","non-dropping-particle":"","parse-names":false,"suffix":""},{"dropping-particle":"","family":"Maga","given":"Daniel","non-dropping-particle":"","parse-names":false,"suffix":""}],"container-title":"Sustainability (Switzerland)","id":"ITEM-1","issue":"3","issued":{"date-parts":[["2020"]]},"page":"1-23","title":"How to conduct prospective life cycle assessment for emerging technologies? A systematic review and methodological guidance","type":"article-journal","volume":"12"},"uris":["http://www.mendeley.com/documents/?uuid=20d850ed-b37f-4544-8b2f-6f186ac73839"]}],"mendeley":{"formattedCitation":"(Thonemann et al., 2020)","plainTextFormattedCitation":"(Thonemann et al., 2020)","previouslyFormattedCitation":"(Thonemann et al., 2020)"},"properties":{"noteIndex":0},"schema":"https://github.com/citation-style-language/schema/raw/master/csl-citation.json"}</w:instrText>
      </w:r>
      <w:r w:rsidR="006C5DA8">
        <w:fldChar w:fldCharType="separate"/>
      </w:r>
      <w:r w:rsidR="006C5DA8" w:rsidRPr="006C5DA8">
        <w:rPr>
          <w:noProof/>
        </w:rPr>
        <w:t>(Thonemann et al., 2020)</w:t>
      </w:r>
      <w:r w:rsidR="006C5DA8">
        <w:fldChar w:fldCharType="end"/>
      </w:r>
      <w:r w:rsidRPr="009A215A">
        <w:t>. All having partial or full uncertainties, which are more deepen in ex-ante than in ex-post</w:t>
      </w:r>
      <w:r w:rsidR="005307D3" w:rsidRPr="009A215A">
        <w:t xml:space="preserve"> LCAs</w:t>
      </w:r>
      <w:r w:rsidR="005A3BC6">
        <w:rPr>
          <w:lang w:val="en-US"/>
        </w:rPr>
        <w:t xml:space="preserve"> </w:t>
      </w:r>
      <w:r w:rsidR="005A3BC6">
        <w:rPr>
          <w:lang w:val="en-US"/>
        </w:rPr>
        <w:fldChar w:fldCharType="begin" w:fldLock="1"/>
      </w:r>
      <w:r w:rsidR="0091293C">
        <w:rPr>
          <w:lang w:val="en-US"/>
        </w:rPr>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5A3BC6">
        <w:rPr>
          <w:lang w:val="en-US"/>
        </w:rPr>
        <w:fldChar w:fldCharType="separate"/>
      </w:r>
      <w:r w:rsidR="005A3BC6" w:rsidRPr="005A3BC6">
        <w:rPr>
          <w:noProof/>
          <w:lang w:val="en-US"/>
        </w:rPr>
        <w:t>(Villares et al., 2017)</w:t>
      </w:r>
      <w:r w:rsidR="005A3BC6">
        <w:rPr>
          <w:lang w:val="en-US"/>
        </w:rPr>
        <w:fldChar w:fldCharType="end"/>
      </w:r>
      <w:r w:rsidR="005A3BC6">
        <w:rPr>
          <w:lang w:val="en-US"/>
        </w:rPr>
        <w:t>.</w:t>
      </w:r>
    </w:p>
    <w:p w14:paraId="435516B3" w14:textId="77777777" w:rsidR="00E17A2E" w:rsidRPr="009A215A" w:rsidRDefault="00E17A2E" w:rsidP="009A215A"/>
    <w:p w14:paraId="7F69861E" w14:textId="31AD6675" w:rsidR="00FB1D82" w:rsidRPr="00FF3AB8" w:rsidRDefault="0091293C" w:rsidP="009A215A">
      <w:pPr>
        <w:rPr>
          <w:lang w:val="en-US"/>
        </w:rPr>
      </w:pPr>
      <w:r>
        <w:fldChar w:fldCharType="begin" w:fldLock="1"/>
      </w:r>
      <w:r w:rsidR="00061630">
        <w:instrText>ADDIN CSL_CITATION {"citationItems":[{"id":"ITEM-1","itemData":{"DOI":"10.1111/jiec.12965","ISSN":"15309290","abstract":"In recent literature, prospective application of life cycle assessment (LCA) at low technology readiness levels (TRL) has gained immense interest for its potential to enable development of emerging technologies with improved environmental performances. However, limited data, uncertain functionality, scale up issues and uncertainties make it very challenging for the standard LCA guidelines to evaluate emerging technologies and requires methodological advances in the current LCA framework. In this paper, we review published literature to identify major methodological challenges and key research efforts to resolve these issues with a focus on recent developments in five major areas: cross-study comparability, data availability and quality, scale-up issues, uncertainty and uncertainty communication, and assessment time. We also provide a number of recommendations for future research to support the evaluation of emerging technologies at low technology readiness levels: (a) the development of a consistent framework and reporting methods for LCA of emerging technologies; (b) the integration of other tools with LCA, such as multicriteria decision analysis, risk analysis, technoeconomic analysis; and (c) the development of a data repository for emerging materials, processes, and technologies.","author":[{"dropping-particle":"","family":"Moni","given":"Sheikh Moniruzzaman","non-dropping-particle":"","parse-names":false,"suffix":""},{"dropping-particle":"","family":"Mahmud","given":"Roksana","non-dropping-particle":"","parse-names":false,"suffix":""},{"dropping-particle":"","family":"High","given":"Karen","non-dropping-particle":"","parse-names":false,"suffix":""},{"dropping-particle":"","family":"Carbajales-Dale","given":"Michael","non-dropping-particle":"","parse-names":false,"suffix":""}],"container-title":"Journal of Industrial Ecology","id":"ITEM-1","issue":"1","issued":{"date-parts":[["2020"]]},"page":"52-63","title":"Life cycle assessment of emerging technologies: A review","type":"article-journal","volume":"24"},"uris":["http://www.mendeley.com/documents/?uuid=ef051e50-e9d7-41d5-ab6c-e493cf68e7ad"]}],"mendeley":{"formattedCitation":"(Moni et al., 2020)","manualFormatting":"Moni et al. (2020)","plainTextFormattedCitation":"(Moni et al., 2020)","previouslyFormattedCitation":"(Moni et al., 2020)"},"properties":{"noteIndex":0},"schema":"https://github.com/citation-style-language/schema/raw/master/csl-citation.json"}</w:instrText>
      </w:r>
      <w:r>
        <w:fldChar w:fldCharType="separate"/>
      </w:r>
      <w:r w:rsidRPr="0091293C">
        <w:rPr>
          <w:noProof/>
        </w:rPr>
        <w:t>Moni et al.</w:t>
      </w:r>
      <w:r>
        <w:rPr>
          <w:noProof/>
          <w:lang w:val="en-US"/>
        </w:rPr>
        <w:t xml:space="preserve"> (</w:t>
      </w:r>
      <w:r w:rsidRPr="0091293C">
        <w:rPr>
          <w:noProof/>
        </w:rPr>
        <w:t>2020)</w:t>
      </w:r>
      <w:r>
        <w:fldChar w:fldCharType="end"/>
      </w:r>
      <w:r>
        <w:rPr>
          <w:lang w:val="en-US"/>
        </w:rPr>
        <w:t xml:space="preserve"> </w:t>
      </w:r>
      <w:r w:rsidR="001E24FB" w:rsidRPr="009A215A">
        <w:t xml:space="preserve">summarized in a table a framework for determining the TRL, MRL, and </w:t>
      </w:r>
      <w:r w:rsidR="00FF3AB8">
        <w:rPr>
          <w:lang w:val="en-US"/>
        </w:rPr>
        <w:t xml:space="preserve">corresponding </w:t>
      </w:r>
      <w:r w:rsidR="001E24FB" w:rsidRPr="009A215A">
        <w:t>methods for data collection, contributions, and challenges for an ex-ante LCA implementation on a level-wise TRL bas</w:t>
      </w:r>
      <w:r w:rsidR="00FF3AB8">
        <w:rPr>
          <w:lang w:val="en-US"/>
        </w:rPr>
        <w:t>is</w:t>
      </w:r>
      <w:r w:rsidR="00520CAB">
        <w:rPr>
          <w:lang w:val="en-US"/>
        </w:rPr>
        <w:t xml:space="preserve"> (</w:t>
      </w:r>
      <w:r w:rsidR="00520CAB">
        <w:rPr>
          <w:lang w:val="en-US"/>
        </w:rPr>
        <w:fldChar w:fldCharType="begin"/>
      </w:r>
      <w:r w:rsidR="00520CAB">
        <w:rPr>
          <w:lang w:val="en-US"/>
        </w:rPr>
        <w:instrText xml:space="preserve"> REF _Ref74762365 \h </w:instrText>
      </w:r>
      <w:r w:rsidR="00520CAB">
        <w:rPr>
          <w:lang w:val="en-US"/>
        </w:rPr>
      </w:r>
      <w:r w:rsidR="00520CAB">
        <w:rPr>
          <w:lang w:val="en-US"/>
        </w:rPr>
        <w:fldChar w:fldCharType="separate"/>
      </w:r>
      <w:r w:rsidR="00BC31F4">
        <w:t xml:space="preserve">Figure </w:t>
      </w:r>
      <w:r w:rsidR="00E645C3">
        <w:rPr>
          <w:noProof/>
          <w:lang w:val="en-US"/>
        </w:rPr>
        <w:t>2</w:t>
      </w:r>
      <w:r w:rsidR="00BC31F4">
        <w:t>.</w:t>
      </w:r>
      <w:r w:rsidR="00BC31F4">
        <w:rPr>
          <w:noProof/>
        </w:rPr>
        <w:t>2</w:t>
      </w:r>
      <w:r w:rsidR="00520CAB">
        <w:rPr>
          <w:lang w:val="en-US"/>
        </w:rPr>
        <w:fldChar w:fldCharType="end"/>
      </w:r>
      <w:r w:rsidR="00520CAB">
        <w:rPr>
          <w:lang w:val="en-US"/>
        </w:rPr>
        <w:t>)</w:t>
      </w:r>
      <w:r w:rsidR="00FF3AB8">
        <w:rPr>
          <w:lang w:val="en-US"/>
        </w:rPr>
        <w:t xml:space="preserve">. According to their framework, the emerging hydrometallurgical recycling route to be studied here fits within TRL4-TRL6. </w:t>
      </w:r>
      <w:r w:rsidR="00A258F0">
        <w:rPr>
          <w:lang w:val="en-US"/>
        </w:rPr>
        <w:t>Part of the route</w:t>
      </w:r>
      <w:r w:rsidR="00FF3AB8">
        <w:rPr>
          <w:lang w:val="en-US"/>
        </w:rPr>
        <w:t xml:space="preserve"> had </w:t>
      </w:r>
      <w:r w:rsidR="00A258F0">
        <w:rPr>
          <w:lang w:val="en-US"/>
        </w:rPr>
        <w:t xml:space="preserve">been </w:t>
      </w:r>
      <w:r w:rsidR="00FF3AB8">
        <w:rPr>
          <w:lang w:val="en-US"/>
        </w:rPr>
        <w:t>tested in</w:t>
      </w:r>
      <w:r w:rsidR="00A258F0">
        <w:rPr>
          <w:lang w:val="en-US"/>
        </w:rPr>
        <w:t xml:space="preserve"> </w:t>
      </w:r>
      <w:r w:rsidR="00FF3AB8">
        <w:rPr>
          <w:lang w:val="en-US"/>
        </w:rPr>
        <w:t xml:space="preserve">lab scale </w:t>
      </w:r>
      <w:r w:rsidR="00A258F0">
        <w:rPr>
          <w:lang w:val="en-US"/>
        </w:rPr>
        <w:t xml:space="preserve">experiments </w:t>
      </w:r>
      <w:r w:rsidR="00FF3AB8">
        <w:rPr>
          <w:lang w:val="en-US"/>
        </w:rPr>
        <w:t xml:space="preserve">during in the EXTRADE </w:t>
      </w:r>
      <w:r w:rsidR="000C0F09">
        <w:rPr>
          <w:lang w:val="en-US"/>
        </w:rPr>
        <w:t>project and</w:t>
      </w:r>
      <w:r w:rsidR="00FF3AB8">
        <w:rPr>
          <w:lang w:val="en-US"/>
        </w:rPr>
        <w:t xml:space="preserve"> </w:t>
      </w:r>
      <w:r w:rsidR="00A258F0">
        <w:rPr>
          <w:lang w:val="en-US"/>
        </w:rPr>
        <w:t>part had been tested in</w:t>
      </w:r>
      <w:r w:rsidR="00FF3AB8">
        <w:rPr>
          <w:lang w:val="en-US"/>
        </w:rPr>
        <w:t xml:space="preserve"> pilot scale </w:t>
      </w:r>
      <w:r w:rsidR="00A258F0">
        <w:rPr>
          <w:lang w:val="en-US"/>
        </w:rPr>
        <w:t xml:space="preserve">experiments </w:t>
      </w:r>
      <w:r w:rsidR="009449F1">
        <w:rPr>
          <w:lang w:val="en-US"/>
        </w:rPr>
        <w:t>within</w:t>
      </w:r>
      <w:r w:rsidR="00FF3AB8">
        <w:rPr>
          <w:lang w:val="en-US"/>
        </w:rPr>
        <w:t xml:space="preserve"> the VALOMAG project</w:t>
      </w:r>
      <w:r w:rsidR="000C0F09">
        <w:rPr>
          <w:lang w:val="en-US"/>
        </w:rPr>
        <w:t>.</w:t>
      </w:r>
      <w:r w:rsidR="006770A2">
        <w:rPr>
          <w:lang w:val="en-US"/>
        </w:rPr>
        <w:t xml:space="preserve"> </w:t>
      </w:r>
      <w:r w:rsidR="006911C5">
        <w:rPr>
          <w:lang w:val="en-US"/>
        </w:rPr>
        <w:t>Therefore, the LCA methodological challenges will mainly concern to data and model uncertainties.</w:t>
      </w:r>
      <w:r w:rsidR="00132702">
        <w:rPr>
          <w:lang w:val="en-US"/>
        </w:rPr>
        <w:t xml:space="preserve"> </w:t>
      </w:r>
      <w:r w:rsidR="002911A2">
        <w:rPr>
          <w:lang w:val="en-US"/>
        </w:rPr>
        <w:t>Besides that</w:t>
      </w:r>
      <w:r w:rsidR="00132702">
        <w:rPr>
          <w:lang w:val="en-US"/>
        </w:rPr>
        <w:t xml:space="preserve">, the LCA results </w:t>
      </w:r>
      <w:r w:rsidR="009320DB">
        <w:rPr>
          <w:lang w:val="en-US"/>
        </w:rPr>
        <w:t>can</w:t>
      </w:r>
      <w:r w:rsidR="00132702">
        <w:rPr>
          <w:lang w:val="en-US"/>
        </w:rPr>
        <w:t xml:space="preserve"> support decision for more </w:t>
      </w:r>
      <w:r w:rsidR="009320DB">
        <w:rPr>
          <w:lang w:val="en-US"/>
        </w:rPr>
        <w:t xml:space="preserve">environmentally </w:t>
      </w:r>
      <w:r w:rsidR="00132702">
        <w:rPr>
          <w:lang w:val="en-US"/>
        </w:rPr>
        <w:t xml:space="preserve">benign process alternatives </w:t>
      </w:r>
      <w:r w:rsidR="009320DB">
        <w:rPr>
          <w:lang w:val="en-US"/>
        </w:rPr>
        <w:t>choices.</w:t>
      </w:r>
    </w:p>
    <w:p w14:paraId="35AADC29" w14:textId="3EB288D3" w:rsidR="001E24FB" w:rsidRPr="009A215A" w:rsidRDefault="001E24FB" w:rsidP="009A215A"/>
    <w:p w14:paraId="6237EC7A" w14:textId="5C251214" w:rsidR="00A56CD3" w:rsidRPr="009A215A" w:rsidRDefault="00A56CD3" w:rsidP="009A215A"/>
    <w:p w14:paraId="7C591C23" w14:textId="77777777" w:rsidR="00520CAB" w:rsidRPr="009A215A" w:rsidRDefault="00520CAB" w:rsidP="009A215A"/>
    <w:p w14:paraId="3D6AD0EE" w14:textId="77777777" w:rsidR="00520CAB" w:rsidRDefault="00C90DAD" w:rsidP="00F24C6B">
      <w:pPr>
        <w:keepNext/>
        <w:jc w:val="center"/>
      </w:pPr>
      <w:r w:rsidRPr="009A215A">
        <w:rPr>
          <w:noProof/>
        </w:rPr>
        <w:lastRenderedPageBreak/>
        <w:drawing>
          <wp:inline distT="0" distB="0" distL="0" distR="0" wp14:anchorId="4E3FD860" wp14:editId="2C0979F3">
            <wp:extent cx="6364800" cy="450000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64800" cy="4500000"/>
                    </a:xfrm>
                    <a:prstGeom prst="rect">
                      <a:avLst/>
                    </a:prstGeom>
                  </pic:spPr>
                </pic:pic>
              </a:graphicData>
            </a:graphic>
          </wp:inline>
        </w:drawing>
      </w:r>
    </w:p>
    <w:p w14:paraId="26654E86" w14:textId="3F3CF0E6" w:rsidR="00A56CD3" w:rsidRPr="009A215A" w:rsidRDefault="00520CAB" w:rsidP="00994CB7">
      <w:pPr>
        <w:pStyle w:val="Caption"/>
      </w:pPr>
      <w:bookmarkStart w:id="29" w:name="_Ref74762365"/>
      <w:bookmarkStart w:id="30" w:name="_Toc76729603"/>
      <w:r>
        <w:t xml:space="preserve">Figure </w:t>
      </w:r>
      <w:r w:rsidR="00840755">
        <w:rPr>
          <w:lang w:val="en-US"/>
        </w:rPr>
        <w:t>2</w:t>
      </w:r>
      <w:r w:rsidR="001150DB">
        <w:t>.</w:t>
      </w:r>
      <w:r w:rsidR="00BE45E3">
        <w:fldChar w:fldCharType="begin"/>
      </w:r>
      <w:r w:rsidR="00BE45E3">
        <w:instrText xml:space="preserve"> SEQ Figure \* ARABIC \s 1 </w:instrText>
      </w:r>
      <w:r w:rsidR="00BE45E3">
        <w:fldChar w:fldCharType="separate"/>
      </w:r>
      <w:r w:rsidR="00BC31F4">
        <w:rPr>
          <w:noProof/>
        </w:rPr>
        <w:t>2</w:t>
      </w:r>
      <w:r w:rsidR="00BE45E3">
        <w:rPr>
          <w:noProof/>
        </w:rPr>
        <w:fldChar w:fldCharType="end"/>
      </w:r>
      <w:bookmarkEnd w:id="29"/>
      <w:r>
        <w:rPr>
          <w:lang w:val="en-US"/>
        </w:rPr>
        <w:t xml:space="preserve"> </w:t>
      </w:r>
      <w:r w:rsidRPr="00B95A2C">
        <w:rPr>
          <w:lang w:val="en-US"/>
        </w:rPr>
        <w:t>Framework for determining TRL, MRL, data collection, and challenges for ex-ante LCA. Source: Moni et al. (2020)</w:t>
      </w:r>
      <w:r>
        <w:rPr>
          <w:lang w:val="en-US"/>
        </w:rPr>
        <w:t>.</w:t>
      </w:r>
      <w:bookmarkEnd w:id="30"/>
    </w:p>
    <w:p w14:paraId="449E1B8D" w14:textId="5BE9CA16" w:rsidR="001E24FB" w:rsidRPr="00061630" w:rsidRDefault="001E24FB" w:rsidP="009A215A">
      <w:pPr>
        <w:rPr>
          <w:lang w:val="en-US"/>
        </w:rPr>
      </w:pPr>
      <w:r w:rsidRPr="00560A2D">
        <w:t xml:space="preserve">The ultimate </w:t>
      </w:r>
      <w:r w:rsidR="00CA7BEA" w:rsidRPr="00560A2D">
        <w:t xml:space="preserve">goal </w:t>
      </w:r>
      <w:r w:rsidRPr="00560A2D">
        <w:t>of ex-ante LCAs is to evaluate the novel technology's environmental burdens on an industrial scale before it gets into this scale.</w:t>
      </w:r>
      <w:r w:rsidRPr="009A215A">
        <w:t xml:space="preserve"> The assessment of a low TRL (lab-scale and pilot-scale) is usually not representative of industrial scale, which may generate significantly reduced impacts due to the use of different equipment, processes efficiency, generation of by-product, and waste recycling loops </w:t>
      </w:r>
      <w:r w:rsidR="00061630">
        <w:fldChar w:fldCharType="begin" w:fldLock="1"/>
      </w:r>
      <w:r w:rsidR="00061630">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061630">
        <w:fldChar w:fldCharType="separate"/>
      </w:r>
      <w:r w:rsidR="00061630" w:rsidRPr="00061630">
        <w:rPr>
          <w:noProof/>
        </w:rPr>
        <w:t>(Villares et al., 2017)</w:t>
      </w:r>
      <w:r w:rsidR="00061630">
        <w:fldChar w:fldCharType="end"/>
      </w:r>
      <w:r w:rsidRPr="009A215A">
        <w:t>. In order to compare the environmental burdens of</w:t>
      </w:r>
      <w:r w:rsidR="00CA7BEA" w:rsidRPr="009A215A">
        <w:t xml:space="preserve"> </w:t>
      </w:r>
      <w:r w:rsidRPr="009A215A">
        <w:t>the novel technology</w:t>
      </w:r>
      <w:r w:rsidR="00CA7BEA" w:rsidRPr="009A215A">
        <w:t xml:space="preserve"> with the incumbent technology</w:t>
      </w:r>
      <w:r w:rsidRPr="009A215A">
        <w:t xml:space="preserve">, an upscale simulation of the emerging technology must be made </w:t>
      </w:r>
      <w:r w:rsidR="00061630">
        <w:fldChar w:fldCharType="begin" w:fldLock="1"/>
      </w:r>
      <w:r w:rsidR="00DF6BCE">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061630">
        <w:fldChar w:fldCharType="separate"/>
      </w:r>
      <w:r w:rsidR="00061630" w:rsidRPr="00061630">
        <w:rPr>
          <w:noProof/>
        </w:rPr>
        <w:t>(Tsoy et al., 2020)</w:t>
      </w:r>
      <w:r w:rsidR="00061630">
        <w:fldChar w:fldCharType="end"/>
      </w:r>
      <w:r w:rsidR="00061630">
        <w:rPr>
          <w:lang w:val="en-US"/>
        </w:rPr>
        <w:t>.</w:t>
      </w:r>
    </w:p>
    <w:p w14:paraId="73544817" w14:textId="77777777" w:rsidR="009E308A" w:rsidRPr="009A215A" w:rsidRDefault="009E308A" w:rsidP="009A215A"/>
    <w:p w14:paraId="0093C2CC" w14:textId="6A17D768" w:rsidR="001E24FB" w:rsidRDefault="001E24FB" w:rsidP="009A215A">
      <w:r w:rsidRPr="009A215A">
        <w:t xml:space="preserve">Upscaling is a particular step of ex-ante LCAs. The projected industrial scale can be achieved using the framework developed by </w:t>
      </w:r>
      <w:r w:rsidR="00DF6BCE">
        <w:fldChar w:fldCharType="begin" w:fldLock="1"/>
      </w:r>
      <w:r w:rsidR="004A004D">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DF6BCE">
        <w:fldChar w:fldCharType="separate"/>
      </w:r>
      <w:r w:rsidR="00DF6BCE" w:rsidRPr="00DF6BCE">
        <w:rPr>
          <w:noProof/>
        </w:rPr>
        <w:t xml:space="preserve">Tsoy et al. </w:t>
      </w:r>
      <w:r w:rsidR="00DF6BCE">
        <w:rPr>
          <w:noProof/>
          <w:lang w:val="en-US"/>
        </w:rPr>
        <w:t>(</w:t>
      </w:r>
      <w:r w:rsidR="00DF6BCE" w:rsidRPr="00DF6BCE">
        <w:rPr>
          <w:noProof/>
        </w:rPr>
        <w:t>2020)</w:t>
      </w:r>
      <w:r w:rsidR="00DF6BCE">
        <w:fldChar w:fldCharType="end"/>
      </w:r>
      <w:r w:rsidR="00DF6BCE">
        <w:rPr>
          <w:lang w:val="en-US"/>
        </w:rPr>
        <w:t>,</w:t>
      </w:r>
      <w:r w:rsidRPr="009A215A">
        <w:t xml:space="preserve"> which offers guidelines for scaling up. The framework comprises three main steps: </w:t>
      </w:r>
      <w:r w:rsidR="00ED73E6" w:rsidRPr="00061630">
        <w:t xml:space="preserve">(1) </w:t>
      </w:r>
      <w:r w:rsidRPr="009A215A">
        <w:t>projected technology scenario definition</w:t>
      </w:r>
      <w:r w:rsidR="00A007EC" w:rsidRPr="009A215A">
        <w:t>;</w:t>
      </w:r>
      <w:r w:rsidRPr="009A215A">
        <w:t xml:space="preserve"> </w:t>
      </w:r>
      <w:r w:rsidR="00ED73E6" w:rsidRPr="00061630">
        <w:t xml:space="preserve">(2) </w:t>
      </w:r>
      <w:r w:rsidRPr="009A215A">
        <w:t>preparation of a projected LCA flowchart</w:t>
      </w:r>
      <w:r w:rsidR="00A007EC" w:rsidRPr="009A215A">
        <w:t>;</w:t>
      </w:r>
      <w:r w:rsidRPr="009A215A">
        <w:t xml:space="preserve"> and</w:t>
      </w:r>
      <w:r w:rsidR="00ED73E6" w:rsidRPr="00061630">
        <w:t xml:space="preserve"> (3)</w:t>
      </w:r>
      <w:r w:rsidRPr="009A215A">
        <w:t xml:space="preserve"> projected data estimation. It is important to note for comparison reason</w:t>
      </w:r>
      <w:r w:rsidR="00AA5D45" w:rsidRPr="00061630">
        <w:t>s</w:t>
      </w:r>
      <w:r w:rsidRPr="009A215A">
        <w:t xml:space="preserve">, however, that projecting today's emerging technology in the future </w:t>
      </w:r>
      <w:r w:rsidRPr="009A215A">
        <w:lastRenderedPageBreak/>
        <w:t>when it will be ready for industrial</w:t>
      </w:r>
      <w:r w:rsidR="006973F0" w:rsidRPr="009A215A">
        <w:t xml:space="preserve"> s</w:t>
      </w:r>
      <w:r w:rsidRPr="009A215A">
        <w:t xml:space="preserve">cale </w:t>
      </w:r>
      <w:r w:rsidR="006973F0" w:rsidRPr="009A215A">
        <w:t>may</w:t>
      </w:r>
      <w:r w:rsidRPr="009A215A">
        <w:t xml:space="preserve"> require a projection of the incumbent technology in the same timeframe</w:t>
      </w:r>
      <w:r w:rsidR="006973F0" w:rsidRPr="009A215A">
        <w:t>,</w:t>
      </w:r>
      <w:r w:rsidRPr="009A215A">
        <w:t xml:space="preserve"> depending on the timeframe considered</w:t>
      </w:r>
      <w:r w:rsidR="006973F0" w:rsidRPr="009A215A">
        <w:t xml:space="preserve">. In this sense, </w:t>
      </w:r>
      <w:r w:rsidRPr="009A215A">
        <w:t xml:space="preserve">background data should also reflect the reality in the future </w:t>
      </w:r>
      <w:r w:rsidR="004A004D">
        <w:fldChar w:fldCharType="begin" w:fldLock="1"/>
      </w:r>
      <w:r w:rsidR="00345DD8">
        <w:instrText>ADDIN CSL_CITATION {"citationItems":[{"id":"ITEM-1","itemData":{"DOI":"10.1016/j.procir.2017.11.005","ISSN":"22128271","abstract":"Life cycle assessment (LCA) is a method that has been applied on numerous different types of product systems. Most of these LCA studies concern full-market existing systems. In our common search for a more sustainable society, new technology systems are proposed of which the environmental sustainability still needs to be proven. These emerging technologies often only function at lab- or pilot-scale, and process data are also only available at these scales, and not at observed full-market scales. Performing LCAs of emerging technology systems poses challenges because relevant observations are lacking with regards to the projected final system, projected unit process data, projected characterization factors of new chemicals, etc. These challenges are increasingly recognized and addressed by the LCA community. In this contribution we discuss these challenges, with a special focus on ongoing research and recent developments.","author":[{"dropping-particle":"","family":"Cucurachi","given":"Stefano","non-dropping-particle":"","parse-names":false,"suffix":""},{"dropping-particle":"","family":"Giesen","given":"Coen","non-dropping-particle":"Van Der","parse-names":false,"suffix":""},{"dropping-particle":"","family":"Guinée","given":"Jeroen","non-dropping-particle":"","parse-names":false,"suffix":""}],"container-title":"Procedia CIRP","id":"ITEM-1","issue":"May","issued":{"date-parts":[["2018"]]},"page":"463-468","publisher":"The Author(s)","title":"Ex-ante LCA of Emerging Technologies","type":"article-journal","volume":"69"},"uris":["http://www.mendeley.com/documents/?uuid=b328ee37-39e1-4df7-b435-a34ab42c1f1f"]}],"mendeley":{"formattedCitation":"(Cucurachi et al., 2018)","plainTextFormattedCitation":"(Cucurachi et al., 2018)","previouslyFormattedCitation":"(Cucurachi et al., 2018)"},"properties":{"noteIndex":0},"schema":"https://github.com/citation-style-language/schema/raw/master/csl-citation.json"}</w:instrText>
      </w:r>
      <w:r w:rsidR="004A004D">
        <w:fldChar w:fldCharType="separate"/>
      </w:r>
      <w:r w:rsidR="004A004D" w:rsidRPr="004A004D">
        <w:rPr>
          <w:noProof/>
        </w:rPr>
        <w:t>(Cucurachi et al., 2018)</w:t>
      </w:r>
      <w:r w:rsidR="004A004D">
        <w:fldChar w:fldCharType="end"/>
      </w:r>
      <w:r w:rsidR="004A004D">
        <w:rPr>
          <w:lang w:val="en-US"/>
        </w:rPr>
        <w:t xml:space="preserve">. </w:t>
      </w:r>
      <w:r w:rsidRPr="009A215A">
        <w:t>Therefore, ex-ante LCAs require</w:t>
      </w:r>
      <w:r w:rsidR="006973F0" w:rsidRPr="009A215A">
        <w:t>s more alertness and</w:t>
      </w:r>
      <w:r w:rsidRPr="009A215A">
        <w:t xml:space="preserve"> collaborative communication among LCA practitioners and technology experts.  </w:t>
      </w:r>
    </w:p>
    <w:p w14:paraId="7D3C53ED" w14:textId="77777777" w:rsidR="003E06EA" w:rsidRPr="009A215A" w:rsidRDefault="003E06EA" w:rsidP="009A215A"/>
    <w:p w14:paraId="3FA4C607" w14:textId="674C10BC" w:rsidR="001E24FB" w:rsidRPr="00BD2A3A" w:rsidRDefault="001E24FB" w:rsidP="009A215A">
      <w:pPr>
        <w:rPr>
          <w:lang w:val="en-US"/>
        </w:rPr>
      </w:pPr>
      <w:r w:rsidRPr="009A215A">
        <w:t>In the first phase of the framework</w:t>
      </w:r>
      <w:r w:rsidR="00B14422" w:rsidRPr="009A215A">
        <w:t xml:space="preserve"> by </w:t>
      </w:r>
      <w:r w:rsidR="00345DD8">
        <w:fldChar w:fldCharType="begin" w:fldLock="1"/>
      </w:r>
      <w:r w:rsidR="00BD2A3A">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345DD8">
        <w:fldChar w:fldCharType="separate"/>
      </w:r>
      <w:r w:rsidR="00345DD8" w:rsidRPr="00345DD8">
        <w:rPr>
          <w:noProof/>
        </w:rPr>
        <w:t>Tsoy et al.</w:t>
      </w:r>
      <w:r w:rsidR="00345DD8">
        <w:rPr>
          <w:noProof/>
          <w:lang w:val="en-US"/>
        </w:rPr>
        <w:t xml:space="preserve"> (</w:t>
      </w:r>
      <w:r w:rsidR="00345DD8" w:rsidRPr="00345DD8">
        <w:rPr>
          <w:noProof/>
        </w:rPr>
        <w:t>2020)</w:t>
      </w:r>
      <w:r w:rsidR="00345DD8">
        <w:fldChar w:fldCharType="end"/>
      </w:r>
      <w:r w:rsidRPr="009A215A">
        <w:t>, projected technology scenario definition, a hypothetical upscaled scenario is developed.</w:t>
      </w:r>
      <w:r w:rsidR="006A7411">
        <w:rPr>
          <w:lang w:val="en-US"/>
        </w:rPr>
        <w:t xml:space="preserve"> In this way, the </w:t>
      </w:r>
      <w:r w:rsidRPr="009A215A">
        <w:t>context development for the specific technology</w:t>
      </w:r>
      <w:r w:rsidR="008C2682">
        <w:rPr>
          <w:lang w:val="en-US"/>
        </w:rPr>
        <w:t xml:space="preserve"> </w:t>
      </w:r>
      <w:r w:rsidRPr="009A215A">
        <w:t>is important</w:t>
      </w:r>
      <w:r w:rsidR="008C2682">
        <w:rPr>
          <w:lang w:val="en-US"/>
        </w:rPr>
        <w:t>:</w:t>
      </w:r>
      <w:r w:rsidRPr="009A215A">
        <w:t xml:space="preserve"> </w:t>
      </w:r>
      <w:r w:rsidR="008C2682">
        <w:rPr>
          <w:lang w:val="en-US"/>
        </w:rPr>
        <w:t>demand projections</w:t>
      </w:r>
      <w:r w:rsidRPr="009A215A">
        <w:t>,</w:t>
      </w:r>
      <w:r w:rsidR="008C2682">
        <w:rPr>
          <w:lang w:val="en-US"/>
        </w:rPr>
        <w:t xml:space="preserve"> </w:t>
      </w:r>
      <w:r w:rsidRPr="009A215A">
        <w:t xml:space="preserve">review of regulations and </w:t>
      </w:r>
      <w:r w:rsidR="008C2682">
        <w:rPr>
          <w:lang w:val="en-US"/>
        </w:rPr>
        <w:t xml:space="preserve">incentives, and </w:t>
      </w:r>
      <w:r w:rsidRPr="009A215A">
        <w:t xml:space="preserve">technology </w:t>
      </w:r>
      <w:r w:rsidR="008C2682">
        <w:rPr>
          <w:lang w:val="en-US"/>
        </w:rPr>
        <w:t>evolvement</w:t>
      </w:r>
      <w:r w:rsidR="00063014">
        <w:rPr>
          <w:lang w:val="en-US"/>
        </w:rPr>
        <w:t xml:space="preserve"> </w:t>
      </w:r>
      <w:r w:rsidRPr="009A215A">
        <w:t xml:space="preserve">can provide </w:t>
      </w:r>
      <w:r w:rsidR="00063014">
        <w:rPr>
          <w:lang w:val="en-US"/>
        </w:rPr>
        <w:t xml:space="preserve">the </w:t>
      </w:r>
      <w:r w:rsidRPr="009A215A">
        <w:t>expected</w:t>
      </w:r>
      <w:r w:rsidR="008C2682">
        <w:rPr>
          <w:lang w:val="en-US"/>
        </w:rPr>
        <w:t xml:space="preserve"> projection into the future</w:t>
      </w:r>
      <w:r w:rsidRPr="009A215A">
        <w:t xml:space="preserve">. Additionally, expert consultation is necessary </w:t>
      </w:r>
      <w:r w:rsidR="00BD2A3A">
        <w:fldChar w:fldCharType="begin" w:fldLock="1"/>
      </w:r>
      <w:r w:rsidR="00BD2A3A">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BD2A3A">
        <w:fldChar w:fldCharType="separate"/>
      </w:r>
      <w:r w:rsidR="00BD2A3A" w:rsidRPr="00BD2A3A">
        <w:rPr>
          <w:noProof/>
        </w:rPr>
        <w:t>(Villares et al., 2017)</w:t>
      </w:r>
      <w:r w:rsidR="00BD2A3A">
        <w:fldChar w:fldCharType="end"/>
      </w:r>
      <w:r w:rsidR="00BD2A3A">
        <w:rPr>
          <w:lang w:val="en-US"/>
        </w:rPr>
        <w:t xml:space="preserve">. </w:t>
      </w:r>
      <w:r w:rsidRPr="009A215A">
        <w:t xml:space="preserve"> Geographical and temporal conditions should be specified, as well as processes operations and installation conditions. The hypothetical upscaled appearance should be sketched in a process flow diagram </w:t>
      </w:r>
      <w:r w:rsidR="00BD2A3A">
        <w:fldChar w:fldCharType="begin" w:fldLock="1"/>
      </w:r>
      <w:r w:rsidR="002102F2">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BD2A3A">
        <w:fldChar w:fldCharType="separate"/>
      </w:r>
      <w:r w:rsidR="00BD2A3A" w:rsidRPr="00BD2A3A">
        <w:rPr>
          <w:noProof/>
        </w:rPr>
        <w:t>(Tsoy et al., 2020)</w:t>
      </w:r>
      <w:r w:rsidR="00BD2A3A">
        <w:fldChar w:fldCharType="end"/>
      </w:r>
      <w:r w:rsidR="00BD2A3A">
        <w:rPr>
          <w:lang w:val="en-US"/>
        </w:rPr>
        <w:t>.</w:t>
      </w:r>
    </w:p>
    <w:p w14:paraId="227B17E3" w14:textId="77777777" w:rsidR="00ED0C73" w:rsidRPr="009A215A" w:rsidRDefault="00ED0C73" w:rsidP="009A215A"/>
    <w:p w14:paraId="2F4DE40B" w14:textId="3F66795B" w:rsidR="001E24FB" w:rsidRPr="002102F2" w:rsidRDefault="001E24FB" w:rsidP="009A215A">
      <w:pPr>
        <w:rPr>
          <w:lang w:val="en-US"/>
        </w:rPr>
      </w:pPr>
      <w:r w:rsidRPr="009A215A">
        <w:t>In the second phase of the framework, preparation of a projected LCA flowchart, the installations will be grouped in unit processes and functions</w:t>
      </w:r>
      <w:r w:rsidR="00E238BE" w:rsidRPr="009A215A">
        <w:t>.</w:t>
      </w:r>
      <w:r w:rsidRPr="009A215A">
        <w:t xml:space="preserve"> </w:t>
      </w:r>
      <w:r w:rsidR="00E238BE" w:rsidRPr="009A215A">
        <w:t>F</w:t>
      </w:r>
      <w:r w:rsidRPr="009A215A">
        <w:t xml:space="preserve">unctional unit, reference flow, and systems boundaries should be defined </w:t>
      </w:r>
      <w:r w:rsidR="002102F2">
        <w:fldChar w:fldCharType="begin" w:fldLock="1"/>
      </w:r>
      <w:r w:rsidR="004F718A">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2102F2">
        <w:fldChar w:fldCharType="separate"/>
      </w:r>
      <w:r w:rsidR="002102F2" w:rsidRPr="002102F2">
        <w:rPr>
          <w:noProof/>
        </w:rPr>
        <w:t>(Tsoy et al., 2020)</w:t>
      </w:r>
      <w:r w:rsidR="002102F2">
        <w:fldChar w:fldCharType="end"/>
      </w:r>
      <w:r w:rsidR="002102F2">
        <w:rPr>
          <w:lang w:val="en-US"/>
        </w:rPr>
        <w:t xml:space="preserve">. </w:t>
      </w:r>
    </w:p>
    <w:p w14:paraId="55018162" w14:textId="77777777" w:rsidR="0050484B" w:rsidRPr="009A215A" w:rsidRDefault="0050484B" w:rsidP="009A215A"/>
    <w:p w14:paraId="6208ABBD" w14:textId="1339335F" w:rsidR="00AC470C" w:rsidRPr="00073263" w:rsidRDefault="001E24FB" w:rsidP="009A215A">
      <w:pPr>
        <w:rPr>
          <w:lang w:val="en-US"/>
        </w:rPr>
      </w:pPr>
      <w:r w:rsidRPr="009A215A">
        <w:t xml:space="preserve">In the third phase of the framework, projected data estimation, the unit processes in the LCA flowchart will have their data estimated by data estimation methods. These methods include process simulation software, the use of proxy, and manual calculations. This step is performed together with the second phase </w:t>
      </w:r>
      <w:r w:rsidR="004F718A">
        <w:fldChar w:fldCharType="begin" w:fldLock="1"/>
      </w:r>
      <w:r w:rsidR="004F718A">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2020)","plainTextFormattedCitation":"(Tsoy et al., 2020)","previouslyFormattedCitation":"(Tsoy et al., 2020)"},"properties":{"noteIndex":0},"schema":"https://github.com/citation-style-language/schema/raw/master/csl-citation.json"}</w:instrText>
      </w:r>
      <w:r w:rsidR="004F718A">
        <w:fldChar w:fldCharType="separate"/>
      </w:r>
      <w:r w:rsidR="004F718A" w:rsidRPr="004F718A">
        <w:rPr>
          <w:noProof/>
        </w:rPr>
        <w:t>(Tsoy et al., 2020)</w:t>
      </w:r>
      <w:r w:rsidR="004F718A">
        <w:fldChar w:fldCharType="end"/>
      </w:r>
      <w:r w:rsidR="004F718A">
        <w:rPr>
          <w:lang w:val="en-US"/>
        </w:rPr>
        <w:t xml:space="preserve">. </w:t>
      </w:r>
      <w:r w:rsidR="004F718A">
        <w:rPr>
          <w:lang w:val="en-US"/>
        </w:rPr>
        <w:fldChar w:fldCharType="begin" w:fldLock="1"/>
      </w:r>
      <w:r w:rsidR="00BC79C6">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4F718A">
        <w:rPr>
          <w:lang w:val="en-US"/>
        </w:rPr>
        <w:fldChar w:fldCharType="separate"/>
      </w:r>
      <w:r w:rsidR="004F718A" w:rsidRPr="004F718A">
        <w:rPr>
          <w:noProof/>
          <w:lang w:val="en-US"/>
        </w:rPr>
        <w:t>Tsoy et al.</w:t>
      </w:r>
      <w:r w:rsidR="004F718A">
        <w:rPr>
          <w:noProof/>
          <w:lang w:val="en-US"/>
        </w:rPr>
        <w:t xml:space="preserve"> (</w:t>
      </w:r>
      <w:r w:rsidR="004F718A" w:rsidRPr="004F718A">
        <w:rPr>
          <w:noProof/>
          <w:lang w:val="en-US"/>
        </w:rPr>
        <w:t>2020)</w:t>
      </w:r>
      <w:r w:rsidR="004F718A">
        <w:rPr>
          <w:lang w:val="en-US"/>
        </w:rPr>
        <w:fldChar w:fldCharType="end"/>
      </w:r>
      <w:r w:rsidRPr="009A215A">
        <w:t xml:space="preserve"> have included the framework in a decision tree, expanding on the steps that should be taken.</w:t>
      </w:r>
      <w:r w:rsidR="00BA5F7B">
        <w:rPr>
          <w:lang w:val="en-US"/>
        </w:rPr>
        <w:t xml:space="preserve"> This is illustrated in</w:t>
      </w:r>
      <w:r w:rsidR="00073263">
        <w:rPr>
          <w:lang w:val="en-US"/>
        </w:rPr>
        <w:t xml:space="preserve"> </w:t>
      </w:r>
      <w:r w:rsidR="00073263">
        <w:rPr>
          <w:lang w:val="en-US"/>
        </w:rPr>
        <w:fldChar w:fldCharType="begin"/>
      </w:r>
      <w:r w:rsidR="00073263">
        <w:rPr>
          <w:lang w:val="en-US"/>
        </w:rPr>
        <w:instrText xml:space="preserve"> REF _Ref74762461 \h </w:instrText>
      </w:r>
      <w:r w:rsidR="00073263">
        <w:rPr>
          <w:lang w:val="en-US"/>
        </w:rPr>
      </w:r>
      <w:r w:rsidR="00073263">
        <w:rPr>
          <w:lang w:val="en-US"/>
        </w:rPr>
        <w:fldChar w:fldCharType="separate"/>
      </w:r>
      <w:r w:rsidR="00BC31F4">
        <w:t xml:space="preserve">Figure </w:t>
      </w:r>
      <w:r w:rsidR="00C12FBD">
        <w:rPr>
          <w:noProof/>
          <w:lang w:val="en-US"/>
        </w:rPr>
        <w:t>2</w:t>
      </w:r>
      <w:r w:rsidR="00BC31F4">
        <w:t>.</w:t>
      </w:r>
      <w:r w:rsidR="00BC31F4">
        <w:rPr>
          <w:noProof/>
        </w:rPr>
        <w:t>3</w:t>
      </w:r>
      <w:r w:rsidR="00073263">
        <w:rPr>
          <w:lang w:val="en-US"/>
        </w:rPr>
        <w:fldChar w:fldCharType="end"/>
      </w:r>
      <w:r w:rsidR="00073263">
        <w:rPr>
          <w:lang w:val="en-US"/>
        </w:rPr>
        <w:t>:</w:t>
      </w:r>
      <w:r w:rsidR="00824FBA">
        <w:rPr>
          <w:lang w:val="en-US"/>
        </w:rPr>
        <w:t xml:space="preserve"> </w:t>
      </w:r>
    </w:p>
    <w:p w14:paraId="5394293F" w14:textId="77777777" w:rsidR="00073263" w:rsidRDefault="00AC470C" w:rsidP="00112FBA">
      <w:pPr>
        <w:keepNext/>
        <w:jc w:val="center"/>
      </w:pPr>
      <w:r w:rsidRPr="009A215A">
        <w:rPr>
          <w:noProof/>
        </w:rPr>
        <w:lastRenderedPageBreak/>
        <w:drawing>
          <wp:inline distT="0" distB="0" distL="0" distR="0" wp14:anchorId="2754CFF3" wp14:editId="029838AC">
            <wp:extent cx="5882400" cy="4500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2400" cy="4500000"/>
                    </a:xfrm>
                    <a:prstGeom prst="rect">
                      <a:avLst/>
                    </a:prstGeom>
                  </pic:spPr>
                </pic:pic>
              </a:graphicData>
            </a:graphic>
          </wp:inline>
        </w:drawing>
      </w:r>
    </w:p>
    <w:p w14:paraId="6DC193E7" w14:textId="58F65C49" w:rsidR="00722F99" w:rsidRDefault="00073263" w:rsidP="00073263">
      <w:pPr>
        <w:pStyle w:val="Caption"/>
        <w:rPr>
          <w:lang w:val="en-US"/>
        </w:rPr>
      </w:pPr>
      <w:bookmarkStart w:id="31" w:name="_Ref74762461"/>
      <w:bookmarkStart w:id="32" w:name="_Toc76729604"/>
      <w:r>
        <w:t xml:space="preserve">Figure </w:t>
      </w:r>
      <w:r w:rsidR="00840755">
        <w:rPr>
          <w:lang w:val="en-US"/>
        </w:rPr>
        <w:t>2</w:t>
      </w:r>
      <w:r w:rsidR="001150DB">
        <w:t>.</w:t>
      </w:r>
      <w:r w:rsidR="00BE45E3">
        <w:fldChar w:fldCharType="begin"/>
      </w:r>
      <w:r w:rsidR="00BE45E3">
        <w:instrText xml:space="preserve"> SEQ Figure \* ARABIC \s 1 </w:instrText>
      </w:r>
      <w:r w:rsidR="00BE45E3">
        <w:fldChar w:fldCharType="separate"/>
      </w:r>
      <w:r w:rsidR="00BC31F4">
        <w:rPr>
          <w:noProof/>
        </w:rPr>
        <w:t>3</w:t>
      </w:r>
      <w:r w:rsidR="00BE45E3">
        <w:rPr>
          <w:noProof/>
        </w:rPr>
        <w:fldChar w:fldCharType="end"/>
      </w:r>
      <w:bookmarkEnd w:id="31"/>
      <w:r>
        <w:rPr>
          <w:lang w:val="en-US"/>
        </w:rPr>
        <w:t xml:space="preserve"> </w:t>
      </w:r>
      <w:r w:rsidRPr="00EB2FA4">
        <w:rPr>
          <w:lang w:val="en-US"/>
        </w:rPr>
        <w:t xml:space="preserve">Ex-ante LCA recommendation framework for upscaling of emerging technologies. Source: </w:t>
      </w:r>
      <w:proofErr w:type="spellStart"/>
      <w:r w:rsidRPr="00EB2FA4">
        <w:rPr>
          <w:lang w:val="en-US"/>
        </w:rPr>
        <w:t>Tsoy</w:t>
      </w:r>
      <w:proofErr w:type="spellEnd"/>
      <w:r w:rsidRPr="00EB2FA4">
        <w:rPr>
          <w:lang w:val="en-US"/>
        </w:rPr>
        <w:t xml:space="preserve"> et al. (2020).</w:t>
      </w:r>
      <w:bookmarkEnd w:id="32"/>
    </w:p>
    <w:p w14:paraId="628282FB" w14:textId="77777777" w:rsidR="00073263" w:rsidRPr="00073263" w:rsidRDefault="00073263" w:rsidP="00073263">
      <w:pPr>
        <w:rPr>
          <w:lang w:val="en-US"/>
        </w:rPr>
      </w:pPr>
    </w:p>
    <w:p w14:paraId="749C4E45" w14:textId="7FB68C26" w:rsidR="00161D30" w:rsidRPr="005526D3" w:rsidRDefault="000E4D77" w:rsidP="009A215A">
      <w:pPr>
        <w:rPr>
          <w:lang w:val="en-US"/>
        </w:rPr>
      </w:pPr>
      <w:r w:rsidRPr="009A215A">
        <w:t>The results of ex-ante LCAs are not a provision of future impacts. However, it serves as a source for insights on technology’s design processes that are advantageous to change</w:t>
      </w:r>
      <w:r w:rsidR="0084056E">
        <w:rPr>
          <w:lang w:val="en-US"/>
        </w:rPr>
        <w:t xml:space="preserve"> to </w:t>
      </w:r>
      <w:r w:rsidRPr="009A215A">
        <w:t xml:space="preserve">improve the environmental performance of </w:t>
      </w:r>
      <w:r w:rsidR="00C50367">
        <w:rPr>
          <w:lang w:val="en-US"/>
        </w:rPr>
        <w:t xml:space="preserve">a </w:t>
      </w:r>
      <w:r w:rsidRPr="009A215A">
        <w:t xml:space="preserve">novel technology </w:t>
      </w:r>
      <w:r w:rsidR="00BC79C6">
        <w:fldChar w:fldCharType="begin" w:fldLock="1"/>
      </w:r>
      <w:r w:rsidR="00930CBD">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BC79C6">
        <w:fldChar w:fldCharType="separate"/>
      </w:r>
      <w:r w:rsidR="00BC79C6" w:rsidRPr="00BC79C6">
        <w:rPr>
          <w:noProof/>
        </w:rPr>
        <w:t>(Villares et al., 2017)</w:t>
      </w:r>
      <w:r w:rsidR="00BC79C6">
        <w:fldChar w:fldCharType="end"/>
      </w:r>
      <w:r w:rsidR="00BC79C6">
        <w:rPr>
          <w:lang w:val="en-US"/>
        </w:rPr>
        <w:t>.</w:t>
      </w:r>
      <w:r w:rsidRPr="009A215A">
        <w:t xml:space="preserve"> </w:t>
      </w:r>
      <w:r w:rsidR="00BE5B9B" w:rsidRPr="009A215A">
        <w:t xml:space="preserve">The </w:t>
      </w:r>
      <w:r w:rsidRPr="009A215A">
        <w:t xml:space="preserve">LCA results cannot have a predictive characteristic due to the higher degree of uncertainty caused by inherently approximations and assumptions in all phases. Ex-ante LCA implementation and interpretation require extra vigilance. Main problems may arise from struggles in defining goal and scope at such ex-ante stage, low quality and lack of data, generating uncertainty and suspicious potential environmental impacts, </w:t>
      </w:r>
      <w:r w:rsidR="0012430E">
        <w:rPr>
          <w:lang w:val="en-US"/>
        </w:rPr>
        <w:t xml:space="preserve">which prevent </w:t>
      </w:r>
      <w:r w:rsidRPr="009A215A">
        <w:t xml:space="preserve">an accurate level of confidence in data interpretation </w:t>
      </w:r>
      <w:r w:rsidR="00930CBD">
        <w:fldChar w:fldCharType="begin" w:fldLock="1"/>
      </w:r>
      <w:r w:rsidR="00930CBD">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930CBD">
        <w:fldChar w:fldCharType="separate"/>
      </w:r>
      <w:r w:rsidR="00930CBD" w:rsidRPr="00930CBD">
        <w:rPr>
          <w:noProof/>
        </w:rPr>
        <w:t>(Villares et al., 2017)</w:t>
      </w:r>
      <w:r w:rsidR="00930CBD">
        <w:fldChar w:fldCharType="end"/>
      </w:r>
      <w:r w:rsidR="00930CBD">
        <w:rPr>
          <w:lang w:val="en-US"/>
        </w:rPr>
        <w:t>.</w:t>
      </w:r>
      <w:r w:rsidRPr="009A215A">
        <w:t xml:space="preserve"> </w:t>
      </w:r>
      <w:r w:rsidR="0012430E">
        <w:rPr>
          <w:lang w:val="en-US"/>
        </w:rPr>
        <w:t>Additionally</w:t>
      </w:r>
      <w:r w:rsidRPr="009A215A">
        <w:t>, the scaling up step may intensify uncertainties, imprecisions, and variabilities</w:t>
      </w:r>
      <w:r w:rsidR="00930CBD">
        <w:rPr>
          <w:lang w:val="en-US"/>
        </w:rPr>
        <w:t xml:space="preserve"> </w:t>
      </w:r>
      <w:r w:rsidR="00930CBD">
        <w:rPr>
          <w:lang w:val="en-US"/>
        </w:rPr>
        <w:fldChar w:fldCharType="begin" w:fldLock="1"/>
      </w:r>
      <w:r w:rsidR="0015453B">
        <w:rPr>
          <w:lang w:val="en-US"/>
        </w:rPr>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930CBD">
        <w:rPr>
          <w:lang w:val="en-US"/>
        </w:rPr>
        <w:fldChar w:fldCharType="separate"/>
      </w:r>
      <w:r w:rsidR="00930CBD" w:rsidRPr="00930CBD">
        <w:rPr>
          <w:noProof/>
          <w:lang w:val="en-US"/>
        </w:rPr>
        <w:t>(Villares et al., 2017)</w:t>
      </w:r>
      <w:r w:rsidR="00930CBD">
        <w:rPr>
          <w:lang w:val="en-US"/>
        </w:rPr>
        <w:fldChar w:fldCharType="end"/>
      </w:r>
      <w:r w:rsidR="00930CBD">
        <w:rPr>
          <w:lang w:val="en-US"/>
        </w:rPr>
        <w:t xml:space="preserve">. </w:t>
      </w:r>
      <w:r w:rsidRPr="009A215A">
        <w:t xml:space="preserve">Nonetheless, this does not hinder the explorative value it proposes, which can be cumulatively added and corrected throughout time by future research </w:t>
      </w:r>
      <w:r w:rsidR="0015453B">
        <w:fldChar w:fldCharType="begin" w:fldLock="1"/>
      </w:r>
      <w:r w:rsidR="005526D3">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15453B">
        <w:fldChar w:fldCharType="separate"/>
      </w:r>
      <w:r w:rsidR="0015453B" w:rsidRPr="0015453B">
        <w:rPr>
          <w:noProof/>
        </w:rPr>
        <w:t>(Villares et al., 2017)</w:t>
      </w:r>
      <w:r w:rsidR="0015453B">
        <w:fldChar w:fldCharType="end"/>
      </w:r>
      <w:r w:rsidR="0015453B">
        <w:rPr>
          <w:lang w:val="en-US"/>
        </w:rPr>
        <w:t xml:space="preserve">. </w:t>
      </w:r>
      <w:r w:rsidRPr="009A215A">
        <w:t xml:space="preserve">Finally, </w:t>
      </w:r>
      <w:r w:rsidR="00ED744E" w:rsidRPr="009A215A">
        <w:t xml:space="preserve">neither </w:t>
      </w:r>
      <w:r w:rsidRPr="009A215A">
        <w:t xml:space="preserve">ex-ante </w:t>
      </w:r>
      <w:r w:rsidR="00ED744E" w:rsidRPr="009A215A">
        <w:t>nor</w:t>
      </w:r>
      <w:r w:rsidRPr="009A215A">
        <w:t xml:space="preserve"> ex-post </w:t>
      </w:r>
      <w:r w:rsidRPr="009A215A">
        <w:lastRenderedPageBreak/>
        <w:t>LCA results are</w:t>
      </w:r>
      <w:r w:rsidR="00ED744E" w:rsidRPr="009A215A">
        <w:t xml:space="preserve"> </w:t>
      </w:r>
      <w:r w:rsidRPr="009A215A">
        <w:t>absolute, and “their outcome is useful in a relative sense in spite of the uncertainties</w:t>
      </w:r>
      <w:r w:rsidRPr="00A359D8">
        <w:t xml:space="preserve">” </w:t>
      </w:r>
      <w:r w:rsidR="005526D3" w:rsidRPr="00A359D8">
        <w:fldChar w:fldCharType="begin" w:fldLock="1"/>
      </w:r>
      <w:r w:rsidR="005526D3" w:rsidRPr="00A359D8">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2017)","manualFormatting":"(Villares et al., 2017","plainTextFormattedCitation":"(Villares et al., 2017)","previouslyFormattedCitation":"(Villares et al., 2017)"},"properties":{"noteIndex":0},"schema":"https://github.com/citation-style-language/schema/raw/master/csl-citation.json"}</w:instrText>
      </w:r>
      <w:r w:rsidR="005526D3" w:rsidRPr="00A359D8">
        <w:fldChar w:fldCharType="separate"/>
      </w:r>
      <w:r w:rsidR="005526D3" w:rsidRPr="00A359D8">
        <w:rPr>
          <w:noProof/>
        </w:rPr>
        <w:t>(Villares et al., 2017</w:t>
      </w:r>
      <w:r w:rsidR="005526D3" w:rsidRPr="00A359D8">
        <w:fldChar w:fldCharType="end"/>
      </w:r>
      <w:r w:rsidR="005B16CB" w:rsidRPr="00A359D8">
        <w:rPr>
          <w:lang w:val="en-US"/>
        </w:rPr>
        <w:t>,</w:t>
      </w:r>
      <w:r w:rsidR="005526D3" w:rsidRPr="00A359D8">
        <w:rPr>
          <w:lang w:val="en-US"/>
        </w:rPr>
        <w:t xml:space="preserve"> </w:t>
      </w:r>
      <w:r w:rsidRPr="00A359D8">
        <w:t>p.1619).</w:t>
      </w:r>
      <w:r w:rsidRPr="009A215A">
        <w:t xml:space="preserve"> Thus, the value of ex-ante LCAs relies on the strategic questions and suggestions it offers, contributing to the problem-solution space. </w:t>
      </w:r>
      <w:r w:rsidR="00ED744E" w:rsidRPr="009A215A">
        <w:t>It</w:t>
      </w:r>
      <w:r w:rsidRPr="009A215A">
        <w:t xml:space="preserve"> provides anticipated meaning without waiting until all the information is available</w:t>
      </w:r>
      <w:r w:rsidR="00141ED0">
        <w:rPr>
          <w:lang w:val="en-US"/>
        </w:rPr>
        <w:t xml:space="preserve"> </w:t>
      </w:r>
      <w:r w:rsidRPr="009A215A">
        <w:t>involv</w:t>
      </w:r>
      <w:proofErr w:type="spellStart"/>
      <w:r w:rsidR="00141ED0">
        <w:rPr>
          <w:lang w:val="en-US"/>
        </w:rPr>
        <w:t>ing</w:t>
      </w:r>
      <w:proofErr w:type="spellEnd"/>
      <w:r w:rsidRPr="009A215A">
        <w:t xml:space="preserve"> alertness, engagement, and risk-taking due to the forward-looking nature </w:t>
      </w:r>
      <w:r w:rsidR="005526D3">
        <w:fldChar w:fldCharType="begin" w:fldLock="1"/>
      </w:r>
      <w:r w:rsidR="00F1770A">
        <w:instrText>ADDIN CSL_CITATION {"citationItems":[{"id":"ITEM-1","itemData":{"DOI":"10.1007/s11367-017-1270-6","ISSN":"16147502","abstract":"Purpose: A large proportion of the environmental impacts of a technology is determined by decisions made at the early development stages. Therefore, effective approaches to grasp the potential environmental performance of a technology early in development are needed. This paper reflects on the usefulness of ex ante application of LCA using a case study on the appraisal of the potential environmental impacts of a lab-scale novel process for bioleaching of e-waste for metal recovery. Methods: The LCA framework was applied at an early stage to the novel bioleaching process to embed it in a life cycle context, linking it to upstream and downstream flows. Then, a short-term future scaled-up scenario was defined using a proxy technology and estimated data. Environmental hotspots of this scenario were identified, and its environmental impacts were compared with those of a current industrial pyrometallurgical technique, involving an integrated smelter refinery. Results and discussion: LCA displays potential environmental hotspots related to energy and material inputs for the bioleaching process and solvents for copper recovery, despite uncertainties. Comparison with an existing integrated smelter refinery technology returned an inferior environmental performance. These results could not be considered accurate given the early-stage application, yet they served as valuable preliminary information. The uncertainties also prompted further enquiry about the chosen product system boundary, the role of the emerging technology and the comparability of the technologies. Conclusions: The ex ante application of life cycle assessment on an emerging technology brings a systematic rigour and discipline to an ambiguous situation at the start of technological development. Applying the LCA framework broadens the scope of the research, introducing a systems approach and long-term view. Environmental aspects and alternative perspectives on the novel technology are also brought into the research domain. The approach creates new knowledge on the novel technology’s potential development, and developmental challenges are given definition at an early stage. The LCA outcomes should not be regarded as a final result but have a signalling purpose as a contribution to technological development. Though imprecise with much conjecture involved, such an approach gives a valid mock-up of a plausible future providing useful provisional insights to be built upon. Applying ex ante LCA and an expl…","author":[{"dropping-particle":"","family":"Villares","given":"Marco","non-dropping-particle":"","parse-names":false,"suffix":""},{"dropping-particle":"","family":"Işıldar","given":"Arda","non-dropping-particle":"","parse-names":false,"suffix":""},{"dropping-particle":"","family":"Giesen","given":"Coen","non-dropping-particle":"van der","parse-names":false,"suffix":""},{"dropping-particle":"","family":"Guinée","given":"Jeroen","non-dropping-particle":"","parse-names":false,"suffix":""}],"container-title":"International Journal of Life Cycle Assessment","id":"ITEM-1","issue":"10","issued":{"date-parts":[["2017"]]},"page":"1618-1633","title":"Does ex ante application enhance the usefulness of LCA? A case study on an emerging technology for metal recovery from e-waste","type":"article-journal","volume":"22"},"uris":["http://www.mendeley.com/documents/?uuid=689342db-7788-4bd3-82fc-777896d759d4"]}],"mendeley":{"formattedCitation":"(Villares et al., 2017)","plainTextFormattedCitation":"(Villares et al., 2017)","previouslyFormattedCitation":"(Villares et al., 2017)"},"properties":{"noteIndex":0},"schema":"https://github.com/citation-style-language/schema/raw/master/csl-citation.json"}</w:instrText>
      </w:r>
      <w:r w:rsidR="005526D3">
        <w:fldChar w:fldCharType="separate"/>
      </w:r>
      <w:r w:rsidR="005526D3" w:rsidRPr="005526D3">
        <w:rPr>
          <w:noProof/>
        </w:rPr>
        <w:t>(Villares et al., 2017)</w:t>
      </w:r>
      <w:r w:rsidR="005526D3">
        <w:fldChar w:fldCharType="end"/>
      </w:r>
      <w:r w:rsidR="005526D3">
        <w:rPr>
          <w:lang w:val="en-US"/>
        </w:rPr>
        <w:t xml:space="preserve">. </w:t>
      </w:r>
    </w:p>
    <w:p w14:paraId="3A88AE6F" w14:textId="1CF000B7" w:rsidR="002257D2" w:rsidRPr="00B332CE" w:rsidRDefault="002257D2" w:rsidP="002257D2">
      <w:pPr>
        <w:rPr>
          <w:lang w:val="en-US"/>
        </w:rPr>
      </w:pPr>
    </w:p>
    <w:p w14:paraId="7FDA765D" w14:textId="77777777" w:rsidR="00141ED0" w:rsidRDefault="00141ED0" w:rsidP="009A215A"/>
    <w:p w14:paraId="16A223BC" w14:textId="70854A33" w:rsidR="006F0B08" w:rsidRPr="00B64A3F" w:rsidRDefault="00661F12">
      <w:pPr>
        <w:spacing w:line="240" w:lineRule="auto"/>
        <w:jc w:val="left"/>
        <w:rPr>
          <w:rFonts w:ascii="Arial" w:eastAsiaTheme="majorEastAsia" w:hAnsi="Arial" w:cstheme="majorBidi"/>
          <w:b/>
          <w:szCs w:val="32"/>
          <w:lang w:val="en-US"/>
        </w:rPr>
      </w:pPr>
      <w:r>
        <w:rPr>
          <w:lang w:val="en-US"/>
        </w:rPr>
        <w:br w:type="page"/>
      </w:r>
    </w:p>
    <w:p w14:paraId="3AF5B614" w14:textId="5A59DFD2" w:rsidR="00CF491D" w:rsidRDefault="00CF491D" w:rsidP="00CF491D">
      <w:pPr>
        <w:pStyle w:val="Heading1"/>
      </w:pPr>
      <w:bookmarkStart w:id="33" w:name="_Toc76752265"/>
      <w:bookmarkStart w:id="34" w:name="_Ref74852701"/>
      <w:r>
        <w:lastRenderedPageBreak/>
        <w:t>Methodology</w:t>
      </w:r>
      <w:bookmarkEnd w:id="33"/>
    </w:p>
    <w:p w14:paraId="44EC6730" w14:textId="77777777" w:rsidR="000D48D2" w:rsidRDefault="000D48D2" w:rsidP="000D48D2">
      <w:pPr>
        <w:pStyle w:val="Heading1"/>
        <w:numPr>
          <w:ilvl w:val="0"/>
          <w:numId w:val="0"/>
        </w:numPr>
        <w:ind w:left="432"/>
      </w:pPr>
    </w:p>
    <w:p w14:paraId="6EFE8836" w14:textId="1145B9CD" w:rsidR="00486D0E" w:rsidRPr="009A215A" w:rsidRDefault="009F055D" w:rsidP="00CF491D">
      <w:pPr>
        <w:pStyle w:val="Heading2"/>
      </w:pPr>
      <w:bookmarkStart w:id="35" w:name="_Toc76752266"/>
      <w:r>
        <w:t>Projected technology scenario definition</w:t>
      </w:r>
      <w:bookmarkEnd w:id="34"/>
      <w:bookmarkEnd w:id="35"/>
    </w:p>
    <w:p w14:paraId="63E104AB" w14:textId="77777777" w:rsidR="00A66EA8" w:rsidRDefault="00A66EA8" w:rsidP="009A215A"/>
    <w:p w14:paraId="7D5BC8E5" w14:textId="03315454" w:rsidR="00F46E8B" w:rsidRDefault="00F46E8B" w:rsidP="00F46E8B">
      <w:r>
        <w:t xml:space="preserve">The process of analyzing the environmental burdens of </w:t>
      </w:r>
      <w:r w:rsidR="00814FD9">
        <w:rPr>
          <w:lang w:val="en-US"/>
        </w:rPr>
        <w:t xml:space="preserve">an </w:t>
      </w:r>
      <w:r>
        <w:t>emerging technolog</w:t>
      </w:r>
      <w:r w:rsidR="00814FD9">
        <w:rPr>
          <w:lang w:val="en-US"/>
        </w:rPr>
        <w:t>y</w:t>
      </w:r>
      <w:r>
        <w:t xml:space="preserve"> requires that such analysis uses the projected industrial scaled version of</w:t>
      </w:r>
      <w:r w:rsidR="00263228">
        <w:rPr>
          <w:lang w:val="en-US"/>
        </w:rPr>
        <w:t xml:space="preserve"> </w:t>
      </w:r>
      <w:r w:rsidR="00814FD9">
        <w:rPr>
          <w:lang w:val="en-US"/>
        </w:rPr>
        <w:t xml:space="preserve">it, </w:t>
      </w:r>
      <w:r w:rsidR="00263228">
        <w:rPr>
          <w:lang w:val="en-US"/>
        </w:rPr>
        <w:t xml:space="preserve">as in the </w:t>
      </w:r>
      <w:r w:rsidR="00263228">
        <w:t xml:space="preserve">framework </w:t>
      </w:r>
      <w:r w:rsidR="00263228">
        <w:rPr>
          <w:lang w:val="en-US"/>
        </w:rPr>
        <w:t>of</w:t>
      </w:r>
      <w:r w:rsidR="00263228">
        <w:t xml:space="preserve"> </w:t>
      </w:r>
      <w:r w:rsidR="00263228">
        <w:fldChar w:fldCharType="begin" w:fldLock="1"/>
      </w:r>
      <w:r w:rsidR="00263228">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263228">
        <w:fldChar w:fldCharType="separate"/>
      </w:r>
      <w:r w:rsidR="00263228" w:rsidRPr="00F1770A">
        <w:rPr>
          <w:noProof/>
        </w:rPr>
        <w:t>Tsoy et al.</w:t>
      </w:r>
      <w:r w:rsidR="00263228">
        <w:rPr>
          <w:noProof/>
          <w:lang w:val="en-US"/>
        </w:rPr>
        <w:t xml:space="preserve"> (</w:t>
      </w:r>
      <w:r w:rsidR="00263228" w:rsidRPr="00F1770A">
        <w:rPr>
          <w:noProof/>
        </w:rPr>
        <w:t>2020)</w:t>
      </w:r>
      <w:r w:rsidR="00263228">
        <w:fldChar w:fldCharType="end"/>
      </w:r>
      <w:r>
        <w:t xml:space="preserve">. A fair comparison could only be made between the new technology and the incumbent one through this technique. </w:t>
      </w:r>
    </w:p>
    <w:p w14:paraId="1F2991AA" w14:textId="77777777" w:rsidR="00F46E8B" w:rsidRDefault="00F46E8B" w:rsidP="00F46E8B"/>
    <w:p w14:paraId="0EE9C868" w14:textId="3AAD7C7A" w:rsidR="00695076" w:rsidRPr="00EE3BBA" w:rsidRDefault="00F46E8B" w:rsidP="009A215A">
      <w:pPr>
        <w:rPr>
          <w:lang w:val="en-US"/>
        </w:rPr>
      </w:pPr>
      <w:r w:rsidRPr="00F46E8B">
        <w:t xml:space="preserve">A scenario development reflects modes of thinking about the future, and it relies on the resources available for predicting conditions. Additionally, scenario modeling can be of a forecasting or backcasting nature. This varies according to the future's explorative character: possible, probable, and/or preferable </w:t>
      </w:r>
      <w:r w:rsidR="00BD6733">
        <w:fldChar w:fldCharType="begin" w:fldLock="1"/>
      </w:r>
      <w:r w:rsidR="002C0BF6">
        <w:instrText>ADDIN CSL_CITATION {"citationItems":[{"id":"ITEM-1","itemData":{"DOI":"10.1016/j.futures.2005.12.002","ISSN":"00163287","abstract":"Various scenario typologies have been suggested in attempts to make the field of futures studies easier to overview. Our typology is based on the scenario user's need to know what will happen, what can happen, and/or how a predefined target can be achieved. We discuss the applicability of various generating, integrating and consistency techniques for developing scenarios that provide the required knowledge. The paper is intended as a step towards a guide as to how scenarios can be developed and used. © 2006 Elsevier Ltd. All rights reserved.","author":[{"dropping-particle":"","family":"Börjeson","given":"Lena","non-dropping-particle":"","parse-names":false,"suffix":""},{"dropping-particle":"","family":"Höjer","given":"Mattias","non-dropping-particle":"","parse-names":false,"suffix":""},{"dropping-particle":"","family":"Dreborg","given":"Karl Henrik","non-dropping-particle":"","parse-names":false,"suffix":""},{"dropping-particle":"","family":"Ekvall","given":"Tomas","non-dropping-particle":"","parse-names":false,"suffix":""},{"dropping-particle":"","family":"Finnveden","given":"Göran","non-dropping-particle":"","parse-names":false,"suffix":""}],"container-title":"Futures","id":"ITEM-1","issue":"7","issued":{"date-parts":[["2006"]]},"page":"723-739","title":"Scenario types and techniques: Towards a user's guide","type":"article-journal","volume":"38"},"uris":["http://www.mendeley.com/documents/?uuid=d53bcd8e-183c-4ab5-b494-907b9f138c78"]}],"mendeley":{"formattedCitation":"(Börjeson et al., 2006)","plainTextFormattedCitation":"(Börjeson et al., 2006)","previouslyFormattedCitation":"(Börjeson et al., 2006)"},"properties":{"noteIndex":0},"schema":"https://github.com/citation-style-language/schema/raw/master/csl-citation.json"}</w:instrText>
      </w:r>
      <w:r w:rsidR="00BD6733">
        <w:fldChar w:fldCharType="separate"/>
      </w:r>
      <w:r w:rsidR="00BD6733" w:rsidRPr="00BD6733">
        <w:rPr>
          <w:noProof/>
        </w:rPr>
        <w:t>(Börjeson et al., 2006)</w:t>
      </w:r>
      <w:r w:rsidR="00BD6733">
        <w:fldChar w:fldCharType="end"/>
      </w:r>
      <w:r w:rsidR="00BD6733">
        <w:rPr>
          <w:lang w:val="en-US"/>
        </w:rPr>
        <w:t xml:space="preserve">. </w:t>
      </w:r>
      <w:r w:rsidRPr="00F46E8B">
        <w:t xml:space="preserve">The future configuration can be explored upon the question, "How would be the recycling plant according to the </w:t>
      </w:r>
      <w:r w:rsidR="00BA406E">
        <w:rPr>
          <w:lang w:val="en-US"/>
        </w:rPr>
        <w:t>projected</w:t>
      </w:r>
      <w:r w:rsidRPr="00F46E8B">
        <w:t xml:space="preserve"> waste stream of HDDs in the future?" According to </w:t>
      </w:r>
      <w:r w:rsidR="002C0BF6">
        <w:fldChar w:fldCharType="begin" w:fldLock="1"/>
      </w:r>
      <w:r w:rsidR="00EC4C27">
        <w:instrText>ADDIN CSL_CITATION {"citationItems":[{"id":"ITEM-1","itemData":{"DOI":"10.1016/j.futures.2005.12.002","ISSN":"00163287","abstract":"Various scenario typologies have been suggested in attempts to make the field of futures studies easier to overview. Our typology is based on the scenario user's need to know what will happen, what can happen, and/or how a predefined target can be achieved. We discuss the applicability of various generating, integrating and consistency techniques for developing scenarios that provide the required knowledge. The paper is intended as a step towards a guide as to how scenarios can be developed and used. © 2006 Elsevier Ltd. All rights reserved.","author":[{"dropping-particle":"","family":"Börjeson","given":"Lena","non-dropping-particle":"","parse-names":false,"suffix":""},{"dropping-particle":"","family":"Höjer","given":"Mattias","non-dropping-particle":"","parse-names":false,"suffix":""},{"dropping-particle":"","family":"Dreborg","given":"Karl Henrik","non-dropping-particle":"","parse-names":false,"suffix":""},{"dropping-particle":"","family":"Ekvall","given":"Tomas","non-dropping-particle":"","parse-names":false,"suffix":""},{"dropping-particle":"","family":"Finnveden","given":"Göran","non-dropping-particle":"","parse-names":false,"suffix":""}],"container-title":"Futures","id":"ITEM-1","issue":"7","issued":{"date-parts":[["2006"]]},"page":"723-739","title":"Scenario types and techniques: Towards a user's guide","type":"article-journal","volume":"38"},"uris":["http://www.mendeley.com/documents/?uuid=d53bcd8e-183c-4ab5-b494-907b9f138c78"]}],"mendeley":{"formattedCitation":"(Börjeson et al., 2006)","manualFormatting":"Börjeson et al. (2006)","plainTextFormattedCitation":"(Börjeson et al., 2006)","previouslyFormattedCitation":"(Börjeson et al., 2006)"},"properties":{"noteIndex":0},"schema":"https://github.com/citation-style-language/schema/raw/master/csl-citation.json"}</w:instrText>
      </w:r>
      <w:r w:rsidR="002C0BF6">
        <w:fldChar w:fldCharType="separate"/>
      </w:r>
      <w:r w:rsidR="002C0BF6" w:rsidRPr="002C0BF6">
        <w:rPr>
          <w:noProof/>
        </w:rPr>
        <w:t xml:space="preserve">Börjeson et al. </w:t>
      </w:r>
      <w:r w:rsidR="002C0BF6">
        <w:rPr>
          <w:noProof/>
          <w:lang w:val="en-US"/>
        </w:rPr>
        <w:t>(</w:t>
      </w:r>
      <w:r w:rsidR="002C0BF6" w:rsidRPr="002C0BF6">
        <w:rPr>
          <w:noProof/>
        </w:rPr>
        <w:t>2006)</w:t>
      </w:r>
      <w:r w:rsidR="002C0BF6">
        <w:fldChar w:fldCharType="end"/>
      </w:r>
      <w:r w:rsidR="002C0BF6">
        <w:rPr>
          <w:lang w:val="en-US"/>
        </w:rPr>
        <w:t>,</w:t>
      </w:r>
      <w:r w:rsidRPr="00F46E8B">
        <w:t xml:space="preserve"> this type of question asks how the future will look if a likely situation unfolds. Such investigation claims the elaboration of a predictive scenario. For this case study, the year 2030 and onwards will be "the future." About ten years from now, this period is an interval considered feasible because </w:t>
      </w:r>
      <w:r w:rsidR="00EE3BBA">
        <w:rPr>
          <w:lang w:val="en-US"/>
        </w:rPr>
        <w:t xml:space="preserve">usually </w:t>
      </w:r>
      <w:r w:rsidRPr="00F46E8B">
        <w:t>emerging technologies take around five to ten years to penetrate the market</w:t>
      </w:r>
      <w:r w:rsidR="00EE3BBA">
        <w:rPr>
          <w:lang w:val="en-US"/>
        </w:rPr>
        <w:t>.</w:t>
      </w:r>
    </w:p>
    <w:p w14:paraId="53F40CC1" w14:textId="77777777" w:rsidR="00F46E8B" w:rsidRDefault="00F46E8B" w:rsidP="009A215A"/>
    <w:p w14:paraId="6460D2AE" w14:textId="0DD6DF6A" w:rsidR="00486D0E" w:rsidRPr="009A215A" w:rsidRDefault="00486D0E" w:rsidP="009A215A">
      <w:r w:rsidRPr="009A215A">
        <w:t>Predictive scenarios are helpful to work out foreseen challenges.</w:t>
      </w:r>
      <w:r w:rsidR="00783BD3">
        <w:rPr>
          <w:lang w:val="en-US"/>
        </w:rPr>
        <w:t xml:space="preserve"> </w:t>
      </w:r>
      <w:r w:rsidRPr="009A215A">
        <w:t xml:space="preserve">It allows to plan and adapt to expected situations. In the case of this project, </w:t>
      </w:r>
      <w:r w:rsidR="0064467D">
        <w:rPr>
          <w:lang w:val="en-US"/>
        </w:rPr>
        <w:t xml:space="preserve">ultimately, </w:t>
      </w:r>
      <w:r w:rsidR="00783BD3">
        <w:rPr>
          <w:lang w:val="en-US"/>
        </w:rPr>
        <w:t>the scenari</w:t>
      </w:r>
      <w:r w:rsidR="0064467D">
        <w:rPr>
          <w:lang w:val="en-US"/>
        </w:rPr>
        <w:t xml:space="preserve">o will </w:t>
      </w:r>
      <w:r w:rsidRPr="009A215A">
        <w:t>provid</w:t>
      </w:r>
      <w:r w:rsidR="0064467D">
        <w:rPr>
          <w:lang w:val="en-US"/>
        </w:rPr>
        <w:t>e</w:t>
      </w:r>
      <w:r w:rsidRPr="009A215A">
        <w:t xml:space="preserve"> decision-makers awareness about the environmental problems likely to occurs in the case of technology development. In this </w:t>
      </w:r>
      <w:r w:rsidR="004B1946">
        <w:rPr>
          <w:lang w:val="en-US"/>
        </w:rPr>
        <w:t>way</w:t>
      </w:r>
      <w:r w:rsidRPr="009A215A">
        <w:t xml:space="preserve">, better environmental performance can be designed and achieved for the new technology before its implementation. </w:t>
      </w:r>
    </w:p>
    <w:p w14:paraId="3789FB93" w14:textId="77777777" w:rsidR="00F46E8B" w:rsidRDefault="00F46E8B" w:rsidP="00F46E8B"/>
    <w:p w14:paraId="68E56470" w14:textId="6BF5DBCD" w:rsidR="00A513EF" w:rsidRPr="00EC4C27" w:rsidRDefault="00F46E8B" w:rsidP="00F46E8B">
      <w:pPr>
        <w:rPr>
          <w:lang w:val="en-US"/>
        </w:rPr>
      </w:pPr>
      <w:r>
        <w:t xml:space="preserve">Thus, the basis for the plant's industrial-scale will derive from the foreseen availability of EOL HDDs stream in 2030 for Europe. The forecast of this flow, especially of the REEs content, has been studied through the </w:t>
      </w:r>
      <w:r w:rsidRPr="005C0762">
        <w:t>Material Flow Analysis (MFA)</w:t>
      </w:r>
      <w:r>
        <w:t xml:space="preserve"> methodology by some authors </w:t>
      </w:r>
      <w:r w:rsidR="00EC4C27">
        <w:fldChar w:fldCharType="begin" w:fldLock="1"/>
      </w:r>
      <w:r w:rsidR="00D672F8">
        <w:instrText>ADDIN CSL_CITATION {"citationItems":[{"id":"ITEM-1","itemData":{"DOI":"10.1016/B978-0-12-803363-0.00002-X","ISBN":"9780128033647","abstract":"As for any mineral deposit, the development of the \"urban mine\" requires adequate knowledge of resources and reserves. Regarding resources, a useful tool in this context is material flow analysis (MFA), which aims to map flows and stocks of materials within an arbitrary system. This chapter discusses the potential and limitations of MFA. This approach is illustrated with an application to rare earths in fluorescent lighting and in permanent NdFeB magnets used in various products destined to become waste electrical and electronic equipment (WEEE). The application provides estimates of flows of terbium, europium, yttrium, neodymium, and dysprosium into use and of in-use stocks. Flows and stocks are provided for reference year 2010, and recycling potentials are projected for 2020.","author":[{"dropping-particle":"","family":"Guyonnet","given":"D.","non-dropping-particle":"","parse-names":false,"suffix":""},{"dropping-particle":"","family":"Planchon","given":"M.","non-dropping-particle":"","parse-names":false,"suffix":""},{"dropping-particle":"","family":"Rollat","given":"A.","non-dropping-particle":"","parse-names":false,"suffix":""},{"dropping-particle":"","family":"Tuduri","given":"J.","non-dropping-particle":"","parse-names":false,"suffix":""}],"container-title":"WEEE Recycling: Research, Development, and Policies","id":"ITEM-1","issued":{"date-parts":[["2016"]]},"number-of-pages":"31-52","publisher":"Elsevier Inc.","title":"Dynamic Representation of Flows and Stocks of Metals in the Economy","type":"book"},"uris":["http://www.mendeley.com/documents/?uuid=19cc5624-6277-45a2-86a7-a89a9e7b7840"]},{"id":"ITEM-2","itemData":{"DOI":"10.1021/es305007w","ISSN":"0013936X","PMID":"23909476","abstract":"End-of-life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Technology","id":"ITEM-2","issue":"18","issued":{"date-parts":[["2013"]]},"page":"10129-10136","title":"Recycling as a strategy against rare earth element criticality: A systemic evaluation of the potential yield of NdFeB magnet recycling","type":"article-journal","volume":"47"},"uris":["http://www.mendeley.com/documents/?uuid=0a3af202-948d-4704-b634-02b409a480ee"]},{"id":"ITEM-3","itemData":{"DOI":"10.1016/j.resconrec.2016.05.004","ISSN":"18790658","abstract":"Rare earth element (REE) containing neodymium-iron-boron (NdFeB) magnets play a major role in green technologies, including motor and generator applications. Recycling of REE from NdFeB magnets is expected to be beneficial from an environmental point of view compared to the production of magnets using primary REE currently practiced. This study gives a broad overview of global recycling potentials from end-of-life magnets from eleven different application groups and industrial scrap, quantified through dynamic material flow analysis. Data was obtained through a review of the literature, complemented by expert estimations. Recycling potentials achievable for REEs used in NdFeB magnets, namely neodymium (Nd), praseodymium (Pr), terbium (Tb) and dysprosium (Dy), were calculated for years 2020-2030, derived from two demand scenarios to reflect uncertainties in historic NdFeB demand figures and future demand development, taking into account the recent success in heavy REE reduction efforts. The most important NdFeB application groups in terms of recycling potentials are identified. The modelled scenarios show that between 18 and 22 percent of global light REE (Nd and Pr) and 20-23 percent of heavy (Dy and Tb) REE demand for use in NdFeB magnet production can be met by supply from secondary sources from end-of-life magnets and industrial scrap in years 2020, 25 and 30 (ranges of values for individual years and scenarios).","author":[{"dropping-particle":"","family":"Schulze","given":"Rita","non-dropping-particle":"","parse-names":false,"suffix":""},{"dropping-particle":"","family":"Buchert","given":"Matthias","non-dropping-particle":"","parse-names":false,"suffix":""}],"container-title":"Resources, Conservation and Recycling","id":"ITEM-3","issued":{"date-parts":[["2016"]]},"page":"12-27","publisher":"Elsevier B.V.","title":"Estimates of global REE recycling potentials from NdFeB magnet material","type":"article-journal","volume":"113"},"uris":["http://www.mendeley.com/documents/?uuid=b3951c0c-23cc-40b9-87c7-3002324f79ea"]}],"mendeley":{"formattedCitation":"(Guyonnet et al., 2016; Rademaker et al., 2013; Schulze &amp; Buchert, 2016)","plainTextFormattedCitation":"(Guyonnet et al., 2016; Rademaker et al., 2013; Schulze &amp; Buchert, 2016)","previouslyFormattedCitation":"(Guyonnet et al., 2016; Rademaker et al., 2013; Schulze &amp; Buchert, 2016)"},"properties":{"noteIndex":0},"schema":"https://github.com/citation-style-language/schema/raw/master/csl-citation.json"}</w:instrText>
      </w:r>
      <w:r w:rsidR="00EC4C27">
        <w:fldChar w:fldCharType="separate"/>
      </w:r>
      <w:r w:rsidR="00EC4C27" w:rsidRPr="00EC4C27">
        <w:rPr>
          <w:noProof/>
        </w:rPr>
        <w:t>(Guyonnet et al., 2016; Rademaker et al., 2013; Schulze &amp; Buchert, 2016)</w:t>
      </w:r>
      <w:r w:rsidR="00EC4C27">
        <w:fldChar w:fldCharType="end"/>
      </w:r>
      <w:r w:rsidR="00EC4C27">
        <w:rPr>
          <w:lang w:val="en-US"/>
        </w:rPr>
        <w:t xml:space="preserve">. </w:t>
      </w:r>
    </w:p>
    <w:p w14:paraId="7654C341" w14:textId="77777777" w:rsidR="00F46E8B" w:rsidRPr="00EC4C27" w:rsidRDefault="00F46E8B" w:rsidP="00F46E8B"/>
    <w:p w14:paraId="3379A5F4" w14:textId="1BEFC4D2" w:rsidR="00A70FC2" w:rsidRDefault="00D672F8" w:rsidP="009A215A">
      <w:r>
        <w:fldChar w:fldCharType="begin" w:fldLock="1"/>
      </w:r>
      <w:r w:rsidR="0035337D">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2013)","manualFormatting":"Rademaker et al. (2013)","plainTextFormattedCitation":"(Rademaker et al., 2013)","previouslyFormattedCitation":"(Rademaker et al., 2013)"},"properties":{"noteIndex":0},"schema":"https://github.com/citation-style-language/schema/raw/master/csl-citation.json"}</w:instrText>
      </w:r>
      <w:r>
        <w:fldChar w:fldCharType="separate"/>
      </w:r>
      <w:r w:rsidRPr="00D672F8">
        <w:rPr>
          <w:noProof/>
        </w:rPr>
        <w:t>Rademaker et al.</w:t>
      </w:r>
      <w:r w:rsidRPr="009E6D77">
        <w:rPr>
          <w:noProof/>
          <w:lang w:val="nl-NL"/>
        </w:rPr>
        <w:t xml:space="preserve"> (</w:t>
      </w:r>
      <w:r w:rsidRPr="00D672F8">
        <w:rPr>
          <w:noProof/>
        </w:rPr>
        <w:t>2013)</w:t>
      </w:r>
      <w:r>
        <w:fldChar w:fldCharType="end"/>
      </w:r>
      <w:r w:rsidRPr="009E6D77">
        <w:rPr>
          <w:lang w:val="nl-NL"/>
        </w:rPr>
        <w:t xml:space="preserve"> </w:t>
      </w:r>
      <w:r w:rsidR="00F46E8B" w:rsidRPr="00F46E8B">
        <w:t xml:space="preserve">and </w:t>
      </w:r>
      <w:r w:rsidR="0035337D">
        <w:fldChar w:fldCharType="begin" w:fldLock="1"/>
      </w:r>
      <w:r w:rsidR="0026156B">
        <w:instrText>ADDIN CSL_CITATION {"citationItems":[{"id":"ITEM-1","itemData":{"DOI":"10.1016/B978-0-12-803363-0.00002-X","ISBN":"9780128033647","abstract":"As for any mineral deposit, the development of the \"urban mine\" requires adequate knowledge of resources and reserves. Regarding resources, a useful tool in this context is material flow analysis (MFA), which aims to map flows and stocks of materials within an arbitrary system. This chapter discusses the potential and limitations of MFA. This approach is illustrated with an application to rare earths in fluorescent lighting and in permanent NdFeB magnets used in various products destined to become waste electrical and electronic equipment (WEEE). The application provides estimates of flows of terbium, europium, yttrium, neodymium, and dysprosium into use and of in-use stocks. Flows and stocks are provided for reference year 2010, and recycling potentials are projected for 2020.","author":[{"dropping-particle":"","family":"Guyonnet","given":"D.","non-dropping-particle":"","parse-names":false,"suffix":""},{"dropping-particle":"","family":"Planchon","given":"M.","non-dropping-particle":"","parse-names":false,"suffix":""},{"dropping-particle":"","family":"Rollat","given":"A.","non-dropping-particle":"","parse-names":false,"suffix":""},{"dropping-particle":"","family":"Tuduri","given":"J.","non-dropping-particle":"","parse-names":false,"suffix":""}],"container-title":"WEEE Recycling: Research, Development, and Policies","id":"ITEM-1","issued":{"date-parts":[["2016"]]},"number-of-pages":"31-52","publisher":"Elsevier Inc.","title":"Dynamic Representation of Flows and Stocks of Metals in the Economy","type":"book"},"uris":["http://www.mendeley.com/documents/?uuid=19cc5624-6277-45a2-86a7-a89a9e7b7840"]}],"mendeley":{"formattedCitation":"(Guyonnet et al., 2016)","manualFormatting":"Guyonnet et al. (2016)","plainTextFormattedCitation":"(Guyonnet et al., 2016)","previouslyFormattedCitation":"(Guyonnet et al., 2016)"},"properties":{"noteIndex":0},"schema":"https://github.com/citation-style-language/schema/raw/master/csl-citation.json"}</w:instrText>
      </w:r>
      <w:r w:rsidR="0035337D">
        <w:fldChar w:fldCharType="separate"/>
      </w:r>
      <w:r w:rsidR="0035337D" w:rsidRPr="0035337D">
        <w:rPr>
          <w:noProof/>
        </w:rPr>
        <w:t xml:space="preserve">Guyonnet et al. </w:t>
      </w:r>
      <w:r w:rsidR="0035337D" w:rsidRPr="009E6D77">
        <w:rPr>
          <w:noProof/>
          <w:lang w:val="nl-NL"/>
        </w:rPr>
        <w:t>(</w:t>
      </w:r>
      <w:r w:rsidR="0035337D" w:rsidRPr="0035337D">
        <w:rPr>
          <w:noProof/>
        </w:rPr>
        <w:t>2016)</w:t>
      </w:r>
      <w:r w:rsidR="0035337D">
        <w:fldChar w:fldCharType="end"/>
      </w:r>
      <w:r w:rsidR="0035337D" w:rsidRPr="009E6D77">
        <w:rPr>
          <w:lang w:val="nl-NL"/>
        </w:rPr>
        <w:t xml:space="preserve"> </w:t>
      </w:r>
      <w:r w:rsidR="00F46E8B" w:rsidRPr="00F46E8B">
        <w:t xml:space="preserve">transparently studied the flow of REEs from EOL NdFeB permanent magnets in Europe up to 2030. Both studies concluded on the </w:t>
      </w:r>
      <w:r w:rsidR="00F46E8B" w:rsidRPr="00F46E8B">
        <w:lastRenderedPageBreak/>
        <w:t>same outlook: by 2030, it should be possible to supply approximately 10% of the Nd demand in Europe by recycling NdFeB magnets from EOL HDDs, electric vehicles, and wind turbines. This is equivalent to the supply of nearly 100 tons of Nd per year.</w:t>
      </w:r>
    </w:p>
    <w:p w14:paraId="1A64D8C1" w14:textId="77777777" w:rsidR="00F46E8B" w:rsidRDefault="00F46E8B" w:rsidP="009A215A"/>
    <w:p w14:paraId="301D6274" w14:textId="4B7FBB93" w:rsidR="00994F91" w:rsidRDefault="00F46E8B" w:rsidP="009A215A">
      <w:pPr>
        <w:rPr>
          <w:strike/>
          <w:lang w:val="en-US"/>
        </w:rPr>
      </w:pPr>
      <w:r w:rsidRPr="00EC4C27">
        <w:t xml:space="preserve">Among the MFA studies on REEs reported in the literature, the </w:t>
      </w:r>
      <w:r w:rsidRPr="00F46E8B">
        <w:rPr>
          <w:lang w:val="en-US"/>
        </w:rPr>
        <w:t xml:space="preserve">work of </w:t>
      </w:r>
      <w:r w:rsidR="0026156B">
        <w:rPr>
          <w:lang w:val="en-US"/>
        </w:rPr>
        <w:fldChar w:fldCharType="begin" w:fldLock="1"/>
      </w:r>
      <w:r w:rsidR="007C0452">
        <w:rPr>
          <w:lang w:val="en-US"/>
        </w:rPr>
        <w:instrText>ADDIN CSL_CITATION {"citationItems":[{"id":"ITEM-1","itemData":{"DOI":"10.1016/j.resconrec.2016.05.004","ISSN":"18790658","abstract":"Rare earth element (REE) containing neodymium-iron-boron (NdFeB) magnets play a major role in green technologies, including motor and generator applications. Recycling of REE from NdFeB magnets is expected to be beneficial from an environmental point of view compared to the production of magnets using primary REE currently practiced. This study gives a broad overview of global recycling potentials from end-of-life magnets from eleven different application groups and industrial scrap, quantified through dynamic material flow analysis. Data was obtained through a review of the literature, complemented by expert estimations. Recycling potentials achievable for REEs used in NdFeB magnets, namely neodymium (Nd), praseodymium (Pr), terbium (Tb) and dysprosium (Dy), were calculated for years 2020-2030, derived from two demand scenarios to reflect uncertainties in historic NdFeB demand figures and future demand development, taking into account the recent success in heavy REE reduction efforts. The most important NdFeB application groups in terms of recycling potentials are identified. The modelled scenarios show that between 18 and 22 percent of global light REE (Nd and Pr) and 20-23 percent of heavy (Dy and Tb) REE demand for use in NdFeB magnet production can be met by supply from secondary sources from end-of-life magnets and industrial scrap in years 2020, 25 and 30 (ranges of values for individual years and scenarios).","author":[{"dropping-particle":"","family":"Schulze","given":"Rita","non-dropping-particle":"","parse-names":false,"suffix":""},{"dropping-particle":"","family":"Buchert","given":"Matthias","non-dropping-particle":"","parse-names":false,"suffix":""}],"container-title":"Resources, Conservation and Recycling","id":"ITEM-1","issued":{"date-parts":[["2016"]]},"page":"12-27","publisher":"Elsevier B.V.","title":"Estimates of global REE recycling potentials from NdFeB magnet material","type":"article-journal","volume":"113"},"uris":["http://www.mendeley.com/documents/?uuid=b3951c0c-23cc-40b9-87c7-3002324f79ea"]}],"mendeley":{"formattedCitation":"(Schulze &amp; Buchert, 2016)","manualFormatting":"Schulze &amp; Buchert, (2016)","plainTextFormattedCitation":"(Schulze &amp; Buchert, 2016)","previouslyFormattedCitation":"(Schulze &amp; Buchert, 2016)"},"properties":{"noteIndex":0},"schema":"https://github.com/citation-style-language/schema/raw/master/csl-citation.json"}</w:instrText>
      </w:r>
      <w:r w:rsidR="0026156B">
        <w:rPr>
          <w:lang w:val="en-US"/>
        </w:rPr>
        <w:fldChar w:fldCharType="separate"/>
      </w:r>
      <w:r w:rsidR="0026156B" w:rsidRPr="0026156B">
        <w:rPr>
          <w:noProof/>
          <w:lang w:val="en-US"/>
        </w:rPr>
        <w:t xml:space="preserve">Schulze &amp; Buchert, </w:t>
      </w:r>
      <w:r w:rsidR="0026156B">
        <w:rPr>
          <w:noProof/>
          <w:lang w:val="en-US"/>
        </w:rPr>
        <w:t>(</w:t>
      </w:r>
      <w:r w:rsidR="0026156B" w:rsidRPr="0026156B">
        <w:rPr>
          <w:noProof/>
          <w:lang w:val="en-US"/>
        </w:rPr>
        <w:t>2016)</w:t>
      </w:r>
      <w:r w:rsidR="0026156B">
        <w:rPr>
          <w:lang w:val="en-US"/>
        </w:rPr>
        <w:fldChar w:fldCharType="end"/>
      </w:r>
      <w:r w:rsidRPr="00F46E8B">
        <w:rPr>
          <w:lang w:val="en-US"/>
        </w:rPr>
        <w:t xml:space="preserve"> was not used for cross-reference because, in their estimations, the authors accounted for </w:t>
      </w:r>
      <w:proofErr w:type="spellStart"/>
      <w:r w:rsidRPr="00F46E8B">
        <w:rPr>
          <w:lang w:val="en-US"/>
        </w:rPr>
        <w:t>NdFeB</w:t>
      </w:r>
      <w:proofErr w:type="spellEnd"/>
      <w:r w:rsidRPr="00F46E8B">
        <w:rPr>
          <w:lang w:val="en-US"/>
        </w:rPr>
        <w:t xml:space="preserve"> magnets manufacturing scrap</w:t>
      </w:r>
      <w:r w:rsidR="008F4C49">
        <w:rPr>
          <w:lang w:val="en-US"/>
        </w:rPr>
        <w:t xml:space="preserve"> in a global context</w:t>
      </w:r>
      <w:r w:rsidRPr="00F46E8B">
        <w:rPr>
          <w:lang w:val="en-US"/>
        </w:rPr>
        <w:t xml:space="preserve">. This accounting is not relevant for upscaling the proposed route since it is envisaged to treat only EOL </w:t>
      </w:r>
      <w:proofErr w:type="spellStart"/>
      <w:r w:rsidRPr="00F46E8B">
        <w:rPr>
          <w:lang w:val="en-US"/>
        </w:rPr>
        <w:t>NdFeB</w:t>
      </w:r>
      <w:proofErr w:type="spellEnd"/>
      <w:r w:rsidRPr="00F46E8B">
        <w:rPr>
          <w:lang w:val="en-US"/>
        </w:rPr>
        <w:t xml:space="preserve"> magnets (from</w:t>
      </w:r>
      <w:r w:rsidR="009B3B7D">
        <w:rPr>
          <w:lang w:val="en-US"/>
        </w:rPr>
        <w:t xml:space="preserve"> European waste stream of HDDs</w:t>
      </w:r>
      <w:r w:rsidRPr="00F46E8B">
        <w:rPr>
          <w:lang w:val="en-US"/>
        </w:rPr>
        <w:t>).</w:t>
      </w:r>
      <w:r w:rsidR="009B3B7D">
        <w:rPr>
          <w:lang w:val="en-US"/>
        </w:rPr>
        <w:t xml:space="preserve"> Moreover, </w:t>
      </w:r>
      <w:r w:rsidRPr="00F46E8B">
        <w:rPr>
          <w:lang w:val="en-US"/>
        </w:rPr>
        <w:t xml:space="preserve">the future plant will be envisioned as the European hub for hydrometallurgical recycling of REEs. </w:t>
      </w:r>
      <w:r w:rsidRPr="007C0452">
        <w:rPr>
          <w:lang w:val="en-US"/>
        </w:rPr>
        <w:t>The plant's location will be in France within a</w:t>
      </w:r>
      <w:r w:rsidR="002D50E0">
        <w:rPr>
          <w:lang w:val="en-US"/>
        </w:rPr>
        <w:t xml:space="preserve"> </w:t>
      </w:r>
      <w:r w:rsidRPr="007C0452">
        <w:rPr>
          <w:lang w:val="en-US"/>
        </w:rPr>
        <w:t>waste</w:t>
      </w:r>
      <w:r w:rsidR="002D50E0">
        <w:rPr>
          <w:lang w:val="en-US"/>
        </w:rPr>
        <w:t xml:space="preserve"> </w:t>
      </w:r>
      <w:r w:rsidRPr="007C0452">
        <w:rPr>
          <w:lang w:val="en-US"/>
        </w:rPr>
        <w:t xml:space="preserve">treatment center, </w:t>
      </w:r>
      <w:r w:rsidR="003E0BD5">
        <w:rPr>
          <w:lang w:val="en-US"/>
        </w:rPr>
        <w:t>allowing</w:t>
      </w:r>
      <w:r w:rsidRPr="007C0452">
        <w:rPr>
          <w:lang w:val="en-US"/>
        </w:rPr>
        <w:t xml:space="preserve"> industrial symbiosis, thereby closing more </w:t>
      </w:r>
      <w:proofErr w:type="gramStart"/>
      <w:r w:rsidRPr="007C0452">
        <w:rPr>
          <w:lang w:val="en-US"/>
        </w:rPr>
        <w:t>loops</w:t>
      </w:r>
      <w:proofErr w:type="gramEnd"/>
      <w:r w:rsidRPr="007C0452">
        <w:rPr>
          <w:lang w:val="en-US"/>
        </w:rPr>
        <w:t xml:space="preserve"> and promoting a circular economy.</w:t>
      </w:r>
    </w:p>
    <w:p w14:paraId="7C666DE7" w14:textId="77777777" w:rsidR="00F46E8B" w:rsidRDefault="00F46E8B" w:rsidP="009A215A"/>
    <w:p w14:paraId="77FF21B8" w14:textId="2764479E" w:rsidR="009744E6" w:rsidRDefault="00F46E8B" w:rsidP="009A215A">
      <w:pPr>
        <w:rPr>
          <w:lang w:val="en-US"/>
        </w:rPr>
      </w:pPr>
      <w:r w:rsidRPr="00F46E8B">
        <w:rPr>
          <w:lang w:val="en-US"/>
        </w:rPr>
        <w:t xml:space="preserve">The work of </w:t>
      </w:r>
      <w:r w:rsidR="007C0452">
        <w:rPr>
          <w:lang w:val="en-US"/>
        </w:rPr>
        <w:fldChar w:fldCharType="begin" w:fldLock="1"/>
      </w:r>
      <w:r w:rsidR="003E5B96">
        <w:rPr>
          <w:lang w:val="en-US"/>
        </w:rPr>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2013)","manualFormatting":"Rademaker et al. (2013)","plainTextFormattedCitation":"(Rademaker et al., 2013)","previouslyFormattedCitation":"(Rademaker et al., 2013)"},"properties":{"noteIndex":0},"schema":"https://github.com/citation-style-language/schema/raw/master/csl-citation.json"}</w:instrText>
      </w:r>
      <w:r w:rsidR="007C0452">
        <w:rPr>
          <w:lang w:val="en-US"/>
        </w:rPr>
        <w:fldChar w:fldCharType="separate"/>
      </w:r>
      <w:r w:rsidR="007C0452" w:rsidRPr="007C0452">
        <w:rPr>
          <w:noProof/>
          <w:lang w:val="en-US"/>
        </w:rPr>
        <w:t>Rademaker et al.</w:t>
      </w:r>
      <w:r w:rsidR="007C0452">
        <w:rPr>
          <w:noProof/>
          <w:lang w:val="en-US"/>
        </w:rPr>
        <w:t xml:space="preserve"> (</w:t>
      </w:r>
      <w:r w:rsidR="007C0452" w:rsidRPr="007C0452">
        <w:rPr>
          <w:noProof/>
          <w:lang w:val="en-US"/>
        </w:rPr>
        <w:t>2013)</w:t>
      </w:r>
      <w:r w:rsidR="007C0452">
        <w:rPr>
          <w:lang w:val="en-US"/>
        </w:rPr>
        <w:fldChar w:fldCharType="end"/>
      </w:r>
      <w:r w:rsidRPr="00F46E8B">
        <w:rPr>
          <w:lang w:val="en-US"/>
        </w:rPr>
        <w:t xml:space="preserve"> provides, individually, the estimates of REEs from each type of EOL device considered in their work, both in the global and European dimensions. They assume that </w:t>
      </w:r>
      <w:proofErr w:type="spellStart"/>
      <w:r w:rsidRPr="00F46E8B">
        <w:rPr>
          <w:lang w:val="en-US"/>
        </w:rPr>
        <w:t>NdFeB</w:t>
      </w:r>
      <w:proofErr w:type="spellEnd"/>
      <w:r w:rsidRPr="00F46E8B">
        <w:rPr>
          <w:lang w:val="en-US"/>
        </w:rPr>
        <w:t xml:space="preserve"> magnets in HDDs are composed purely of Nd. Dy and </w:t>
      </w:r>
      <w:proofErr w:type="spellStart"/>
      <w:r w:rsidRPr="00F46E8B">
        <w:rPr>
          <w:lang w:val="en-US"/>
        </w:rPr>
        <w:t>Pr</w:t>
      </w:r>
      <w:proofErr w:type="spellEnd"/>
      <w:r w:rsidRPr="00F46E8B">
        <w:rPr>
          <w:lang w:val="en-US"/>
        </w:rPr>
        <w:t xml:space="preserve"> were not </w:t>
      </w:r>
      <w:r w:rsidR="00103FBC">
        <w:rPr>
          <w:lang w:val="en-US"/>
        </w:rPr>
        <w:t xml:space="preserve">included </w:t>
      </w:r>
      <w:r w:rsidRPr="00F46E8B">
        <w:rPr>
          <w:lang w:val="en-US"/>
        </w:rPr>
        <w:t xml:space="preserve">in the composition because Dy is used when the magnet is expected to operate in a hot environment, which is not the case for HDDs, and </w:t>
      </w:r>
      <w:proofErr w:type="spellStart"/>
      <w:r w:rsidRPr="00F46E8B">
        <w:rPr>
          <w:lang w:val="en-US"/>
        </w:rPr>
        <w:t>Pr</w:t>
      </w:r>
      <w:proofErr w:type="spellEnd"/>
      <w:r w:rsidRPr="00F46E8B">
        <w:rPr>
          <w:lang w:val="en-US"/>
        </w:rPr>
        <w:t xml:space="preserve"> consists of a cost-effective Nd replacement without significant performance penalties, which they did not consider applicable for HDDs </w:t>
      </w:r>
      <w:r w:rsidR="003E5B96">
        <w:rPr>
          <w:lang w:val="en-US"/>
        </w:rPr>
        <w:fldChar w:fldCharType="begin" w:fldLock="1"/>
      </w:r>
      <w:r w:rsidR="00DE32C2">
        <w:rPr>
          <w:lang w:val="en-US"/>
        </w:rPr>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2013)","plainTextFormattedCitation":"(Rademaker et al., 2013)","previouslyFormattedCitation":"(Rademaker et al., 2013)"},"properties":{"noteIndex":0},"schema":"https://github.com/citation-style-language/schema/raw/master/csl-citation.json"}</w:instrText>
      </w:r>
      <w:r w:rsidR="003E5B96">
        <w:rPr>
          <w:lang w:val="en-US"/>
        </w:rPr>
        <w:fldChar w:fldCharType="separate"/>
      </w:r>
      <w:r w:rsidR="003E5B96" w:rsidRPr="003E5B96">
        <w:rPr>
          <w:noProof/>
          <w:lang w:val="en-US"/>
        </w:rPr>
        <w:t>(Rademaker et al., 2013)</w:t>
      </w:r>
      <w:r w:rsidR="003E5B96">
        <w:rPr>
          <w:lang w:val="en-US"/>
        </w:rPr>
        <w:fldChar w:fldCharType="end"/>
      </w:r>
      <w:r w:rsidR="003E5B96">
        <w:rPr>
          <w:lang w:val="en-US"/>
        </w:rPr>
        <w:t xml:space="preserve">. </w:t>
      </w:r>
      <w:r w:rsidRPr="00F46E8B">
        <w:rPr>
          <w:lang w:val="en-US"/>
        </w:rPr>
        <w:t xml:space="preserve">Thus, their study provides the amount of REEs from EOL HDDs available for recycling, in Europe, in 2030, in terms of Nd (oxide). Their finding will be considered </w:t>
      </w:r>
      <w:r w:rsidR="009B3B7D">
        <w:rPr>
          <w:lang w:val="en-US"/>
        </w:rPr>
        <w:t xml:space="preserve">as </w:t>
      </w:r>
      <w:r w:rsidRPr="00F46E8B">
        <w:rPr>
          <w:lang w:val="en-US"/>
        </w:rPr>
        <w:t>the production capacity that the scaled facility should handle in 2030, 70 tons of Nd oxide.</w:t>
      </w:r>
    </w:p>
    <w:p w14:paraId="7AF90E10" w14:textId="77777777" w:rsidR="00F46E8B" w:rsidRDefault="00F46E8B" w:rsidP="009A215A"/>
    <w:p w14:paraId="67439124" w14:textId="5D76CB69" w:rsidR="00F46E8B" w:rsidRDefault="00F46E8B" w:rsidP="00F46E8B">
      <w:r>
        <w:t xml:space="preserve">It is important to highlight that </w:t>
      </w:r>
      <w:r w:rsidR="00DE32C2">
        <w:fldChar w:fldCharType="begin" w:fldLock="1"/>
      </w:r>
      <w:r w:rsidR="0096430C">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2013)","manualFormatting":"Rademaker et al. (2013)","plainTextFormattedCitation":"(Rademaker et al., 2013)","previouslyFormattedCitation":"(Rademaker et al., 2013)"},"properties":{"noteIndex":0},"schema":"https://github.com/citation-style-language/schema/raw/master/csl-citation.json"}</w:instrText>
      </w:r>
      <w:r w:rsidR="00DE32C2">
        <w:fldChar w:fldCharType="separate"/>
      </w:r>
      <w:r w:rsidR="00DE32C2" w:rsidRPr="00DE32C2">
        <w:rPr>
          <w:noProof/>
        </w:rPr>
        <w:t xml:space="preserve">Rademaker et al. </w:t>
      </w:r>
      <w:r w:rsidR="00DE32C2">
        <w:rPr>
          <w:noProof/>
          <w:lang w:val="en-US"/>
        </w:rPr>
        <w:t>(</w:t>
      </w:r>
      <w:r w:rsidR="00DE32C2" w:rsidRPr="00DE32C2">
        <w:rPr>
          <w:noProof/>
        </w:rPr>
        <w:t>2013)</w:t>
      </w:r>
      <w:r w:rsidR="00DE32C2">
        <w:fldChar w:fldCharType="end"/>
      </w:r>
      <w:r>
        <w:t xml:space="preserve"> did not present the REEs forecasts in terms of the element's metallic form (Nd2) but, as said in terms of</w:t>
      </w:r>
      <w:r w:rsidR="001F754A">
        <w:rPr>
          <w:lang w:val="en-US"/>
        </w:rPr>
        <w:t xml:space="preserve"> </w:t>
      </w:r>
      <w:r w:rsidR="007B5677">
        <w:rPr>
          <w:lang w:val="en-US"/>
        </w:rPr>
        <w:t>the r</w:t>
      </w:r>
      <w:r w:rsidR="00113757">
        <w:rPr>
          <w:lang w:val="en-US"/>
        </w:rPr>
        <w:t>are-earth oxide (</w:t>
      </w:r>
      <w:r w:rsidRPr="005C0762">
        <w:t>REO</w:t>
      </w:r>
      <w:r w:rsidR="00113757">
        <w:rPr>
          <w:lang w:val="en-US"/>
        </w:rPr>
        <w:t>)</w:t>
      </w:r>
      <w:r>
        <w:t xml:space="preserve"> content (Nd2O3). They support this choice arguing that the REO is a common form of trading REEs in the commodity market </w:t>
      </w:r>
      <w:r w:rsidR="0096430C">
        <w:fldChar w:fldCharType="begin" w:fldLock="1"/>
      </w:r>
      <w:r w:rsidR="006149B6">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2013)","plainTextFormattedCitation":"(Rademaker et al., 2013)","previouslyFormattedCitation":"(Rademaker et al., 2013)"},"properties":{"noteIndex":0},"schema":"https://github.com/citation-style-language/schema/raw/master/csl-citation.json"}</w:instrText>
      </w:r>
      <w:r w:rsidR="0096430C">
        <w:fldChar w:fldCharType="separate"/>
      </w:r>
      <w:r w:rsidR="0096430C" w:rsidRPr="0096430C">
        <w:rPr>
          <w:noProof/>
        </w:rPr>
        <w:t>(Rademaker et al., 2013)</w:t>
      </w:r>
      <w:r w:rsidR="0096430C">
        <w:fldChar w:fldCharType="end"/>
      </w:r>
      <w:r w:rsidR="0096430C">
        <w:rPr>
          <w:lang w:val="en-US"/>
        </w:rPr>
        <w:t>.</w:t>
      </w:r>
      <w:r>
        <w:t xml:space="preserve"> However, acknowledging that Nd enters this work's recycling route in its metallic form, their estimation for Nd oxide will be corrected to the metallic form through the weight percentage difference of both.</w:t>
      </w:r>
    </w:p>
    <w:p w14:paraId="2623F2AA" w14:textId="77777777" w:rsidR="00F46E8B" w:rsidRDefault="00F46E8B" w:rsidP="00F46E8B"/>
    <w:p w14:paraId="6CA88EB9" w14:textId="0719C63E" w:rsidR="0000703F" w:rsidRPr="006149B6" w:rsidRDefault="00F46E8B" w:rsidP="00F46E8B">
      <w:pPr>
        <w:rPr>
          <w:lang w:val="en-US"/>
        </w:rPr>
      </w:pPr>
      <w:r>
        <w:t xml:space="preserve">Having determined the annual capacity intake of the plant, its temporal, geographical, and activity's scope, the plant's processes operations, and installation conditions will be discussed </w:t>
      </w:r>
      <w:r>
        <w:lastRenderedPageBreak/>
        <w:t>in the following section. In the end, the plant's hypothetical upscaled appearance will be depicted as suggested</w:t>
      </w:r>
      <w:r w:rsidR="007B5677">
        <w:rPr>
          <w:lang w:val="en-US"/>
        </w:rPr>
        <w:t xml:space="preserve"> in</w:t>
      </w:r>
      <w:r w:rsidR="006149B6">
        <w:rPr>
          <w:lang w:val="en-US"/>
        </w:rPr>
        <w:t xml:space="preserve"> the framework of</w:t>
      </w:r>
      <w:r>
        <w:t xml:space="preserve"> </w:t>
      </w:r>
      <w:r w:rsidR="006149B6">
        <w:fldChar w:fldCharType="begin" w:fldLock="1"/>
      </w:r>
      <w:r w:rsidR="003C0A85">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6149B6">
        <w:fldChar w:fldCharType="separate"/>
      </w:r>
      <w:r w:rsidR="006149B6" w:rsidRPr="006149B6">
        <w:rPr>
          <w:noProof/>
        </w:rPr>
        <w:t xml:space="preserve">Tsoy et al. </w:t>
      </w:r>
      <w:r w:rsidR="006149B6">
        <w:rPr>
          <w:noProof/>
          <w:lang w:val="en-US"/>
        </w:rPr>
        <w:t>(</w:t>
      </w:r>
      <w:r w:rsidR="006149B6" w:rsidRPr="006149B6">
        <w:rPr>
          <w:noProof/>
        </w:rPr>
        <w:t>2020)</w:t>
      </w:r>
      <w:r w:rsidR="006149B6">
        <w:fldChar w:fldCharType="end"/>
      </w:r>
      <w:r w:rsidR="006149B6">
        <w:rPr>
          <w:lang w:val="en-US"/>
        </w:rPr>
        <w:t>.</w:t>
      </w:r>
    </w:p>
    <w:p w14:paraId="44B5A170" w14:textId="77777777" w:rsidR="00F46E8B" w:rsidRDefault="00F46E8B" w:rsidP="00F46E8B"/>
    <w:p w14:paraId="2E3D6F16" w14:textId="05CA30C4" w:rsidR="00AD630D" w:rsidRPr="00FE51B6" w:rsidRDefault="0075117C" w:rsidP="00CF491D">
      <w:pPr>
        <w:pStyle w:val="Heading3"/>
      </w:pPr>
      <w:bookmarkStart w:id="36" w:name="_Toc76752267"/>
      <w:r w:rsidRPr="009A215A">
        <w:t>Plant</w:t>
      </w:r>
      <w:r w:rsidR="00A54A48">
        <w:t xml:space="preserve">’s </w:t>
      </w:r>
      <w:r w:rsidRPr="009A215A">
        <w:t>processes</w:t>
      </w:r>
      <w:r w:rsidR="00C17515">
        <w:t>’</w:t>
      </w:r>
      <w:r w:rsidR="00A54A48">
        <w:t xml:space="preserve"> operation</w:t>
      </w:r>
      <w:r w:rsidR="004F15D3">
        <w:t>s</w:t>
      </w:r>
      <w:r w:rsidR="00A54A48">
        <w:t xml:space="preserve"> and installations</w:t>
      </w:r>
      <w:bookmarkEnd w:id="36"/>
      <w:r w:rsidR="0016295F" w:rsidRPr="00FE51B6">
        <w:t xml:space="preserve"> </w:t>
      </w:r>
    </w:p>
    <w:p w14:paraId="4882E8D0" w14:textId="77777777" w:rsidR="00FE51B6" w:rsidRPr="00FE51B6" w:rsidRDefault="00FE51B6" w:rsidP="00754D75"/>
    <w:p w14:paraId="488C7C14" w14:textId="79217630" w:rsidR="00664AC0" w:rsidRDefault="00B23857" w:rsidP="009A215A">
      <w:pPr>
        <w:rPr>
          <w:lang w:val="en-US"/>
        </w:rPr>
      </w:pPr>
      <w:r>
        <w:rPr>
          <w:lang w:val="en-US"/>
        </w:rPr>
        <w:t xml:space="preserve">Recalling from section </w:t>
      </w:r>
      <w:r w:rsidR="00E16E67">
        <w:rPr>
          <w:lang w:val="en-US"/>
        </w:rPr>
        <w:fldChar w:fldCharType="begin"/>
      </w:r>
      <w:r w:rsidR="00E16E67">
        <w:rPr>
          <w:lang w:val="en-US"/>
        </w:rPr>
        <w:instrText xml:space="preserve"> REF _Ref74849284 \w \h </w:instrText>
      </w:r>
      <w:r w:rsidR="00E16E67">
        <w:rPr>
          <w:lang w:val="en-US"/>
        </w:rPr>
      </w:r>
      <w:r w:rsidR="00E16E67">
        <w:rPr>
          <w:lang w:val="en-US"/>
        </w:rPr>
        <w:fldChar w:fldCharType="separate"/>
      </w:r>
      <w:r w:rsidR="005A139D">
        <w:rPr>
          <w:lang w:val="en-US"/>
        </w:rPr>
        <w:t>1.2</w:t>
      </w:r>
      <w:r w:rsidR="00E16E67">
        <w:rPr>
          <w:lang w:val="en-US"/>
        </w:rPr>
        <w:fldChar w:fldCharType="end"/>
      </w:r>
      <w:r>
        <w:rPr>
          <w:lang w:val="en-US"/>
        </w:rPr>
        <w:t>, t</w:t>
      </w:r>
      <w:r w:rsidR="00E40F31">
        <w:rPr>
          <w:lang w:val="en-US"/>
        </w:rPr>
        <w:t xml:space="preserve">he processes constituting the hydrometallurgical recycling route to be upscaled </w:t>
      </w:r>
      <w:r>
        <w:rPr>
          <w:lang w:val="en-US"/>
        </w:rPr>
        <w:t xml:space="preserve">are as in </w:t>
      </w:r>
      <w:r w:rsidR="00664AC0">
        <w:rPr>
          <w:lang w:val="en-US"/>
        </w:rPr>
        <w:fldChar w:fldCharType="begin"/>
      </w:r>
      <w:r w:rsidR="00664AC0">
        <w:rPr>
          <w:lang w:val="en-US"/>
        </w:rPr>
        <w:instrText xml:space="preserve"> REF _Ref74762553 \h </w:instrText>
      </w:r>
      <w:r w:rsidR="00664AC0">
        <w:rPr>
          <w:lang w:val="en-US"/>
        </w:rPr>
      </w:r>
      <w:r w:rsidR="00664AC0">
        <w:rPr>
          <w:lang w:val="en-US"/>
        </w:rPr>
        <w:fldChar w:fldCharType="separate"/>
      </w:r>
      <w:r w:rsidR="00BC31F4">
        <w:t xml:space="preserve">Figure </w:t>
      </w:r>
      <w:r w:rsidR="00A133A7">
        <w:rPr>
          <w:noProof/>
          <w:lang w:val="en-US"/>
        </w:rPr>
        <w:t>3</w:t>
      </w:r>
      <w:r w:rsidR="00BC31F4">
        <w:t>.</w:t>
      </w:r>
      <w:r w:rsidR="00BC31F4">
        <w:rPr>
          <w:noProof/>
        </w:rPr>
        <w:t>1</w:t>
      </w:r>
      <w:r w:rsidR="00664AC0">
        <w:rPr>
          <w:lang w:val="en-US"/>
        </w:rPr>
        <w:fldChar w:fldCharType="end"/>
      </w:r>
      <w:r w:rsidR="00664AC0">
        <w:rPr>
          <w:lang w:val="en-US"/>
        </w:rPr>
        <w:t>:</w:t>
      </w:r>
    </w:p>
    <w:p w14:paraId="2701154A" w14:textId="77777777" w:rsidR="00974BC6" w:rsidRDefault="00974BC6" w:rsidP="009A215A">
      <w:pPr>
        <w:rPr>
          <w:lang w:val="en-US"/>
        </w:rPr>
      </w:pPr>
    </w:p>
    <w:p w14:paraId="7E5F27D0" w14:textId="050C6284" w:rsidR="00754D75" w:rsidRDefault="00B61EE1" w:rsidP="00112FBA">
      <w:pPr>
        <w:keepNext/>
        <w:jc w:val="center"/>
      </w:pPr>
      <w:r>
        <w:rPr>
          <w:noProof/>
        </w:rPr>
        <w:drawing>
          <wp:inline distT="0" distB="0" distL="0" distR="0" wp14:anchorId="472C13C8" wp14:editId="7D43AFC0">
            <wp:extent cx="5759450" cy="4829175"/>
            <wp:effectExtent l="0" t="0" r="635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59450" cy="4829175"/>
                    </a:xfrm>
                    <a:prstGeom prst="rect">
                      <a:avLst/>
                    </a:prstGeom>
                  </pic:spPr>
                </pic:pic>
              </a:graphicData>
            </a:graphic>
          </wp:inline>
        </w:drawing>
      </w:r>
    </w:p>
    <w:p w14:paraId="620BD0F5" w14:textId="31D7F955" w:rsidR="00974BC6" w:rsidRDefault="00754D75" w:rsidP="00754D75">
      <w:pPr>
        <w:pStyle w:val="Caption"/>
        <w:rPr>
          <w:lang w:val="en-US"/>
        </w:rPr>
      </w:pPr>
      <w:bookmarkStart w:id="37" w:name="_Ref74762553"/>
      <w:bookmarkStart w:id="38" w:name="_Toc76729605"/>
      <w:r w:rsidRPr="00D87C83">
        <w:t xml:space="preserve">Figure </w:t>
      </w:r>
      <w:r w:rsidR="00A10398">
        <w:rPr>
          <w:lang w:val="en-US"/>
        </w:rPr>
        <w:t>3</w:t>
      </w:r>
      <w:r w:rsidR="001150DB" w:rsidRPr="00D87C83">
        <w:t>.</w:t>
      </w:r>
      <w:r w:rsidR="00BE45E3">
        <w:fldChar w:fldCharType="begin"/>
      </w:r>
      <w:r w:rsidR="00BE45E3">
        <w:instrText xml:space="preserve"> SEQ Figure \* ARABIC \s 1 </w:instrText>
      </w:r>
      <w:r w:rsidR="00BE45E3">
        <w:fldChar w:fldCharType="separate"/>
      </w:r>
      <w:r w:rsidR="00BC31F4" w:rsidRPr="00D87C83">
        <w:rPr>
          <w:noProof/>
        </w:rPr>
        <w:t>1</w:t>
      </w:r>
      <w:r w:rsidR="00BE45E3">
        <w:rPr>
          <w:noProof/>
        </w:rPr>
        <w:fldChar w:fldCharType="end"/>
      </w:r>
      <w:bookmarkEnd w:id="37"/>
      <w:r w:rsidRPr="00D87C83">
        <w:rPr>
          <w:lang w:val="en-US"/>
        </w:rPr>
        <w:t xml:space="preserve"> Hydrometallurgical recycling route for REE recovery. Source: author’s image.</w:t>
      </w:r>
      <w:bookmarkEnd w:id="38"/>
    </w:p>
    <w:p w14:paraId="4419BC6B" w14:textId="77777777" w:rsidR="00356C16" w:rsidRDefault="00356C16" w:rsidP="009A215A">
      <w:pPr>
        <w:rPr>
          <w:lang w:val="en-US"/>
        </w:rPr>
      </w:pPr>
    </w:p>
    <w:p w14:paraId="5413715F" w14:textId="572CAAD1" w:rsidR="00582C9F" w:rsidRDefault="00F46E8B" w:rsidP="009A215A">
      <w:pPr>
        <w:rPr>
          <w:lang w:val="en-US"/>
        </w:rPr>
      </w:pPr>
      <w:r w:rsidRPr="00F46E8B">
        <w:rPr>
          <w:lang w:val="en-US"/>
        </w:rPr>
        <w:t xml:space="preserve">A similar recycling route for recovering base and precious metals from various </w:t>
      </w:r>
      <w:r w:rsidRPr="001F754A">
        <w:rPr>
          <w:lang w:val="en-US"/>
        </w:rPr>
        <w:t>waste electrical and electronic equipment (WEEE)</w:t>
      </w:r>
      <w:r w:rsidRPr="00F46E8B">
        <w:rPr>
          <w:lang w:val="en-US"/>
        </w:rPr>
        <w:t xml:space="preserve"> residues was </w:t>
      </w:r>
      <w:r w:rsidRPr="001F754A">
        <w:rPr>
          <w:lang w:val="en-US"/>
        </w:rPr>
        <w:t>developed in the HYDROWEEE</w:t>
      </w:r>
      <w:r w:rsidRPr="00F46E8B">
        <w:rPr>
          <w:lang w:val="en-US"/>
        </w:rPr>
        <w:t xml:space="preserve"> project, completed in 2017 </w:t>
      </w:r>
      <w:r w:rsidR="003C0A85">
        <w:rPr>
          <w:lang w:val="en-US"/>
        </w:rPr>
        <w:fldChar w:fldCharType="begin" w:fldLock="1"/>
      </w:r>
      <w:r w:rsidR="006718F0">
        <w:rPr>
          <w:lang w:val="en-US"/>
        </w:rPr>
        <w:instrText>ADDIN CSL_CITATION {"citationItems":[{"id":"ITEM-1","itemData":{"DOI":"10.1016/B978-0-08-102057-9.00013-5","ISBN":"9780081020579","abstract":"The objective of this chapter is to describe a mobile demonstration plant for the recovery of metals from waste electrical and electronic equipment and other waste such as spent batteries and exhausted industrial catalysts. The plant was designed within the European FP7 framework HydroWEEE demo (2012-16) and can offer an effective proposal to addressing the problem of electronic waste, reducing the environmental impact of their incorrect disposal, recovering critical materials such as rare earths and precious elements, and giving economic benefits.","author":[{"dropping-particle":"","family":"Michelis","given":"Ida","non-dropping-particle":"De","parse-names":false,"suffix":""},{"dropping-particle":"","family":"Kopacek","given":"Bernd","non-dropping-particle":"","parse-names":false,"suffix":""}],"container-title":"Waste Electrical and Electronic Equipment Recycling: Aqueous Recovery Methods","id":"ITEM-1","issued":{"date-parts":[["2018"]]},"number-of-pages":"357-383","publisher":"Elsevier Ltd","title":"HydroWEEE project: Design and construction of a mobile demonstration plant","type":"book"},"uris":["http://www.mendeley.com/documents/?uuid=7fd8bcc0-6213-4007-9959-5aaf14b12b8d"]}],"mendeley":{"formattedCitation":"(De Michelis &amp; Kopacek, 2018)","plainTextFormattedCitation":"(De Michelis &amp; Kopacek, 2018)","previouslyFormattedCitation":"(De Michelis &amp; Kopacek, 2018)"},"properties":{"noteIndex":0},"schema":"https://github.com/citation-style-language/schema/raw/master/csl-citation.json"}</w:instrText>
      </w:r>
      <w:r w:rsidR="003C0A85">
        <w:rPr>
          <w:lang w:val="en-US"/>
        </w:rPr>
        <w:fldChar w:fldCharType="separate"/>
      </w:r>
      <w:r w:rsidR="003C0A85" w:rsidRPr="003C0A85">
        <w:rPr>
          <w:noProof/>
          <w:lang w:val="en-US"/>
        </w:rPr>
        <w:t>(De Michelis &amp; Kopacek, 2018)</w:t>
      </w:r>
      <w:r w:rsidR="003C0A85">
        <w:rPr>
          <w:lang w:val="en-US"/>
        </w:rPr>
        <w:fldChar w:fldCharType="end"/>
      </w:r>
      <w:r w:rsidRPr="00F46E8B">
        <w:rPr>
          <w:lang w:val="en-US"/>
        </w:rPr>
        <w:t xml:space="preserve">. Indeed, during the second phase of the </w:t>
      </w:r>
      <w:r w:rsidRPr="00F46E8B">
        <w:rPr>
          <w:lang w:val="en-US"/>
        </w:rPr>
        <w:lastRenderedPageBreak/>
        <w:t>project, an industrial-scale plant for the route was built, proving the route of being technical, economic, operational, social, and environmental viable</w:t>
      </w:r>
      <w:r w:rsidR="006718F0">
        <w:rPr>
          <w:lang w:val="en-US"/>
        </w:rPr>
        <w:t xml:space="preserve"> </w:t>
      </w:r>
      <w:r w:rsidR="006718F0">
        <w:rPr>
          <w:lang w:val="en-US"/>
        </w:rPr>
        <w:fldChar w:fldCharType="begin" w:fldLock="1"/>
      </w:r>
      <w:r w:rsidR="00F17249">
        <w:rPr>
          <w:lang w:val="en-US"/>
        </w:rPr>
        <w:instrText>ADDIN CSL_CITATION {"citationItems":[{"id":"ITEM-1","itemData":{"DOI":"10.1016/j.jtice.2017.09.019","ISSN":"18761070","abstract":"The main objective of this manuscript is the description of a mobile demonstration plant designed and built for the recovery of metals from waste of electrical and electronic equipment and other waste such as spent batteries and exhausted industrial catalysts. The plant was designed within the European FP7 framework HydroWEEE-demo (2012–2016) and can offer an effective proposal to addressing the problem of the electronic waste, reducing the environmental impact of their not correct disposal, recovering critical materials as rare earths and precious elements, and giving economic benefits, moreover by it, it is possible to overcome the problem of moving hazardous wastes from one country to another one. Details about the process to recover rare earths from fluorescent materials are presented. Two alternative treatments are showed with and without recirculation of the residual solutions. Economic analysis shows that with the actual product price (14 €/kg) only the process, in which solution recirculation is present, provides a return on the investment. Positive gain is possible if the plant works at its highest capacity and if the price growths up to 20 €/kg the gain increases about 20% of operating costs (process with recirculation, 2 batch/day). In the process without recirculation of the solution, to obtain the same ratio between gain and operating cost it is necessary that the price increases up to 26 €/kg. About other e-wastes, economic analysis has shown that the highest gain is provided from the PCB treatment.","author":[{"dropping-particle":"","family":"Innocenzi","given":"Valentina","non-dropping-particle":"","parse-names":false,"suffix":""},{"dropping-particle":"","family":"Michelis","given":"Ida","non-dropping-particle":"De","parse-names":false,"suffix":""},{"dropping-particle":"","family":"Vegliò","given":"Francesco","non-dropping-particle":"","parse-names":false,"suffix":""}],"container-title":"Journal of the Taiwan Institute of Chemical Engineers","id":"ITEM-1","issued":{"date-parts":[["2017"]]},"page":"769-778","publisher":"Elsevier B.V.","title":"Design and construction of an industrial mobile plant for WEEE treatment: Investigation on the treatment of fluorescent powders and economic evaluation compared to other e-wastes","type":"article-journal","volume":"80"},"uris":["http://www.mendeley.com/documents/?uuid=bc5a15de-1e6b-4a0e-b36e-f2fda0cac406"]},{"id":"ITEM-2","itemData":{"DOI":"10.1021/es302192t","ISSN":"0013936X","PMID":"23323842","abstract":"Life cycle assessment (LCA) was applied to hydrometallurgical treatments carried out using a new portable prototype plant for the recovery of valuable metals from waste electrical and electronic equipment (WEEE). The plant was fed with the WEEE residues from physical processes for the recycling of fluorescent lamps, cathode ray tubes (CRTs), Li-ion accumulators and printed circuit boards (PCBs). Leaching with sulfuric acid was carried out, followed by metal recovery by selective precipitation. A final step of wastewater treatment with lime was performed. The recovered metals included yttrium, zinc, cobalt, lithium, copper, gold, and silver. The category of global warming potential was the most critical one considering the specifications for southern European territories, with 13.3 kg CO2/kg recovered metal from the powders/residues from fluorescent lamps, 19.2 kg CO2/kg from CRTs, 27.0 kg CO 2/kg from Li-ion accumulators and 25.9 kg CO2/kg from PCBs. Data also show that metal extraction steps have the highest load for the environment. In general, these processes appear beneficial for the environment in terms of CO2 emissions, especially for metal recovery from WEEE residues from fluorescent lamps and CRTs. © 2013 American Chemical Society.","author":[{"dropping-particle":"","family":"Rocchetti","given":"Laura","non-dropping-particle":"","parse-names":false,"suffix":""},{"dropping-particle":"","family":"Vegliò","given":"Francesco","non-dropping-particle":"","parse-names":false,"suffix":""},{"dropping-particle":"","family":"Kopacek","given":"Bernd","non-dropping-particle":"","parse-names":false,"suffix":""},{"dropping-particle":"","family":"Beolchini","given":"Francesca","non-dropping-particle":"","parse-names":false,"suffix":""}],"container-title":"Environmental Science and Technology","id":"ITEM-2","issue":"3","issued":{"date-parts":[["2013"]]},"page":"1581-1588","title":"Environmental impact assessment of hydrometallurgical processes for metal recovery from WEEE residues using a portable prototype plant","type":"article-journal","volume":"47"},"uris":["http://www.mendeley.com/documents/?uuid=27cc76c8-c8fb-4129-b19a-1b8fdb4634ec"]}],"mendeley":{"formattedCitation":"(Innocenzi et al., 2017; Rocchetti et al., 2013)","plainTextFormattedCitation":"(Innocenzi et al., 2017; Rocchetti et al., 2013)","previouslyFormattedCitation":"(Innocenzi et al., 2017; Rocchetti et al., 2013)"},"properties":{"noteIndex":0},"schema":"https://github.com/citation-style-language/schema/raw/master/csl-citation.json"}</w:instrText>
      </w:r>
      <w:r w:rsidR="006718F0">
        <w:rPr>
          <w:lang w:val="en-US"/>
        </w:rPr>
        <w:fldChar w:fldCharType="separate"/>
      </w:r>
      <w:r w:rsidR="006718F0" w:rsidRPr="00D31E7F">
        <w:rPr>
          <w:noProof/>
          <w:lang w:val="en-US"/>
        </w:rPr>
        <w:t>(Innocenzi et al., 2017; Rocchetti et al., 2013)</w:t>
      </w:r>
      <w:r w:rsidR="006718F0">
        <w:rPr>
          <w:lang w:val="en-US"/>
        </w:rPr>
        <w:fldChar w:fldCharType="end"/>
      </w:r>
      <w:r w:rsidRPr="00D31E7F">
        <w:rPr>
          <w:lang w:val="en-US"/>
        </w:rPr>
        <w:t xml:space="preserve">. </w:t>
      </w:r>
      <w:r w:rsidRPr="00F46E8B">
        <w:rPr>
          <w:lang w:val="en-US"/>
        </w:rPr>
        <w:t>The basis of the metal extraction</w:t>
      </w:r>
      <w:r w:rsidR="009142B1">
        <w:rPr>
          <w:lang w:val="en-US"/>
        </w:rPr>
        <w:t xml:space="preserve"> and </w:t>
      </w:r>
      <w:r w:rsidRPr="00F46E8B">
        <w:rPr>
          <w:lang w:val="en-US"/>
        </w:rPr>
        <w:t>metal recovery and purification phases of their</w:t>
      </w:r>
      <w:r w:rsidR="009142B1">
        <w:rPr>
          <w:lang w:val="en-US"/>
        </w:rPr>
        <w:t xml:space="preserve"> </w:t>
      </w:r>
      <w:r w:rsidRPr="00F46E8B">
        <w:rPr>
          <w:lang w:val="en-US"/>
        </w:rPr>
        <w:t xml:space="preserve">route matches with the design envisaged for these phases in the industrial-scale plant in 2030. In this sense, the plant’s infrastructure for the last two phases of the route </w:t>
      </w:r>
      <w:r w:rsidR="009A06A4">
        <w:rPr>
          <w:lang w:val="en-US"/>
        </w:rPr>
        <w:t>will</w:t>
      </w:r>
      <w:r w:rsidRPr="00F46E8B">
        <w:rPr>
          <w:lang w:val="en-US"/>
        </w:rPr>
        <w:t xml:space="preserve"> take HYDROWEEE as a proxy.</w:t>
      </w:r>
    </w:p>
    <w:p w14:paraId="4F2AC13B" w14:textId="77777777" w:rsidR="00F46E8B" w:rsidRDefault="00F46E8B" w:rsidP="009A215A">
      <w:pPr>
        <w:rPr>
          <w:lang w:val="en-US"/>
        </w:rPr>
      </w:pPr>
    </w:p>
    <w:p w14:paraId="4C3B7CC6" w14:textId="3CB76957" w:rsidR="00F46E8B" w:rsidRDefault="00F46E8B" w:rsidP="00F46E8B">
      <w:r>
        <w:t xml:space="preserve">On another note, one could ask to what extent it is feasible to consider a hydrometallurgy process' technology from 2017 as still applicable to the 2030 year and later. Concerning this, the historical development of hydrometallurgy, in general, and its application for REEs separation, shows that this extractive metallurgy technique's evolution presents incremental innovations rather than radical ones </w:t>
      </w:r>
      <w:r w:rsidR="00F17249">
        <w:fldChar w:fldCharType="begin" w:fldLock="1"/>
      </w:r>
      <w:r w:rsidR="007F13D0">
        <w:instrText>ADDIN CSL_CITATION {"citationItems":[{"id":"ITEM-1","itemData":{"DOI":"10.1016/j.hydromet.2004.01.008","ISSN":"0304386X","abstract":"Thousands of years ago people had learned how to build furnaces and use fire to melt rocks and produce metals but the use of aqueous solutions for ore processing came much later, mainly at the time of the alchemists when acids and alkalies became known and used. Modern hydrometallurgy, however, can be traced back to the end of the 19th century when two major operations were discovered: the cyanidation process for gold and silver extraction and the Bayer process for bauxite treatment. Later, in the 1940s, a breakthrough came during the Manhattan Project in USA in connection with uranium extraction. Since then, it has been advancing progressively and even replacing some pyrometallurgical processes. Canadian contribution is significant particularly in the recovery of uranium, nickel, cobalt, and zinc. © 2005 Elsevier B.V. All rights reserved.","author":[{"dropping-particle":"","family":"Habashi","given":"Fathi","non-dropping-particle":"","parse-names":false,"suffix":""}],"container-title":"Hydrometallurgy","id":"ITEM-1","issue":"1-2","issued":{"date-parts":[["2005"]]},"page":"15-22","title":"A short history of hydrometallurgy","type":"article-journal","volume":"79"},"uris":["http://www.mendeley.com/documents/?uuid=5d24dd87-f3dd-4a79-9404-13d462d76795"]},{"id":"ITEM-2","itemData":{"DOI":"10.1007/s11837-013-0718-9","ISSN":"10474838","abstract":"This article delineates the history and details of hydrometallurgical rare earth separations and technologies. It covers the history, development, application, and recently published research into this key aspect of rare earths separation and recovery. © 2013 TMS.","author":[{"dropping-particle":"","family":"Kronholm","given":"Ben","non-dropping-particle":"","parse-names":false,"suffix":""},{"dropping-particle":"","family":"Anderson","given":"Corby G.","non-dropping-particle":"","parse-names":false,"suffix":""},{"dropping-particle":"","family":"Taylor","given":"Patrick R.","non-dropping-particle":"","parse-names":false,"suffix":""}],"container-title":"Jom","id":"ITEM-2","issue":"10","issued":{"date-parts":[["2013"]]},"page":"1321-1326","title":"A primer on hydrometallurgical rare earth separations","type":"article-journal","volume":"65"},"uris":["http://www.mendeley.com/documents/?uuid=2aa7732a-d7da-443b-9a2e-a2916ff12fad"]}],"mendeley":{"formattedCitation":"(Habashi, 2005; Kronholm et al., 2013)","plainTextFormattedCitation":"(Habashi, 2005; Kronholm et al., 2013)","previouslyFormattedCitation":"(Habashi, 2005; Kronholm et al., 2013)"},"properties":{"noteIndex":0},"schema":"https://github.com/citation-style-language/schema/raw/master/csl-citation.json"}</w:instrText>
      </w:r>
      <w:r w:rsidR="00F17249">
        <w:fldChar w:fldCharType="separate"/>
      </w:r>
      <w:r w:rsidR="00F17249" w:rsidRPr="00F17249">
        <w:rPr>
          <w:noProof/>
        </w:rPr>
        <w:t>(Habashi, 2005; Kronholm et al., 2013)</w:t>
      </w:r>
      <w:r w:rsidR="00F17249">
        <w:fldChar w:fldCharType="end"/>
      </w:r>
      <w:r w:rsidR="00F17249">
        <w:rPr>
          <w:lang w:val="en-US"/>
        </w:rPr>
        <w:t xml:space="preserve">. </w:t>
      </w:r>
      <w:r>
        <w:t>Incremental process innovation is a cumulative process that builds on existing knowledge and resources. Thus, maintaining this trend, it is acceptable that the HYDROWEEE plant's configuration is representative for the future, assuming that technological advances of science and engineering will be implemented without radical innovations, avoiding disruption of the underlying core design concepts and links of the hydrometallurgical process for metals.</w:t>
      </w:r>
    </w:p>
    <w:p w14:paraId="212EA5C7" w14:textId="77777777" w:rsidR="00F46E8B" w:rsidRDefault="00F46E8B" w:rsidP="00F46E8B"/>
    <w:p w14:paraId="468FE4BD" w14:textId="70547618" w:rsidR="00F24C6B" w:rsidRDefault="00F46E8B" w:rsidP="00F46E8B">
      <w:r>
        <w:t xml:space="preserve">Regarding the plant's industrial-scale infrastructure for the first phase of the recycling route (pretreatment), it will be envisaged as a linear upscaling of the infrastructure developed for the pretreatment pilot-scale experiment during the VALOMAG project. </w:t>
      </w:r>
      <w:r w:rsidR="00CA5D7E">
        <w:rPr>
          <w:lang w:val="en-US"/>
        </w:rPr>
        <w:t>E</w:t>
      </w:r>
      <w:r w:rsidR="00CA5D7E">
        <w:t xml:space="preserve">nvisaging the future plant's installations </w:t>
      </w:r>
      <w:r w:rsidR="00CA5D7E">
        <w:rPr>
          <w:lang w:val="en-US"/>
        </w:rPr>
        <w:t>w</w:t>
      </w:r>
      <w:r>
        <w:t>ith this hybrid approach</w:t>
      </w:r>
      <w:r w:rsidR="00C067EC">
        <w:rPr>
          <w:lang w:val="en-US"/>
        </w:rPr>
        <w:t>,</w:t>
      </w:r>
      <w:r>
        <w:t xml:space="preserve"> its</w:t>
      </w:r>
      <w:r w:rsidR="00CA5D7E">
        <w:rPr>
          <w:lang w:val="en-US"/>
        </w:rPr>
        <w:t xml:space="preserve"> </w:t>
      </w:r>
      <w:r>
        <w:t>list</w:t>
      </w:r>
      <w:r w:rsidR="00CA5D7E">
        <w:rPr>
          <w:lang w:val="en-US"/>
        </w:rPr>
        <w:t xml:space="preserve"> of equipment </w:t>
      </w:r>
      <w:r>
        <w:t>can be approximated by</w:t>
      </w:r>
      <w:r w:rsidR="003539F8">
        <w:rPr>
          <w:lang w:val="en-US"/>
        </w:rPr>
        <w:t xml:space="preserve"> </w:t>
      </w:r>
      <w:r w:rsidR="003539F8">
        <w:rPr>
          <w:lang w:val="en-US"/>
        </w:rPr>
        <w:fldChar w:fldCharType="begin"/>
      </w:r>
      <w:r w:rsidR="003539F8">
        <w:rPr>
          <w:lang w:val="en-US"/>
        </w:rPr>
        <w:instrText xml:space="preserve"> REF _Ref75426810 \h </w:instrText>
      </w:r>
      <w:r w:rsidR="003539F8">
        <w:rPr>
          <w:lang w:val="en-US"/>
        </w:rPr>
      </w:r>
      <w:r w:rsidR="003539F8">
        <w:rPr>
          <w:lang w:val="en-US"/>
        </w:rPr>
        <w:fldChar w:fldCharType="separate"/>
      </w:r>
      <w:r w:rsidR="00A10398">
        <w:t xml:space="preserve">Table </w:t>
      </w:r>
      <w:r w:rsidR="00A10398">
        <w:rPr>
          <w:lang w:val="en-US"/>
        </w:rPr>
        <w:t>3</w:t>
      </w:r>
      <w:r w:rsidR="00A10398">
        <w:t>.</w:t>
      </w:r>
      <w:r w:rsidR="00A10398">
        <w:rPr>
          <w:noProof/>
        </w:rPr>
        <w:t>1</w:t>
      </w:r>
      <w:r w:rsidR="003539F8">
        <w:rPr>
          <w:lang w:val="en-US"/>
        </w:rPr>
        <w:fldChar w:fldCharType="end"/>
      </w:r>
      <w:r>
        <w:t xml:space="preserve">:  </w:t>
      </w:r>
    </w:p>
    <w:p w14:paraId="73437A37" w14:textId="77777777" w:rsidR="003F65A1" w:rsidRPr="00CA5D7E" w:rsidRDefault="003F65A1" w:rsidP="00F46E8B"/>
    <w:p w14:paraId="670291F6" w14:textId="19A9DFD7" w:rsidR="00D56FED" w:rsidRDefault="00D56FED" w:rsidP="00D56FED">
      <w:pPr>
        <w:pStyle w:val="Caption"/>
        <w:keepNext/>
      </w:pPr>
      <w:bookmarkStart w:id="39" w:name="_Ref75426810"/>
      <w:bookmarkStart w:id="40" w:name="_Toc76730033"/>
      <w:r>
        <w:t xml:space="preserve">Table </w:t>
      </w:r>
      <w:r w:rsidR="00A10398">
        <w:rPr>
          <w:lang w:val="en-US"/>
        </w:rPr>
        <w:t>3</w:t>
      </w:r>
      <w:r w:rsidR="00C50A78">
        <w:t>.</w:t>
      </w:r>
      <w:r w:rsidR="00BE45E3">
        <w:fldChar w:fldCharType="begin"/>
      </w:r>
      <w:r w:rsidR="00BE45E3">
        <w:instrText xml:space="preserve"> SEQ Table \* ARABIC \s 1 </w:instrText>
      </w:r>
      <w:r w:rsidR="00BE45E3">
        <w:fldChar w:fldCharType="separate"/>
      </w:r>
      <w:r w:rsidR="00BC31F4">
        <w:rPr>
          <w:noProof/>
        </w:rPr>
        <w:t>1</w:t>
      </w:r>
      <w:r w:rsidR="00BE45E3">
        <w:rPr>
          <w:noProof/>
        </w:rPr>
        <w:fldChar w:fldCharType="end"/>
      </w:r>
      <w:bookmarkEnd w:id="39"/>
      <w:r>
        <w:rPr>
          <w:lang w:val="en-US"/>
        </w:rPr>
        <w:t xml:space="preserve"> </w:t>
      </w:r>
      <w:r w:rsidRPr="003D7454">
        <w:rPr>
          <w:lang w:val="en-US"/>
        </w:rPr>
        <w:t xml:space="preserve">List of projected plant’s equipment. Source: Adapted from De </w:t>
      </w:r>
      <w:proofErr w:type="spellStart"/>
      <w:r w:rsidRPr="003D7454">
        <w:rPr>
          <w:lang w:val="en-US"/>
        </w:rPr>
        <w:t>Michelis</w:t>
      </w:r>
      <w:proofErr w:type="spellEnd"/>
      <w:r w:rsidRPr="003D7454">
        <w:rPr>
          <w:lang w:val="en-US"/>
        </w:rPr>
        <w:t xml:space="preserve"> &amp; </w:t>
      </w:r>
      <w:proofErr w:type="spellStart"/>
      <w:r w:rsidRPr="003D7454">
        <w:rPr>
          <w:lang w:val="en-US"/>
        </w:rPr>
        <w:t>Kopacek</w:t>
      </w:r>
      <w:proofErr w:type="spellEnd"/>
      <w:r w:rsidRPr="003D7454">
        <w:rPr>
          <w:lang w:val="en-US"/>
        </w:rPr>
        <w:t xml:space="preserve"> (2018) and internal VALOMAG report for pretreatment of HDDs.</w:t>
      </w:r>
      <w:bookmarkEnd w:id="40"/>
    </w:p>
    <w:tbl>
      <w:tblPr>
        <w:tblStyle w:val="TableGrid"/>
        <w:tblW w:w="5000" w:type="pct"/>
        <w:tblCellMar>
          <w:left w:w="28" w:type="dxa"/>
          <w:right w:w="28" w:type="dxa"/>
        </w:tblCellMar>
        <w:tblLook w:val="04A0" w:firstRow="1" w:lastRow="0" w:firstColumn="1" w:lastColumn="0" w:noHBand="0" w:noVBand="1"/>
      </w:tblPr>
      <w:tblGrid>
        <w:gridCol w:w="9060"/>
      </w:tblGrid>
      <w:tr w:rsidR="00931E83" w14:paraId="7F58DB44" w14:textId="77777777" w:rsidTr="004C5D82">
        <w:tc>
          <w:tcPr>
            <w:tcW w:w="5000" w:type="pct"/>
          </w:tcPr>
          <w:p w14:paraId="4677DCA7" w14:textId="52B4F85F" w:rsidR="00931E83" w:rsidRPr="00931E83" w:rsidRDefault="00931E83" w:rsidP="007903FF">
            <w:pPr>
              <w:rPr>
                <w:b/>
                <w:bCs/>
                <w:lang w:val="en-US"/>
              </w:rPr>
            </w:pPr>
            <w:r w:rsidRPr="00931E83">
              <w:rPr>
                <w:b/>
                <w:bCs/>
                <w:lang w:val="en-US"/>
              </w:rPr>
              <w:t>List of projected plant’s equipment</w:t>
            </w:r>
          </w:p>
        </w:tc>
      </w:tr>
      <w:tr w:rsidR="00931E83" w14:paraId="5CB6957A" w14:textId="77777777" w:rsidTr="004C5D82">
        <w:tc>
          <w:tcPr>
            <w:tcW w:w="5000" w:type="pct"/>
          </w:tcPr>
          <w:p w14:paraId="0EE0AF6D" w14:textId="4F7480A3" w:rsidR="00931E83" w:rsidRDefault="003E69BC" w:rsidP="007903FF">
            <w:pPr>
              <w:rPr>
                <w:lang w:val="en-US"/>
              </w:rPr>
            </w:pPr>
            <w:r>
              <w:rPr>
                <w:lang w:val="en-US"/>
              </w:rPr>
              <w:t>A</w:t>
            </w:r>
            <w:r w:rsidR="00931E83">
              <w:rPr>
                <w:lang w:val="en-US"/>
              </w:rPr>
              <w:t>utogenous mill</w:t>
            </w:r>
          </w:p>
        </w:tc>
      </w:tr>
      <w:tr w:rsidR="00931E83" w14:paraId="5B67B869" w14:textId="77777777" w:rsidTr="004C5D82">
        <w:tc>
          <w:tcPr>
            <w:tcW w:w="5000" w:type="pct"/>
          </w:tcPr>
          <w:p w14:paraId="639161F4" w14:textId="4377D238" w:rsidR="00931E83" w:rsidRDefault="003E69BC" w:rsidP="007903FF">
            <w:pPr>
              <w:rPr>
                <w:lang w:val="en-US"/>
              </w:rPr>
            </w:pPr>
            <w:r>
              <w:rPr>
                <w:lang w:val="en-US"/>
              </w:rPr>
              <w:t>S</w:t>
            </w:r>
            <w:r w:rsidR="00931E83">
              <w:rPr>
                <w:lang w:val="en-US"/>
              </w:rPr>
              <w:t>creener</w:t>
            </w:r>
          </w:p>
        </w:tc>
      </w:tr>
      <w:tr w:rsidR="00931E83" w14:paraId="56CB56BD" w14:textId="77777777" w:rsidTr="004C5D82">
        <w:tc>
          <w:tcPr>
            <w:tcW w:w="5000" w:type="pct"/>
          </w:tcPr>
          <w:p w14:paraId="351A8E21" w14:textId="66C8827C" w:rsidR="00931E83" w:rsidRDefault="003E69BC" w:rsidP="007903FF">
            <w:pPr>
              <w:rPr>
                <w:lang w:val="en-US"/>
              </w:rPr>
            </w:pPr>
            <w:r>
              <w:rPr>
                <w:lang w:val="en-US"/>
              </w:rPr>
              <w:t>M</w:t>
            </w:r>
            <w:r w:rsidR="00931E83">
              <w:rPr>
                <w:lang w:val="en-US"/>
              </w:rPr>
              <w:t>agnetic separator</w:t>
            </w:r>
          </w:p>
        </w:tc>
      </w:tr>
      <w:tr w:rsidR="00931E83" w14:paraId="0334A883" w14:textId="77777777" w:rsidTr="004C5D82">
        <w:tc>
          <w:tcPr>
            <w:tcW w:w="5000" w:type="pct"/>
          </w:tcPr>
          <w:p w14:paraId="51CB66D4" w14:textId="5EFBBD16" w:rsidR="00931E83" w:rsidRDefault="00931E83" w:rsidP="007903FF">
            <w:pPr>
              <w:rPr>
                <w:lang w:val="en-US"/>
              </w:rPr>
            </w:pPr>
            <w:r>
              <w:rPr>
                <w:lang w:val="en-US"/>
              </w:rPr>
              <w:t xml:space="preserve">Conveyor belts </w:t>
            </w:r>
          </w:p>
        </w:tc>
      </w:tr>
      <w:tr w:rsidR="00931E83" w14:paraId="003EF62C" w14:textId="77777777" w:rsidTr="004C5D82">
        <w:tc>
          <w:tcPr>
            <w:tcW w:w="5000" w:type="pct"/>
          </w:tcPr>
          <w:p w14:paraId="163166BC" w14:textId="4BF00F8A" w:rsidR="00931E83" w:rsidRPr="00E73FF0" w:rsidRDefault="003E69BC" w:rsidP="007903FF">
            <w:pPr>
              <w:rPr>
                <w:lang w:val="en-US"/>
              </w:rPr>
            </w:pPr>
            <w:r>
              <w:rPr>
                <w:lang w:val="en-US"/>
              </w:rPr>
              <w:t>A</w:t>
            </w:r>
            <w:r w:rsidR="00931E83" w:rsidRPr="009A215A">
              <w:t>gitated chemical reactor</w:t>
            </w:r>
            <w:r w:rsidR="00E73FF0">
              <w:rPr>
                <w:lang w:val="en-US"/>
              </w:rPr>
              <w:t>s</w:t>
            </w:r>
          </w:p>
        </w:tc>
      </w:tr>
      <w:tr w:rsidR="00931E83" w14:paraId="03C33764" w14:textId="77777777" w:rsidTr="004C5D82">
        <w:tc>
          <w:tcPr>
            <w:tcW w:w="5000" w:type="pct"/>
          </w:tcPr>
          <w:p w14:paraId="0A769F20" w14:textId="7C3B1127" w:rsidR="00931E83" w:rsidRPr="00E73FF0" w:rsidRDefault="003E69BC" w:rsidP="007903FF">
            <w:pPr>
              <w:rPr>
                <w:lang w:val="en-US"/>
              </w:rPr>
            </w:pPr>
            <w:r>
              <w:rPr>
                <w:lang w:val="en-US"/>
              </w:rPr>
              <w:lastRenderedPageBreak/>
              <w:t>F</w:t>
            </w:r>
            <w:r w:rsidR="00931E83" w:rsidRPr="009A215A">
              <w:t>ilter press</w:t>
            </w:r>
            <w:r w:rsidR="00E73FF0">
              <w:rPr>
                <w:lang w:val="en-US"/>
              </w:rPr>
              <w:t>es</w:t>
            </w:r>
          </w:p>
        </w:tc>
      </w:tr>
      <w:tr w:rsidR="00931E83" w14:paraId="2E290A1C" w14:textId="77777777" w:rsidTr="004C5D82">
        <w:tc>
          <w:tcPr>
            <w:tcW w:w="5000" w:type="pct"/>
          </w:tcPr>
          <w:p w14:paraId="7330B1FC" w14:textId="010DF2DE" w:rsidR="00931E83" w:rsidRPr="00E73FF0" w:rsidRDefault="003E69BC" w:rsidP="007903FF">
            <w:pPr>
              <w:rPr>
                <w:lang w:val="en-US"/>
              </w:rPr>
            </w:pPr>
            <w:r>
              <w:t>P</w:t>
            </w:r>
            <w:r w:rsidR="00931E83" w:rsidRPr="009A215A">
              <w:t>neumatic pump</w:t>
            </w:r>
            <w:r w:rsidR="00E73FF0">
              <w:rPr>
                <w:lang w:val="en-US"/>
              </w:rPr>
              <w:t>s</w:t>
            </w:r>
          </w:p>
        </w:tc>
      </w:tr>
      <w:tr w:rsidR="00931E83" w14:paraId="779346EA" w14:textId="77777777" w:rsidTr="004C5D82">
        <w:tc>
          <w:tcPr>
            <w:tcW w:w="5000" w:type="pct"/>
          </w:tcPr>
          <w:p w14:paraId="7775A6F7" w14:textId="065A395B" w:rsidR="00931E83" w:rsidRPr="00931E83" w:rsidRDefault="003E69BC" w:rsidP="007903FF">
            <w:r>
              <w:rPr>
                <w:lang w:val="en-US"/>
              </w:rPr>
              <w:t>S</w:t>
            </w:r>
            <w:r w:rsidR="00931E83" w:rsidRPr="009A215A">
              <w:t>crubber</w:t>
            </w:r>
          </w:p>
        </w:tc>
      </w:tr>
      <w:tr w:rsidR="00931E83" w14:paraId="75DF86AC" w14:textId="77777777" w:rsidTr="004C5D82">
        <w:tc>
          <w:tcPr>
            <w:tcW w:w="5000" w:type="pct"/>
          </w:tcPr>
          <w:p w14:paraId="68148281" w14:textId="5E776D13" w:rsidR="00931E83" w:rsidRPr="00931E83" w:rsidRDefault="00E73FF0" w:rsidP="007903FF">
            <w:r>
              <w:rPr>
                <w:lang w:val="en-US"/>
              </w:rPr>
              <w:t>B</w:t>
            </w:r>
            <w:r w:rsidR="00931E83" w:rsidRPr="009A215A">
              <w:t>oiler for hot water generation</w:t>
            </w:r>
            <w:r w:rsidR="00931E83">
              <w:rPr>
                <w:lang w:val="en-US"/>
              </w:rPr>
              <w:t xml:space="preserve"> (for temperature control of jacketed reactors)</w:t>
            </w:r>
            <w:r w:rsidR="00931E83" w:rsidRPr="009A215A">
              <w:t>;</w:t>
            </w:r>
          </w:p>
        </w:tc>
      </w:tr>
      <w:tr w:rsidR="00931E83" w14:paraId="42DC1A9E" w14:textId="77777777" w:rsidTr="004C5D82">
        <w:tc>
          <w:tcPr>
            <w:tcW w:w="5000" w:type="pct"/>
          </w:tcPr>
          <w:p w14:paraId="1B3E5F56" w14:textId="7ABEBC78" w:rsidR="00931E83" w:rsidRPr="00931E83" w:rsidRDefault="00E73FF0" w:rsidP="007903FF">
            <w:r>
              <w:rPr>
                <w:lang w:val="en-US"/>
              </w:rPr>
              <w:t>R</w:t>
            </w:r>
            <w:r w:rsidR="00931E83" w:rsidRPr="009A215A">
              <w:t>otary screw compressor</w:t>
            </w:r>
            <w:r w:rsidR="00931E83">
              <w:rPr>
                <w:lang w:val="en-US"/>
              </w:rPr>
              <w:t xml:space="preserve"> (to supply compressed air need for operating valves, pneumatic pumps and dewatering of cakes)</w:t>
            </w:r>
          </w:p>
        </w:tc>
      </w:tr>
      <w:tr w:rsidR="00931E83" w14:paraId="47368D08" w14:textId="77777777" w:rsidTr="004C5D82">
        <w:tc>
          <w:tcPr>
            <w:tcW w:w="5000" w:type="pct"/>
          </w:tcPr>
          <w:p w14:paraId="10F5F7F8" w14:textId="63561B72" w:rsidR="00931E83" w:rsidRPr="00E73FF0" w:rsidRDefault="00E73FF0" w:rsidP="007903FF">
            <w:pPr>
              <w:rPr>
                <w:lang w:val="en-US"/>
              </w:rPr>
            </w:pPr>
            <w:r>
              <w:rPr>
                <w:lang w:val="en-US"/>
              </w:rPr>
              <w:t>C</w:t>
            </w:r>
            <w:r w:rsidR="00931E83" w:rsidRPr="009A215A">
              <w:t>entrifugal pump</w:t>
            </w:r>
            <w:r>
              <w:rPr>
                <w:lang w:val="en-US"/>
              </w:rPr>
              <w:t>s</w:t>
            </w:r>
          </w:p>
        </w:tc>
      </w:tr>
      <w:tr w:rsidR="00931E83" w14:paraId="49C80D11" w14:textId="77777777" w:rsidTr="004C5D82">
        <w:tc>
          <w:tcPr>
            <w:tcW w:w="5000" w:type="pct"/>
          </w:tcPr>
          <w:p w14:paraId="7DDE0739" w14:textId="45A26E34" w:rsidR="00931E83" w:rsidRDefault="00931E83" w:rsidP="007903FF">
            <w:pPr>
              <w:rPr>
                <w:lang w:val="en-US"/>
              </w:rPr>
            </w:pPr>
            <w:r>
              <w:rPr>
                <w:lang w:val="en-US"/>
              </w:rPr>
              <w:t>Automatic pneumatic valves</w:t>
            </w:r>
          </w:p>
        </w:tc>
      </w:tr>
      <w:tr w:rsidR="00E73FF0" w14:paraId="4BE2C429" w14:textId="77777777" w:rsidTr="004C5D82">
        <w:tc>
          <w:tcPr>
            <w:tcW w:w="5000" w:type="pct"/>
          </w:tcPr>
          <w:p w14:paraId="6E8A54C4" w14:textId="036AAB38" w:rsidR="00E73FF0" w:rsidRDefault="00E73FF0" w:rsidP="00931E83">
            <w:pPr>
              <w:rPr>
                <w:lang w:val="en-US"/>
              </w:rPr>
            </w:pPr>
            <w:r>
              <w:rPr>
                <w:lang w:val="en-US"/>
              </w:rPr>
              <w:t>Manual valves</w:t>
            </w:r>
          </w:p>
        </w:tc>
      </w:tr>
      <w:tr w:rsidR="00931E83" w14:paraId="0D7FD697" w14:textId="77777777" w:rsidTr="004C5D82">
        <w:tc>
          <w:tcPr>
            <w:tcW w:w="5000" w:type="pct"/>
          </w:tcPr>
          <w:p w14:paraId="1AAA2CA8" w14:textId="41949B19" w:rsidR="00931E83" w:rsidRPr="00931E83" w:rsidRDefault="00931E83" w:rsidP="007903FF">
            <w:r w:rsidRPr="009A215A">
              <w:t>Electrical and PLC panels</w:t>
            </w:r>
          </w:p>
        </w:tc>
      </w:tr>
      <w:tr w:rsidR="00931E83" w14:paraId="5C47FB95" w14:textId="77777777" w:rsidTr="004C5D82">
        <w:tc>
          <w:tcPr>
            <w:tcW w:w="5000" w:type="pct"/>
          </w:tcPr>
          <w:p w14:paraId="7C58231D" w14:textId="60AF5674" w:rsidR="00931E83" w:rsidRPr="00931E83" w:rsidRDefault="00931E83" w:rsidP="007903FF">
            <w:r w:rsidRPr="009A215A">
              <w:t>Pipes in polypropylene</w:t>
            </w:r>
          </w:p>
        </w:tc>
      </w:tr>
    </w:tbl>
    <w:p w14:paraId="422E69F3" w14:textId="77777777" w:rsidR="00020710" w:rsidRDefault="00020710" w:rsidP="00AE53BF">
      <w:pPr>
        <w:rPr>
          <w:lang w:val="en-US"/>
        </w:rPr>
      </w:pPr>
    </w:p>
    <w:p w14:paraId="0F344D80" w14:textId="77777777" w:rsidR="00F46E8B" w:rsidRPr="00F46E8B" w:rsidRDefault="00F46E8B" w:rsidP="00F46E8B">
      <w:pPr>
        <w:rPr>
          <w:lang w:val="en-US"/>
        </w:rPr>
      </w:pPr>
      <w:r w:rsidRPr="00F46E8B">
        <w:rPr>
          <w:lang w:val="en-US"/>
        </w:rPr>
        <w:t xml:space="preserve">All the units above should be connected through connecting elements and use appropriated actuators and measurement devices. The equipment operates under the aspiration of a scrubber to minimize the emission of vapors and dust. </w:t>
      </w:r>
    </w:p>
    <w:p w14:paraId="648DD295" w14:textId="77777777" w:rsidR="00F46E8B" w:rsidRPr="00F46E8B" w:rsidRDefault="00F46E8B" w:rsidP="00F46E8B">
      <w:pPr>
        <w:rPr>
          <w:lang w:val="en-US"/>
        </w:rPr>
      </w:pPr>
    </w:p>
    <w:p w14:paraId="66CF2CB6" w14:textId="746933F9" w:rsidR="00AE53BF" w:rsidRDefault="00F46E8B" w:rsidP="00F46E8B">
      <w:pPr>
        <w:rPr>
          <w:lang w:val="en-US"/>
        </w:rPr>
      </w:pPr>
      <w:r w:rsidRPr="00F46E8B">
        <w:rPr>
          <w:lang w:val="en-US"/>
        </w:rPr>
        <w:t xml:space="preserve">The installation’s footprint is depicted below to provide a view of the plant’s configuration. For that, a mix of HYDROWEEE’s floorplan and the sequence of processes of VALOMAG’s pretreatment phase are combined as shown in </w:t>
      </w:r>
      <w:r w:rsidR="00FC4FB6">
        <w:rPr>
          <w:lang w:val="en-US"/>
        </w:rPr>
        <w:fldChar w:fldCharType="begin"/>
      </w:r>
      <w:r w:rsidR="00FC4FB6">
        <w:rPr>
          <w:lang w:val="en-US"/>
        </w:rPr>
        <w:instrText xml:space="preserve"> REF _Ref74762891 \h </w:instrText>
      </w:r>
      <w:r w:rsidR="00FC4FB6">
        <w:rPr>
          <w:lang w:val="en-US"/>
        </w:rPr>
      </w:r>
      <w:r w:rsidR="00FC4FB6">
        <w:rPr>
          <w:lang w:val="en-US"/>
        </w:rPr>
        <w:fldChar w:fldCharType="separate"/>
      </w:r>
      <w:r w:rsidR="00BC31F4">
        <w:t xml:space="preserve">Figure </w:t>
      </w:r>
      <w:r w:rsidR="0056003A">
        <w:rPr>
          <w:noProof/>
          <w:lang w:val="en-US"/>
        </w:rPr>
        <w:t>3</w:t>
      </w:r>
      <w:r w:rsidR="00BC31F4">
        <w:t>.</w:t>
      </w:r>
      <w:r w:rsidR="00BC31F4">
        <w:rPr>
          <w:noProof/>
        </w:rPr>
        <w:t>2</w:t>
      </w:r>
      <w:r w:rsidR="00FC4FB6">
        <w:rPr>
          <w:lang w:val="en-US"/>
        </w:rPr>
        <w:fldChar w:fldCharType="end"/>
      </w:r>
      <w:r w:rsidR="00FC4FB6">
        <w:rPr>
          <w:lang w:val="en-US"/>
        </w:rPr>
        <w:t xml:space="preserve">: </w:t>
      </w:r>
    </w:p>
    <w:p w14:paraId="62B0BBC5" w14:textId="77777777" w:rsidR="00F46E8B" w:rsidRDefault="00F46E8B" w:rsidP="00F46E8B"/>
    <w:p w14:paraId="2E40509B" w14:textId="77777777" w:rsidR="00FC4FB6" w:rsidRDefault="00424DCC" w:rsidP="00112FBA">
      <w:pPr>
        <w:keepNext/>
        <w:jc w:val="center"/>
      </w:pPr>
      <w:r>
        <w:rPr>
          <w:noProof/>
          <w:lang w:val="en-US"/>
        </w:rPr>
        <w:drawing>
          <wp:inline distT="0" distB="0" distL="0" distR="0" wp14:anchorId="212D0EC5" wp14:editId="22EAAE91">
            <wp:extent cx="4942490" cy="2855964"/>
            <wp:effectExtent l="0" t="0" r="0" b="190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47416" cy="2858810"/>
                    </a:xfrm>
                    <a:prstGeom prst="rect">
                      <a:avLst/>
                    </a:prstGeom>
                  </pic:spPr>
                </pic:pic>
              </a:graphicData>
            </a:graphic>
          </wp:inline>
        </w:drawing>
      </w:r>
    </w:p>
    <w:p w14:paraId="0E9EE543" w14:textId="25F4F1B1" w:rsidR="00E26A95" w:rsidRDefault="00FC4FB6" w:rsidP="004B6790">
      <w:pPr>
        <w:pStyle w:val="Caption"/>
        <w:rPr>
          <w:lang w:val="en-US"/>
        </w:rPr>
      </w:pPr>
      <w:bookmarkStart w:id="41" w:name="_Ref74762891"/>
      <w:bookmarkStart w:id="42" w:name="_Toc76729606"/>
      <w:r>
        <w:t xml:space="preserve">Figure </w:t>
      </w:r>
      <w:r w:rsidR="00545332">
        <w:rPr>
          <w:lang w:val="en-US"/>
        </w:rPr>
        <w:t>3</w:t>
      </w:r>
      <w:r w:rsidR="001150DB">
        <w:t>.</w:t>
      </w:r>
      <w:r w:rsidR="00BE45E3">
        <w:fldChar w:fldCharType="begin"/>
      </w:r>
      <w:r w:rsidR="00BE45E3">
        <w:instrText xml:space="preserve"> SEQ Figure \* ARABIC \s 1 </w:instrText>
      </w:r>
      <w:r w:rsidR="00BE45E3">
        <w:fldChar w:fldCharType="separate"/>
      </w:r>
      <w:r w:rsidR="00BC31F4">
        <w:rPr>
          <w:noProof/>
        </w:rPr>
        <w:t>2</w:t>
      </w:r>
      <w:r w:rsidR="00BE45E3">
        <w:rPr>
          <w:noProof/>
        </w:rPr>
        <w:fldChar w:fldCharType="end"/>
      </w:r>
      <w:bookmarkEnd w:id="41"/>
      <w:r>
        <w:rPr>
          <w:lang w:val="en-US"/>
        </w:rPr>
        <w:t xml:space="preserve"> </w:t>
      </w:r>
      <w:r w:rsidRPr="00846042">
        <w:rPr>
          <w:lang w:val="en-US"/>
        </w:rPr>
        <w:t xml:space="preserve">Plant’s footprint. Source: De </w:t>
      </w:r>
      <w:proofErr w:type="spellStart"/>
      <w:r w:rsidRPr="00846042">
        <w:rPr>
          <w:lang w:val="en-US"/>
        </w:rPr>
        <w:t>Michelis</w:t>
      </w:r>
      <w:proofErr w:type="spellEnd"/>
      <w:r w:rsidRPr="00846042">
        <w:rPr>
          <w:lang w:val="en-US"/>
        </w:rPr>
        <w:t xml:space="preserve"> &amp; </w:t>
      </w:r>
      <w:proofErr w:type="spellStart"/>
      <w:r w:rsidRPr="00846042">
        <w:rPr>
          <w:lang w:val="en-US"/>
        </w:rPr>
        <w:t>Kopacek</w:t>
      </w:r>
      <w:proofErr w:type="spellEnd"/>
      <w:r w:rsidRPr="00846042">
        <w:rPr>
          <w:lang w:val="en-US"/>
        </w:rPr>
        <w:t xml:space="preserve"> (2018) for metal extraction, and metal recovery and purification sections.</w:t>
      </w:r>
      <w:bookmarkEnd w:id="42"/>
    </w:p>
    <w:p w14:paraId="6B7400FA" w14:textId="77777777" w:rsidR="00BC421C" w:rsidRPr="00BC421C" w:rsidRDefault="00BC421C" w:rsidP="00BC421C">
      <w:pPr>
        <w:rPr>
          <w:lang w:val="en-US"/>
        </w:rPr>
      </w:pPr>
      <w:r w:rsidRPr="00BC421C">
        <w:rPr>
          <w:lang w:val="en-US"/>
        </w:rPr>
        <w:lastRenderedPageBreak/>
        <w:t>Additionally, the plant's installation is envisaged within a material recycling center, allowing industrial symbiosis for more closing loop activities as the recycling of other economic outflows such as the coarse size materials from the classification step, the non-magnetic material from the magnetic separation step, and the cake from the filtration 1 step.</w:t>
      </w:r>
    </w:p>
    <w:p w14:paraId="5C565AEC" w14:textId="77777777" w:rsidR="00BC421C" w:rsidRPr="00BC421C" w:rsidRDefault="00BC421C" w:rsidP="00BC421C">
      <w:pPr>
        <w:rPr>
          <w:lang w:val="en-US"/>
        </w:rPr>
      </w:pPr>
    </w:p>
    <w:p w14:paraId="77EB0358" w14:textId="1C34865A" w:rsidR="00BC421C" w:rsidRPr="00BC421C" w:rsidRDefault="00BC421C" w:rsidP="00BC421C">
      <w:pPr>
        <w:rPr>
          <w:lang w:val="en-US"/>
        </w:rPr>
      </w:pPr>
      <w:r w:rsidRPr="00BC421C">
        <w:rPr>
          <w:lang w:val="en-US"/>
        </w:rPr>
        <w:t xml:space="preserve">The plant's operational units are settled to run a continuous process. A batch of 2,58E+05 kg of HDDs entering the pretreatment step takes about 17 hours to be finished. The pretreatment phase lasts about 3 hours, the metal extraction about 9 hours, and metal recovery and purification </w:t>
      </w:r>
      <w:r w:rsidRPr="00ED70B1">
        <w:rPr>
          <w:lang w:val="en-US"/>
        </w:rPr>
        <w:t xml:space="preserve">about 5 </w:t>
      </w:r>
      <w:r w:rsidRPr="007D4FE2">
        <w:rPr>
          <w:lang w:val="en-US"/>
        </w:rPr>
        <w:t>hours. In</w:t>
      </w:r>
      <w:r w:rsidR="00870C8F" w:rsidRPr="007D4FE2">
        <w:rPr>
          <w:lang w:val="en-US"/>
        </w:rPr>
        <w:t xml:space="preserve"> </w:t>
      </w:r>
      <w:r w:rsidR="00870C8F" w:rsidRPr="007D4FE2">
        <w:rPr>
          <w:lang w:val="en-US"/>
        </w:rPr>
        <w:fldChar w:fldCharType="begin"/>
      </w:r>
      <w:r w:rsidR="00870C8F" w:rsidRPr="007D4FE2">
        <w:rPr>
          <w:lang w:val="en-US"/>
        </w:rPr>
        <w:instrText xml:space="preserve"> REF _Ref74849615 \w \h </w:instrText>
      </w:r>
      <w:r w:rsidR="00032793" w:rsidRPr="007D4FE2">
        <w:rPr>
          <w:lang w:val="en-US"/>
        </w:rPr>
        <w:instrText xml:space="preserve"> \* MERGEFORMAT </w:instrText>
      </w:r>
      <w:r w:rsidR="00870C8F" w:rsidRPr="007D4FE2">
        <w:rPr>
          <w:lang w:val="en-US"/>
        </w:rPr>
      </w:r>
      <w:r w:rsidR="00870C8F" w:rsidRPr="007D4FE2">
        <w:rPr>
          <w:lang w:val="en-US"/>
        </w:rPr>
        <w:fldChar w:fldCharType="separate"/>
      </w:r>
      <w:r w:rsidR="00032793" w:rsidRPr="007D4FE2">
        <w:rPr>
          <w:lang w:val="en-US"/>
        </w:rPr>
        <w:t>a</w:t>
      </w:r>
      <w:r w:rsidR="00BC31F4" w:rsidRPr="007D4FE2">
        <w:rPr>
          <w:lang w:val="en-US"/>
        </w:rPr>
        <w:t>ppendix A</w:t>
      </w:r>
      <w:r w:rsidR="00870C8F" w:rsidRPr="007D4FE2">
        <w:rPr>
          <w:lang w:val="en-US"/>
        </w:rPr>
        <w:fldChar w:fldCharType="end"/>
      </w:r>
      <w:r w:rsidR="00870C8F">
        <w:rPr>
          <w:lang w:val="en-US"/>
        </w:rPr>
        <w:t xml:space="preserve"> </w:t>
      </w:r>
      <w:r w:rsidRPr="00BC421C">
        <w:rPr>
          <w:lang w:val="en-US"/>
        </w:rPr>
        <w:t>is described the plant's processes operation description, together with its inputs and outputs for the envisaged intake capacity in 2030.</w:t>
      </w:r>
    </w:p>
    <w:p w14:paraId="0DEC5197" w14:textId="77777777" w:rsidR="00BC421C" w:rsidRPr="00BC421C" w:rsidRDefault="00BC421C" w:rsidP="00BC421C">
      <w:pPr>
        <w:rPr>
          <w:lang w:val="en-US"/>
        </w:rPr>
      </w:pPr>
    </w:p>
    <w:p w14:paraId="1EFB86F7" w14:textId="2BCB6474" w:rsidR="00B64A3F" w:rsidRDefault="00BC421C" w:rsidP="00BC421C">
      <w:pPr>
        <w:rPr>
          <w:lang w:val="en-US"/>
        </w:rPr>
      </w:pPr>
      <w:r w:rsidRPr="00BC421C">
        <w:rPr>
          <w:lang w:val="en-US"/>
        </w:rPr>
        <w:t xml:space="preserve">Following the upscaling framework of </w:t>
      </w:r>
      <w:r w:rsidR="007F13D0">
        <w:rPr>
          <w:lang w:val="en-US"/>
        </w:rPr>
        <w:fldChar w:fldCharType="begin" w:fldLock="1"/>
      </w:r>
      <w:r w:rsidR="00760482">
        <w:rPr>
          <w:lang w:val="en-US"/>
        </w:rPr>
        <w:instrText>ADDIN CSL_CITATION {"citationItems":[{"id":"ITEM-1","itemData":{"DOI":"10.1007/s11367-020-01796-8","ISSN":"16147502","abstract":"Purpose: The objective of this paper was to provide LCA practitioners with recommendations and a framework for upscaling emerging technologies by reviewing upscaling methods applied so far in ex ante life cycle assessment (LCA). Methods: Web of Science was searched for articles published between 1990 and 2019 (April) using different variations of the term “ex ante LCA” as keywords. Suitable studies were reviewed to understand the key characteristics and main methodological principles of upscaling methods. Results and discussion: A total of 18 studies were selected for literature review. Review results showed that most studies reported what a hypothetical upscaled technology would look like in the future. All studies described how they estimated data; they applied different data estimation methods, using process simulation, manual calculations, molecular structure models (MSMs) and proxies. Since the review results showed that most ex ante LCA studies followed similar upscaling steps, we developed a framework for the upscaling of emerging technologies in ex ante LCA consisting of three main steps: (1) projected technology scenario definition, (2) preparation of a projected LCA flowchart, and (3) projected data estimation. Finally, a decision tree was developed based on the review results that provides recommendations for LCA practitioners regarding the upscaling procedure in ex ante LCA. Conclusions: Our findings can be useful for LCA practitioners aiming at upscaling in ex ante LCA. We provide an overview of upscaling methods used in ex ante LCA and introduce a framework describing the steps involved in the upscaling process and a decision tree recommending an up-scaling procedure. The results show that in theory all data estimation methods described in this paper can be applied to estimate material flows, energy flows, and elementary flows (emissions and natural resource use). Finally, since different kinds of expertise are required for upscaling in ex ante LCA, we recommend that technology experts from different fields are involved in performing ex ante LCA, e.g., technology developers, LCA practitioners, and engineers.","author":[{"dropping-particle":"","family":"Tsoy","given":"Natalya","non-dropping-particle":"","parse-names":false,"suffix":""},{"dropping-particle":"","family":"Steubing","given":"Bernhard","non-dropping-particle":"","parse-names":false,"suffix":""},{"dropping-particle":"","family":"Giesen","given":"Coen","non-dropping-particle":"van der","parse-names":false,"suffix":""},{"dropping-particle":"","family":"Guinée","given":"Jeroen","non-dropping-particle":"","parse-names":false,"suffix":""}],"container-title":"International Journal of Life Cycle Assessment","id":"ITEM-1","issue":"9","issued":{"date-parts":[["2020"]]},"page":"1680-1692","publisher":"The International Journal of Life Cycle Assessment","title":"Upscaling methods used in ex ante life cycle assessment of emerging technologies: a review","type":"article-journal","volume":"25"},"uris":["http://www.mendeley.com/documents/?uuid=bf378caf-ea47-4ee7-89ae-705c5f13674a"]}],"mendeley":{"formattedCitation":"(Tsoy et al., 2020)","manualFormatting":"Tsoy et al. (2020)","plainTextFormattedCitation":"(Tsoy et al., 2020)","previouslyFormattedCitation":"(Tsoy et al., 2020)"},"properties":{"noteIndex":0},"schema":"https://github.com/citation-style-language/schema/raw/master/csl-citation.json"}</w:instrText>
      </w:r>
      <w:r w:rsidR="007F13D0">
        <w:rPr>
          <w:lang w:val="en-US"/>
        </w:rPr>
        <w:fldChar w:fldCharType="separate"/>
      </w:r>
      <w:r w:rsidR="007F13D0" w:rsidRPr="007F13D0">
        <w:rPr>
          <w:noProof/>
          <w:lang w:val="en-US"/>
        </w:rPr>
        <w:t>Tsoy et al.</w:t>
      </w:r>
      <w:r w:rsidR="007F13D0">
        <w:rPr>
          <w:noProof/>
          <w:lang w:val="en-US"/>
        </w:rPr>
        <w:t xml:space="preserve"> (</w:t>
      </w:r>
      <w:r w:rsidR="007F13D0" w:rsidRPr="007F13D0">
        <w:rPr>
          <w:noProof/>
          <w:lang w:val="en-US"/>
        </w:rPr>
        <w:t>2020)</w:t>
      </w:r>
      <w:r w:rsidR="007F13D0">
        <w:rPr>
          <w:lang w:val="en-US"/>
        </w:rPr>
        <w:fldChar w:fldCharType="end"/>
      </w:r>
      <w:r w:rsidRPr="00BC421C">
        <w:rPr>
          <w:lang w:val="en-US"/>
        </w:rPr>
        <w:t>, the next step is preparing the projected LCA flowchart. For better comprehension, this is integrated into the next section, in which the LCA framework considerations are detailed.</w:t>
      </w:r>
    </w:p>
    <w:p w14:paraId="02B1F5B8" w14:textId="2B069D3F" w:rsidR="00765485" w:rsidRDefault="00B64A3F" w:rsidP="00A93E3F">
      <w:pPr>
        <w:spacing w:before="0" w:after="0" w:line="240" w:lineRule="auto"/>
        <w:contextualSpacing w:val="0"/>
        <w:jc w:val="left"/>
        <w:rPr>
          <w:lang w:val="en-US"/>
        </w:rPr>
      </w:pPr>
      <w:r>
        <w:rPr>
          <w:lang w:val="en-US"/>
        </w:rPr>
        <w:br w:type="page"/>
      </w:r>
    </w:p>
    <w:p w14:paraId="126941B6" w14:textId="11259425" w:rsidR="001A483B" w:rsidRDefault="00765485" w:rsidP="009076A0">
      <w:pPr>
        <w:pStyle w:val="Heading2"/>
      </w:pPr>
      <w:bookmarkStart w:id="43" w:name="_Toc76752268"/>
      <w:r>
        <w:lastRenderedPageBreak/>
        <w:t>LCA</w:t>
      </w:r>
      <w:bookmarkEnd w:id="43"/>
    </w:p>
    <w:p w14:paraId="0D38652E" w14:textId="4D17363D" w:rsidR="00A93E3F" w:rsidRPr="00A93E3F" w:rsidRDefault="00A93E3F" w:rsidP="00A93E3F">
      <w:pPr>
        <w:rPr>
          <w:lang w:val="en-US"/>
        </w:rPr>
      </w:pPr>
      <w:r w:rsidRPr="00A93E3F">
        <w:rPr>
          <w:lang w:val="en-US"/>
        </w:rPr>
        <w:t>Before starting reporting on the LCA framework for the industrial</w:t>
      </w:r>
      <w:r w:rsidR="0087192A">
        <w:rPr>
          <w:lang w:val="en-US"/>
        </w:rPr>
        <w:t>-</w:t>
      </w:r>
      <w:r w:rsidRPr="00A93E3F">
        <w:rPr>
          <w:lang w:val="en-US"/>
        </w:rPr>
        <w:t>scale system of the hydrometallurgical recycling route, some clarifications are made regarding the</w:t>
      </w:r>
      <w:r w:rsidR="005E50A8">
        <w:rPr>
          <w:lang w:val="en-US"/>
        </w:rPr>
        <w:t xml:space="preserve"> LCI modeling for oxalic acid production and the</w:t>
      </w:r>
      <w:r w:rsidRPr="00A93E3F">
        <w:rPr>
          <w:lang w:val="en-US"/>
        </w:rPr>
        <w:t xml:space="preserve"> </w:t>
      </w:r>
      <w:r>
        <w:rPr>
          <w:lang w:val="en-US"/>
        </w:rPr>
        <w:t>LCA</w:t>
      </w:r>
      <w:r w:rsidRPr="00A93E3F">
        <w:rPr>
          <w:lang w:val="en-US"/>
        </w:rPr>
        <w:t xml:space="preserve"> </w:t>
      </w:r>
      <w:r>
        <w:rPr>
          <w:lang w:val="en-US"/>
        </w:rPr>
        <w:t xml:space="preserve">of </w:t>
      </w:r>
      <w:r w:rsidRPr="00A93E3F">
        <w:rPr>
          <w:lang w:val="en-US"/>
        </w:rPr>
        <w:t>the incumbent technology</w:t>
      </w:r>
      <w:r w:rsidR="008E606E">
        <w:rPr>
          <w:lang w:val="en-US"/>
        </w:rPr>
        <w:t xml:space="preserve">, which will be </w:t>
      </w:r>
      <w:r w:rsidRPr="00A93E3F">
        <w:rPr>
          <w:lang w:val="en-US"/>
        </w:rPr>
        <w:t xml:space="preserve">used </w:t>
      </w:r>
      <w:r w:rsidR="008E606E">
        <w:rPr>
          <w:lang w:val="en-US"/>
        </w:rPr>
        <w:t>for the</w:t>
      </w:r>
      <w:r>
        <w:rPr>
          <w:lang w:val="en-US"/>
        </w:rPr>
        <w:t xml:space="preserve"> comparative analysis. </w:t>
      </w:r>
    </w:p>
    <w:p w14:paraId="69B11785" w14:textId="478E3ED9" w:rsidR="002C0E04" w:rsidRPr="00A93E3F" w:rsidRDefault="002C0E04" w:rsidP="002C0E04">
      <w:pPr>
        <w:rPr>
          <w:lang w:val="en-US"/>
        </w:rPr>
      </w:pPr>
    </w:p>
    <w:p w14:paraId="5D3270E0" w14:textId="39237D15" w:rsidR="00C04355" w:rsidRDefault="001A483B" w:rsidP="009076A0">
      <w:pPr>
        <w:pStyle w:val="Heading3"/>
      </w:pPr>
      <w:bookmarkStart w:id="44" w:name="_Toc76752269"/>
      <w:r>
        <w:t>Oxalic acid production</w:t>
      </w:r>
      <w:bookmarkEnd w:id="44"/>
    </w:p>
    <w:p w14:paraId="119A8D9D" w14:textId="77777777" w:rsidR="000227F0" w:rsidRDefault="000227F0" w:rsidP="00C04355">
      <w:pPr>
        <w:rPr>
          <w:lang w:val="en-US"/>
        </w:rPr>
      </w:pPr>
    </w:p>
    <w:p w14:paraId="17C754AE" w14:textId="574B2640" w:rsidR="00101C51" w:rsidRDefault="00101C51" w:rsidP="00101C51">
      <w:pPr>
        <w:rPr>
          <w:lang w:val="en-US"/>
        </w:rPr>
      </w:pPr>
      <w:r w:rsidRPr="00101C51">
        <w:rPr>
          <w:lang w:val="en-US"/>
        </w:rPr>
        <w:t xml:space="preserve">In the </w:t>
      </w:r>
      <w:r w:rsidR="00570858">
        <w:rPr>
          <w:lang w:val="en-US"/>
        </w:rPr>
        <w:t>metal recovery and purification</w:t>
      </w:r>
      <w:r w:rsidR="00B77F30">
        <w:rPr>
          <w:lang w:val="en-US"/>
        </w:rPr>
        <w:t xml:space="preserve"> phase</w:t>
      </w:r>
      <w:r w:rsidRPr="00101C51">
        <w:rPr>
          <w:lang w:val="en-US"/>
        </w:rPr>
        <w:t xml:space="preserve">, </w:t>
      </w:r>
      <w:r w:rsidR="00B77F30">
        <w:rPr>
          <w:lang w:val="en-US"/>
        </w:rPr>
        <w:t>REE</w:t>
      </w:r>
      <w:r w:rsidR="001637DE">
        <w:rPr>
          <w:lang w:val="en-US"/>
        </w:rPr>
        <w:t>s</w:t>
      </w:r>
      <w:r w:rsidR="00B77F30">
        <w:rPr>
          <w:lang w:val="en-US"/>
        </w:rPr>
        <w:t xml:space="preserve"> </w:t>
      </w:r>
      <w:r w:rsidRPr="00101C51">
        <w:rPr>
          <w:lang w:val="en-US"/>
        </w:rPr>
        <w:t xml:space="preserve">will be recovered through precipitation. The chemical reagent used to precipitate the REO in the pregnant leachate solution is oxalic acid. The </w:t>
      </w:r>
      <w:proofErr w:type="spellStart"/>
      <w:r>
        <w:rPr>
          <w:lang w:val="en-US"/>
        </w:rPr>
        <w:t>e</w:t>
      </w:r>
      <w:r w:rsidRPr="00101C51">
        <w:rPr>
          <w:lang w:val="en-US"/>
        </w:rPr>
        <w:t>coinvent</w:t>
      </w:r>
      <w:proofErr w:type="spellEnd"/>
      <w:r w:rsidR="00246BBB">
        <w:rPr>
          <w:lang w:val="en-US"/>
        </w:rPr>
        <w:t xml:space="preserve"> </w:t>
      </w:r>
      <w:r w:rsidRPr="00101C51">
        <w:rPr>
          <w:lang w:val="en-US"/>
        </w:rPr>
        <w:t xml:space="preserve">database does not have a modeled process for oxalic acid production. However, </w:t>
      </w:r>
      <w:r w:rsidR="00760482">
        <w:rPr>
          <w:lang w:val="en-US"/>
        </w:rPr>
        <w:fldChar w:fldCharType="begin" w:fldLock="1"/>
      </w:r>
      <w:r w:rsidR="005A3726">
        <w:rPr>
          <w:lang w:val="en-US"/>
        </w:rPr>
        <w:instrText>ADDIN CSL_CITATION {"citationItems":[{"id":"ITEM-1","itemData":{"DOI":"10.1016/j.jclepro.2020.122464","ISSN":"09596526","abstract":"Scandium (Sc) is the most expensive rare earth element and is widely considered as one of the most critical materials for various emerging applications such as the third-generation Solid Oxide Fuel Cell (SOFC) battery. The global Sc demand is expected to increase rapidly, while its supply is mainly constrained by limited mineral reserve and environmental burdens associated with its production. There are few Sc deposits distributed in the world, with small reserves and complicated extraction processes. A large amount of Sc is mainly concentrated in tailings and has not been extracted in large quantities. Besides, detailed assessments on the potential environmental impacts of rare earths production, and Sc in particular, are very rare. This study aims to fill this gap to assess the environmental impacts of the production of Sc2O3, where the technical processes are modelled based on a recent project of Sc recovery from rare earths tailings in Bayan Obo mine. The environmental impacts of 5 major processes and 22 sub-processes involved in the beneficiation stage and the smelting stage have been evaluated with the synergies of various inventory data. It is found that the beneficiation stage accounts for 88% of the overall impact, around 56% of which is contributed by the secondary separation process. Among the ten assessed categories, Human toxicity non-cancer (HTNC) and Global Warming Air (GWA) are the top two significant impacts caused by Sc2O3 production. Through comparative analysis with published results, it's found that the environmental impact of Sc2O3 production from the tailings of Bayan Obo mine are much lower than those of direct production from the mixed rare earths ores. Our hotspot analysis identifies that the consumption of steam in Fe separation (II) and oxalic acid in oxalic acid precipitation are the major contributors to the total environmental impacts of Sc2O3 production. Thus, strategies to reduce their use and improve environmental performance in their production are highly encouraged. This study can provide a basis for sustainable raw material sourcing for the clean development of the third-generation SOFC battery.","author":[{"dropping-particle":"","family":"Wang","given":"Lu","non-dropping-particle":"","parse-names":false,"suffix":""},{"dropping-particle":"","family":"Wang","given":"Peng","non-dropping-particle":"","parse-names":false,"suffix":""},{"dropping-particle":"","family":"Chen","given":"Wei Qiang","non-dropping-particle":"","parse-names":false,"suffix":""},{"dropping-particle":"","family":"Wang","given":"Qian Qian","non-dropping-particle":"","parse-names":false,"suffix":""},{"dropping-particle":"","family":"Lu","given":"Hu Sheng","non-dropping-particle":"","parse-names":false,"suffix":""}],"container-title":"Journal of Cleaner Production","id":"ITEM-1","issued":{"date-parts":[["2020"]]},"page":"122464","publisher":"Elsevier Ltd","title":"Environmental impacts of scandium oxide production from rare earths tailings of Bayan Obo Mine","type":"article-journal","volume":"270"},"uris":["http://www.mendeley.com/documents/?uuid=c46a8acf-9284-4048-9b42-3c524fcf6c73"]}],"mendeley":{"formattedCitation":"(Wang et al., 2020)","manualFormatting":"Wang et al. (2020)","plainTextFormattedCitation":"(Wang et al., 2020)","previouslyFormattedCitation":"(Wang et al., 2020)"},"properties":{"noteIndex":0},"schema":"https://github.com/citation-style-language/schema/raw/master/csl-citation.json"}</w:instrText>
      </w:r>
      <w:r w:rsidR="00760482">
        <w:rPr>
          <w:lang w:val="en-US"/>
        </w:rPr>
        <w:fldChar w:fldCharType="separate"/>
      </w:r>
      <w:r w:rsidR="00760482" w:rsidRPr="00760482">
        <w:rPr>
          <w:noProof/>
          <w:lang w:val="en-US"/>
        </w:rPr>
        <w:t>Wang et al.</w:t>
      </w:r>
      <w:r w:rsidR="00760482">
        <w:rPr>
          <w:noProof/>
          <w:lang w:val="en-US"/>
        </w:rPr>
        <w:t xml:space="preserve"> (</w:t>
      </w:r>
      <w:r w:rsidR="00760482" w:rsidRPr="00760482">
        <w:rPr>
          <w:noProof/>
          <w:lang w:val="en-US"/>
        </w:rPr>
        <w:t>2020)</w:t>
      </w:r>
      <w:r w:rsidR="00760482">
        <w:rPr>
          <w:lang w:val="en-US"/>
        </w:rPr>
        <w:fldChar w:fldCharType="end"/>
      </w:r>
      <w:r w:rsidR="00760482">
        <w:rPr>
          <w:lang w:val="en-US"/>
        </w:rPr>
        <w:t xml:space="preserve"> </w:t>
      </w:r>
      <w:r w:rsidRPr="00101C51">
        <w:rPr>
          <w:lang w:val="en-US"/>
        </w:rPr>
        <w:t>constructed the inventory data for having it as a background process and made it available.</w:t>
      </w:r>
      <w:r w:rsidR="00DA46A1">
        <w:rPr>
          <w:lang w:val="en-US"/>
        </w:rPr>
        <w:t xml:space="preserve"> </w:t>
      </w:r>
      <w:r w:rsidR="00513F5C">
        <w:rPr>
          <w:lang w:val="en-US"/>
        </w:rPr>
        <w:t>The LCI data</w:t>
      </w:r>
      <w:r w:rsidR="00FB57A1">
        <w:rPr>
          <w:lang w:val="en-US"/>
        </w:rPr>
        <w:t xml:space="preserve"> provided</w:t>
      </w:r>
      <w:r w:rsidR="00513F5C">
        <w:rPr>
          <w:lang w:val="en-US"/>
        </w:rPr>
        <w:t xml:space="preserve"> corresponds to the oxalic acid production process in China.  Moreover, t</w:t>
      </w:r>
      <w:r w:rsidRPr="00101C51">
        <w:rPr>
          <w:lang w:val="en-US"/>
        </w:rPr>
        <w:t>hey emphasize in the report that the</w:t>
      </w:r>
      <w:r w:rsidR="00591117">
        <w:rPr>
          <w:lang w:val="en-US"/>
        </w:rPr>
        <w:t>ir</w:t>
      </w:r>
      <w:r w:rsidRPr="00101C51">
        <w:rPr>
          <w:lang w:val="en-US"/>
        </w:rPr>
        <w:t xml:space="preserve"> model is suitable for any other </w:t>
      </w:r>
      <w:r w:rsidR="00591117">
        <w:rPr>
          <w:lang w:val="en-US"/>
        </w:rPr>
        <w:t>LCA</w:t>
      </w:r>
      <w:r w:rsidRPr="00101C51">
        <w:rPr>
          <w:lang w:val="en-US"/>
        </w:rPr>
        <w:t xml:space="preserve"> study about </w:t>
      </w:r>
      <w:r w:rsidR="00CE7344">
        <w:rPr>
          <w:lang w:val="en-US"/>
        </w:rPr>
        <w:t>REEs</w:t>
      </w:r>
      <w:r w:rsidRPr="00101C51">
        <w:rPr>
          <w:lang w:val="en-US"/>
        </w:rPr>
        <w:t>. The authors were contacted by email to clarify the production process of oxalic acid and kindly provided the necessary help to reproduce their model with a high similarity</w:t>
      </w:r>
      <w:r w:rsidR="007E5037">
        <w:rPr>
          <w:lang w:val="en-US"/>
        </w:rPr>
        <w:t xml:space="preserve"> to the one reported in their paper</w:t>
      </w:r>
      <w:r w:rsidRPr="00101C51">
        <w:rPr>
          <w:lang w:val="en-US"/>
        </w:rPr>
        <w:t>.</w:t>
      </w:r>
    </w:p>
    <w:p w14:paraId="4132C756" w14:textId="77777777" w:rsidR="001637DE" w:rsidRPr="00101C51" w:rsidRDefault="001637DE" w:rsidP="00101C51">
      <w:pPr>
        <w:rPr>
          <w:lang w:val="en-US"/>
        </w:rPr>
      </w:pPr>
    </w:p>
    <w:p w14:paraId="6E0218FB" w14:textId="05836662" w:rsidR="00D71483" w:rsidRDefault="00CE1601" w:rsidP="00101C51">
      <w:pPr>
        <w:rPr>
          <w:lang w:val="en-US"/>
        </w:rPr>
      </w:pPr>
      <w:r>
        <w:rPr>
          <w:lang w:val="en-US"/>
        </w:rPr>
        <w:t>T</w:t>
      </w:r>
      <w:r w:rsidR="00101C51" w:rsidRPr="00101C51">
        <w:rPr>
          <w:lang w:val="en-US"/>
        </w:rPr>
        <w:t>he</w:t>
      </w:r>
      <w:r w:rsidR="007C2DDD">
        <w:rPr>
          <w:lang w:val="en-US"/>
        </w:rPr>
        <w:t xml:space="preserve"> </w:t>
      </w:r>
      <w:r w:rsidR="00101C51" w:rsidRPr="00101C51">
        <w:rPr>
          <w:lang w:val="en-US"/>
        </w:rPr>
        <w:t>LCI for the oxalic acid production</w:t>
      </w:r>
      <w:r w:rsidR="00F422D6">
        <w:rPr>
          <w:lang w:val="en-US"/>
        </w:rPr>
        <w:t xml:space="preserve">, </w:t>
      </w:r>
      <w:r w:rsidR="00101C51" w:rsidRPr="00101C51">
        <w:rPr>
          <w:lang w:val="en-US"/>
        </w:rPr>
        <w:t>reproduced here, according to</w:t>
      </w:r>
      <w:r w:rsidR="005A3726">
        <w:rPr>
          <w:lang w:val="en-US"/>
        </w:rPr>
        <w:t xml:space="preserve"> </w:t>
      </w:r>
      <w:r w:rsidR="005A3726">
        <w:rPr>
          <w:lang w:val="en-US"/>
        </w:rPr>
        <w:fldChar w:fldCharType="begin" w:fldLock="1"/>
      </w:r>
      <w:r w:rsidR="00C27EFB">
        <w:rPr>
          <w:lang w:val="en-US"/>
        </w:rPr>
        <w:instrText>ADDIN CSL_CITATION {"citationItems":[{"id":"ITEM-1","itemData":{"DOI":"10.1016/j.jclepro.2020.122464","ISSN":"09596526","abstract":"Scandium (Sc) is the most expensive rare earth element and is widely considered as one of the most critical materials for various emerging applications such as the third-generation Solid Oxide Fuel Cell (SOFC) battery. The global Sc demand is expected to increase rapidly, while its supply is mainly constrained by limited mineral reserve and environmental burdens associated with its production. There are few Sc deposits distributed in the world, with small reserves and complicated extraction processes. A large amount of Sc is mainly concentrated in tailings and has not been extracted in large quantities. Besides, detailed assessments on the potential environmental impacts of rare earths production, and Sc in particular, are very rare. This study aims to fill this gap to assess the environmental impacts of the production of Sc2O3, where the technical processes are modelled based on a recent project of Sc recovery from rare earths tailings in Bayan Obo mine. The environmental impacts of 5 major processes and 22 sub-processes involved in the beneficiation stage and the smelting stage have been evaluated with the synergies of various inventory data. It is found that the beneficiation stage accounts for 88% of the overall impact, around 56% of which is contributed by the secondary separation process. Among the ten assessed categories, Human toxicity non-cancer (HTNC) and Global Warming Air (GWA) are the top two significant impacts caused by Sc2O3 production. Through comparative analysis with published results, it's found that the environmental impact of Sc2O3 production from the tailings of Bayan Obo mine are much lower than those of direct production from the mixed rare earths ores. Our hotspot analysis identifies that the consumption of steam in Fe separation (II) and oxalic acid in oxalic acid precipitation are the major contributors to the total environmental impacts of Sc2O3 production. Thus, strategies to reduce their use and improve environmental performance in their production are highly encouraged. This study can provide a basis for sustainable raw material sourcing for the clean development of the third-generation SOFC battery.","author":[{"dropping-particle":"","family":"Wang","given":"Lu","non-dropping-particle":"","parse-names":false,"suffix":""},{"dropping-particle":"","family":"Wang","given":"Peng","non-dropping-particle":"","parse-names":false,"suffix":""},{"dropping-particle":"","family":"Chen","given":"Wei Qiang","non-dropping-particle":"","parse-names":false,"suffix":""},{"dropping-particle":"","family":"Wang","given":"Qian Qian","non-dropping-particle":"","parse-names":false,"suffix":""},{"dropping-particle":"","family":"Lu","given":"Hu Sheng","non-dropping-particle":"","parse-names":false,"suffix":""}],"container-title":"Journal of Cleaner Production","id":"ITEM-1","issued":{"date-parts":[["2020"]]},"page":"122464","publisher":"Elsevier Ltd","title":"Environmental impacts of scandium oxide production from rare earths tailings of Bayan Obo Mine","type":"article-journal","volume":"270"},"uris":["http://www.mendeley.com/documents/?uuid=c46a8acf-9284-4048-9b42-3c524fcf6c73"]}],"mendeley":{"formattedCitation":"(Wang et al., 2020)","manualFormatting":"Wang et al. (2020)","plainTextFormattedCitation":"(Wang et al., 2020)","previouslyFormattedCitation":"(Wang et al., 2020)"},"properties":{"noteIndex":0},"schema":"https://github.com/citation-style-language/schema/raw/master/csl-citation.json"}</w:instrText>
      </w:r>
      <w:r w:rsidR="005A3726">
        <w:rPr>
          <w:lang w:val="en-US"/>
        </w:rPr>
        <w:fldChar w:fldCharType="separate"/>
      </w:r>
      <w:r w:rsidR="005A3726" w:rsidRPr="005A3726">
        <w:rPr>
          <w:noProof/>
          <w:lang w:val="en-US"/>
        </w:rPr>
        <w:t>Wang et al.</w:t>
      </w:r>
      <w:r w:rsidR="005A3726">
        <w:rPr>
          <w:noProof/>
          <w:lang w:val="en-US"/>
        </w:rPr>
        <w:t xml:space="preserve"> (</w:t>
      </w:r>
      <w:r w:rsidR="005A3726" w:rsidRPr="005A3726">
        <w:rPr>
          <w:noProof/>
          <w:lang w:val="en-US"/>
        </w:rPr>
        <w:t>2020)</w:t>
      </w:r>
      <w:r w:rsidR="005A3726">
        <w:rPr>
          <w:lang w:val="en-US"/>
        </w:rPr>
        <w:fldChar w:fldCharType="end"/>
      </w:r>
      <w:r w:rsidR="00101C51" w:rsidRPr="00101C51">
        <w:rPr>
          <w:lang w:val="en-US"/>
        </w:rPr>
        <w:t xml:space="preserve">’s model, can be found in </w:t>
      </w:r>
      <w:r w:rsidR="005A3726">
        <w:rPr>
          <w:lang w:val="en-US"/>
        </w:rPr>
        <w:fldChar w:fldCharType="begin"/>
      </w:r>
      <w:r w:rsidR="005A3726">
        <w:rPr>
          <w:lang w:val="en-US"/>
        </w:rPr>
        <w:instrText xml:space="preserve"> REF _Ref74851102 \w \h </w:instrText>
      </w:r>
      <w:r w:rsidR="005A3726">
        <w:rPr>
          <w:lang w:val="en-US"/>
        </w:rPr>
      </w:r>
      <w:r w:rsidR="005A3726">
        <w:rPr>
          <w:lang w:val="en-US"/>
        </w:rPr>
        <w:fldChar w:fldCharType="separate"/>
      </w:r>
      <w:r w:rsidR="00756876">
        <w:rPr>
          <w:lang w:val="en-US"/>
        </w:rPr>
        <w:t>a</w:t>
      </w:r>
      <w:r w:rsidR="00BC31F4">
        <w:rPr>
          <w:lang w:val="en-US"/>
        </w:rPr>
        <w:t>ppendix B</w:t>
      </w:r>
      <w:r w:rsidR="005A3726">
        <w:rPr>
          <w:lang w:val="en-US"/>
        </w:rPr>
        <w:fldChar w:fldCharType="end"/>
      </w:r>
      <w:r>
        <w:rPr>
          <w:lang w:val="en-US"/>
        </w:rPr>
        <w:t xml:space="preserve">. </w:t>
      </w:r>
    </w:p>
    <w:p w14:paraId="4EF503EB" w14:textId="77777777" w:rsidR="00DA3452" w:rsidRPr="00C04355" w:rsidRDefault="00DA3452" w:rsidP="00101C51">
      <w:pPr>
        <w:rPr>
          <w:lang w:val="en-US"/>
        </w:rPr>
      </w:pPr>
    </w:p>
    <w:p w14:paraId="76E6EADE" w14:textId="6D0D5539" w:rsidR="003F1FF6" w:rsidRPr="009A215A" w:rsidRDefault="003F1FF6" w:rsidP="009076A0">
      <w:pPr>
        <w:pStyle w:val="Heading3"/>
      </w:pPr>
      <w:bookmarkStart w:id="45" w:name="_Ref74914283"/>
      <w:bookmarkStart w:id="46" w:name="_Ref74914355"/>
      <w:bookmarkStart w:id="47" w:name="_Toc76752270"/>
      <w:r w:rsidRPr="009A215A">
        <w:t>P</w:t>
      </w:r>
      <w:r w:rsidR="0020500A">
        <w:t>rimary</w:t>
      </w:r>
      <w:r w:rsidR="000978F3">
        <w:t xml:space="preserve"> production</w:t>
      </w:r>
      <w:bookmarkEnd w:id="45"/>
      <w:bookmarkEnd w:id="46"/>
      <w:bookmarkEnd w:id="47"/>
    </w:p>
    <w:p w14:paraId="13CD4F8C" w14:textId="77777777" w:rsidR="003F1FF6" w:rsidRPr="009A215A" w:rsidRDefault="003F1FF6" w:rsidP="009A215A"/>
    <w:p w14:paraId="66739E52" w14:textId="77777777" w:rsidR="007F6BB7" w:rsidRPr="007F6BB7" w:rsidRDefault="007F6BB7" w:rsidP="007F6BB7">
      <w:pPr>
        <w:rPr>
          <w:lang w:val="en-US"/>
        </w:rPr>
      </w:pPr>
      <w:r w:rsidRPr="007F6BB7">
        <w:rPr>
          <w:lang w:val="en-US"/>
        </w:rPr>
        <w:t xml:space="preserve">As stressed in the literature review section, to evaluate the emerging technology's environmental performance, a comparison with an alternative technology's environmental impacts must be made. In the case of emerging technologies, the ex-ante LCA framework's rationale suggests that this comparison needs to be with the incumbent technology. In this regard, the primary production of REO will be taken as the incumbent technology. </w:t>
      </w:r>
    </w:p>
    <w:p w14:paraId="7C8D8FEB" w14:textId="77777777" w:rsidR="007F6BB7" w:rsidRPr="007F6BB7" w:rsidRDefault="007F6BB7" w:rsidP="007F6BB7">
      <w:pPr>
        <w:rPr>
          <w:lang w:val="en-US"/>
        </w:rPr>
      </w:pPr>
    </w:p>
    <w:p w14:paraId="138174A3" w14:textId="21914208" w:rsidR="001C72D5" w:rsidRDefault="007F6BB7" w:rsidP="007F6BB7">
      <w:pPr>
        <w:rPr>
          <w:lang w:val="en-US"/>
        </w:rPr>
      </w:pPr>
      <w:r w:rsidRPr="007F6BB7">
        <w:rPr>
          <w:lang w:val="en-US"/>
        </w:rPr>
        <w:t>The bulk of primary REO production in the world comes from China. Thus</w:t>
      </w:r>
      <w:r>
        <w:rPr>
          <w:lang w:val="en-US"/>
        </w:rPr>
        <w:t>,</w:t>
      </w:r>
      <w:r w:rsidRPr="007F6BB7">
        <w:rPr>
          <w:lang w:val="en-US"/>
        </w:rPr>
        <w:t xml:space="preserve"> their production route will be considered. The environmental impacts of such activity were addressed in the work of </w:t>
      </w:r>
      <w:r w:rsidR="00C27EFB">
        <w:rPr>
          <w:lang w:val="en-US"/>
        </w:rPr>
        <w:fldChar w:fldCharType="begin" w:fldLock="1"/>
      </w:r>
      <w:r w:rsidR="00C27EFB">
        <w:rPr>
          <w:lang w:val="en-US"/>
        </w:rPr>
        <w:instrText>ADDIN CSL_CITATION {"citationItems":[{"id":"ITEM-1","itemData":{"DOI":"10.1021/es404596q","ISSN":"15205851","PMID":"24576005","abstract":"Neodymium is one of the more critical rare earth elements with respect to current availability and is most often used in high performance magnets. In this paper, we compare the virgin production route of these magnets with two hypothetical recycling processes in terms of environmental impact the first recycling process looks at manual dismantling of computer hard disk drives (HDDs) combined with a novel hydrogen based recycling process the second process assumes HDDs are shredded. Our life cycle assessment is based both on up to date literature and on our own experimental data. Because the production process of neodymium oxide is generic to all rare earths, we also report the life cycle inventory data for the production of rare earth oxides separately. We conclude that recycling of neodymium, especially via manual dismantling, is preferable to primary production, with some environmental indicators showing an order of magnitude improvement the choice of recycling technology is also important with respect to resource recovery. While manual disassembly allows in principle for all magnetic material to be recovered, shredding leads to very low recovery rates (&lt;10%). © 2014 American Chemical Society.","author":[{"dropping-particle":"","family":"Sprecher","given":"Benjamin","non-dropping-particle":"","parse-names":false,"suffix":""},{"dropping-particle":"","family":"Xiao","given":"Yanping","non-dropping-particle":"","parse-names":false,"suffix":""},{"dropping-particle":"","family":"Walton","given":"Allan","non-dropping-particle":"","parse-names":false,"suffix":""},{"dropping-particle":"","family":"Speight","given":"John","non-dropping-particle":"","parse-names":false,"suffix":""},{"dropping-particle":"","family":"Harris","given":"Rex","non-dropping-particle":"","parse-names":false,"suffix":""},{"dropping-particle":"","family":"Kleijn","given":"Rene","non-dropping-particle":"","parse-names":false,"suffix":""},{"dropping-particle":"","family":"Visser","given":"Geert","non-dropping-particle":"","parse-names":false,"suffix":""},{"dropping-particle":"","family":"Kramer","given":"Gert Jan","non-dropping-particle":"","parse-names":false,"suffix":""}],"container-title":"Environmental Science and Technology","id":"ITEM-1","issue":"7","issued":{"date-parts":[["2014"]]},"page":"3951-3958","title":"Life cycle inventory of the production of rare earths and the subsequent production of NdFeB rare earth permanent magnets","type":"article-journal","volume":"48"},"uris":["http://www.mendeley.com/documents/?uuid=d802c6a8-5802-4c70-b696-cb033b655153"]}],"mendeley":{"formattedCitation":"(Sprecher et al., 2014)","manualFormatting":"Sprecher et al. (2014)","plainTextFormattedCitation":"(Sprecher et al., 2014)","previouslyFormattedCitation":"(Sprecher et al., 2014)"},"properties":{"noteIndex":0},"schema":"https://github.com/citation-style-language/schema/raw/master/csl-citation.json"}</w:instrText>
      </w:r>
      <w:r w:rsidR="00C27EFB">
        <w:rPr>
          <w:lang w:val="en-US"/>
        </w:rPr>
        <w:fldChar w:fldCharType="separate"/>
      </w:r>
      <w:r w:rsidR="00C27EFB" w:rsidRPr="00C27EFB">
        <w:rPr>
          <w:noProof/>
          <w:lang w:val="en-US"/>
        </w:rPr>
        <w:t>Sprecher et al.</w:t>
      </w:r>
      <w:r w:rsidR="00C27EFB">
        <w:rPr>
          <w:noProof/>
          <w:lang w:val="en-US"/>
        </w:rPr>
        <w:t xml:space="preserve"> (</w:t>
      </w:r>
      <w:r w:rsidR="00C27EFB" w:rsidRPr="00C27EFB">
        <w:rPr>
          <w:noProof/>
          <w:lang w:val="en-US"/>
        </w:rPr>
        <w:t>2014)</w:t>
      </w:r>
      <w:r w:rsidR="00C27EFB">
        <w:rPr>
          <w:lang w:val="en-US"/>
        </w:rPr>
        <w:fldChar w:fldCharType="end"/>
      </w:r>
      <w:r w:rsidR="00C27EFB">
        <w:rPr>
          <w:lang w:val="en-US"/>
        </w:rPr>
        <w:t>.</w:t>
      </w:r>
      <w:r w:rsidRPr="007F6BB7">
        <w:rPr>
          <w:lang w:val="en-US"/>
        </w:rPr>
        <w:t xml:space="preserve"> The authors calculated the environmental impacts of the Chinese </w:t>
      </w:r>
      <w:proofErr w:type="spellStart"/>
      <w:r w:rsidRPr="007F6BB7">
        <w:rPr>
          <w:lang w:val="en-US"/>
        </w:rPr>
        <w:lastRenderedPageBreak/>
        <w:t>NdFeB</w:t>
      </w:r>
      <w:proofErr w:type="spellEnd"/>
      <w:r w:rsidRPr="007F6BB7">
        <w:rPr>
          <w:lang w:val="en-US"/>
        </w:rPr>
        <w:t xml:space="preserve"> permanent magnet primary production, including REO production from virgin ore. As this project aims to calculate the environmental impacts of REO recovery from EOL </w:t>
      </w:r>
      <w:proofErr w:type="spellStart"/>
      <w:r w:rsidRPr="007F6BB7">
        <w:rPr>
          <w:lang w:val="en-US"/>
        </w:rPr>
        <w:t>NdFeB</w:t>
      </w:r>
      <w:proofErr w:type="spellEnd"/>
      <w:r w:rsidRPr="007F6BB7">
        <w:rPr>
          <w:lang w:val="en-US"/>
        </w:rPr>
        <w:t xml:space="preserve"> magnets, the LCA performed by </w:t>
      </w:r>
      <w:r w:rsidR="00C27EFB">
        <w:rPr>
          <w:lang w:val="en-US"/>
        </w:rPr>
        <w:fldChar w:fldCharType="begin" w:fldLock="1"/>
      </w:r>
      <w:r w:rsidR="00C27EFB">
        <w:rPr>
          <w:lang w:val="en-US"/>
        </w:rPr>
        <w:instrText>ADDIN CSL_CITATION {"citationItems":[{"id":"ITEM-1","itemData":{"DOI":"10.1021/es404596q","ISSN":"15205851","PMID":"24576005","abstract":"Neodymium is one of the more critical rare earth elements with respect to current availability and is most often used in high performance magnets. In this paper, we compare the virgin production route of these magnets with two hypothetical recycling processes in terms of environmental impact the first recycling process looks at manual dismantling of computer hard disk drives (HDDs) combined with a novel hydrogen based recycling process the second process assumes HDDs are shredded. Our life cycle assessment is based both on up to date literature and on our own experimental data. Because the production process of neodymium oxide is generic to all rare earths, we also report the life cycle inventory data for the production of rare earth oxides separately. We conclude that recycling of neodymium, especially via manual dismantling, is preferable to primary production, with some environmental indicators showing an order of magnitude improvement the choice of recycling technology is also important with respect to resource recovery. While manual disassembly allows in principle for all magnetic material to be recovered, shredding leads to very low recovery rates (&lt;10%). © 2014 American Chemical Society.","author":[{"dropping-particle":"","family":"Sprecher","given":"Benjamin","non-dropping-particle":"","parse-names":false,"suffix":""},{"dropping-particle":"","family":"Xiao","given":"Yanping","non-dropping-particle":"","parse-names":false,"suffix":""},{"dropping-particle":"","family":"Walton","given":"Allan","non-dropping-particle":"","parse-names":false,"suffix":""},{"dropping-particle":"","family":"Speight","given":"John","non-dropping-particle":"","parse-names":false,"suffix":""},{"dropping-particle":"","family":"Harris","given":"Rex","non-dropping-particle":"","parse-names":false,"suffix":""},{"dropping-particle":"","family":"Kleijn","given":"Rene","non-dropping-particle":"","parse-names":false,"suffix":""},{"dropping-particle":"","family":"Visser","given":"Geert","non-dropping-particle":"","parse-names":false,"suffix":""},{"dropping-particle":"","family":"Kramer","given":"Gert Jan","non-dropping-particle":"","parse-names":false,"suffix":""}],"container-title":"Environmental Science and Technology","id":"ITEM-1","issue":"7","issued":{"date-parts":[["2014"]]},"page":"3951-3958","title":"Life cycle inventory of the production of rare earths and the subsequent production of NdFeB rare earth permanent magnets","type":"article-journal","volume":"48"},"uris":["http://www.mendeley.com/documents/?uuid=d802c6a8-5802-4c70-b696-cb033b655153"]}],"mendeley":{"formattedCitation":"(Sprecher et al., 2014)","manualFormatting":"Sprecher et al. (2014)","plainTextFormattedCitation":"(Sprecher et al., 2014)","previouslyFormattedCitation":"(Sprecher et al., 2014)"},"properties":{"noteIndex":0},"schema":"https://github.com/citation-style-language/schema/raw/master/csl-citation.json"}</w:instrText>
      </w:r>
      <w:r w:rsidR="00C27EFB">
        <w:rPr>
          <w:lang w:val="en-US"/>
        </w:rPr>
        <w:fldChar w:fldCharType="separate"/>
      </w:r>
      <w:r w:rsidR="00C27EFB" w:rsidRPr="00C27EFB">
        <w:rPr>
          <w:noProof/>
          <w:lang w:val="en-US"/>
        </w:rPr>
        <w:t>Sprecher et al.</w:t>
      </w:r>
      <w:r w:rsidR="00C27EFB">
        <w:rPr>
          <w:noProof/>
          <w:lang w:val="en-US"/>
        </w:rPr>
        <w:t xml:space="preserve"> (</w:t>
      </w:r>
      <w:r w:rsidR="00C27EFB" w:rsidRPr="00C27EFB">
        <w:rPr>
          <w:noProof/>
          <w:lang w:val="en-US"/>
        </w:rPr>
        <w:t>2014)</w:t>
      </w:r>
      <w:r w:rsidR="00C27EFB">
        <w:rPr>
          <w:lang w:val="en-US"/>
        </w:rPr>
        <w:fldChar w:fldCharType="end"/>
      </w:r>
      <w:r w:rsidRPr="007F6BB7">
        <w:rPr>
          <w:lang w:val="en-US"/>
        </w:rPr>
        <w:t xml:space="preserve"> needs to be arbitrarily suppressed up to the production of primary REO for the sake of compatibility and consistent LCA comparison. The authors kindly provided the necessary data to do so.</w:t>
      </w:r>
    </w:p>
    <w:p w14:paraId="6939C484" w14:textId="77777777" w:rsidR="007F6BB7" w:rsidRDefault="007F6BB7" w:rsidP="007F6BB7">
      <w:pPr>
        <w:rPr>
          <w:lang w:val="en-US"/>
        </w:rPr>
      </w:pPr>
    </w:p>
    <w:p w14:paraId="2312AF46" w14:textId="77D5C506" w:rsidR="003F1FF6" w:rsidRPr="009A215A" w:rsidRDefault="0020500A" w:rsidP="009A215A">
      <w:r>
        <w:rPr>
          <w:lang w:val="en-US"/>
        </w:rPr>
        <w:t>Th</w:t>
      </w:r>
      <w:r w:rsidR="0097409E">
        <w:rPr>
          <w:lang w:val="en-US"/>
        </w:rPr>
        <w:t xml:space="preserve">e </w:t>
      </w:r>
      <w:r w:rsidR="001F6E32">
        <w:rPr>
          <w:lang w:val="en-US"/>
        </w:rPr>
        <w:t>needed</w:t>
      </w:r>
      <w:r w:rsidR="0099035A">
        <w:rPr>
          <w:lang w:val="en-US"/>
        </w:rPr>
        <w:t xml:space="preserve"> </w:t>
      </w:r>
      <w:r w:rsidR="00934018">
        <w:rPr>
          <w:lang w:val="en-US"/>
        </w:rPr>
        <w:t>ad</w:t>
      </w:r>
      <w:r w:rsidR="0099035A">
        <w:rPr>
          <w:lang w:val="en-US"/>
        </w:rPr>
        <w:t>justments</w:t>
      </w:r>
      <w:r w:rsidR="00934018">
        <w:rPr>
          <w:lang w:val="en-US"/>
        </w:rPr>
        <w:t xml:space="preserve"> to </w:t>
      </w:r>
      <w:r w:rsidR="0099035A">
        <w:rPr>
          <w:lang w:val="en-US"/>
        </w:rPr>
        <w:t xml:space="preserve">the original LCA of </w:t>
      </w:r>
      <w:r w:rsidR="00C27EFB">
        <w:rPr>
          <w:lang w:val="en-US"/>
        </w:rPr>
        <w:fldChar w:fldCharType="begin" w:fldLock="1"/>
      </w:r>
      <w:r w:rsidR="00C01B1D">
        <w:rPr>
          <w:lang w:val="en-US"/>
        </w:rPr>
        <w:instrText>ADDIN CSL_CITATION {"citationItems":[{"id":"ITEM-1","itemData":{"DOI":"10.1021/es404596q","ISSN":"15205851","PMID":"24576005","abstract":"Neodymium is one of the more critical rare earth elements with respect to current availability and is most often used in high performance magnets. In this paper, we compare the virgin production route of these magnets with two hypothetical recycling processes in terms of environmental impact the first recycling process looks at manual dismantling of computer hard disk drives (HDDs) combined with a novel hydrogen based recycling process the second process assumes HDDs are shredded. Our life cycle assessment is based both on up to date literature and on our own experimental data. Because the production process of neodymium oxide is generic to all rare earths, we also report the life cycle inventory data for the production of rare earth oxides separately. We conclude that recycling of neodymium, especially via manual dismantling, is preferable to primary production, with some environmental indicators showing an order of magnitude improvement the choice of recycling technology is also important with respect to resource recovery. While manual disassembly allows in principle for all magnetic material to be recovered, shredding leads to very low recovery rates (&lt;10%). © 2014 American Chemical Society.","author":[{"dropping-particle":"","family":"Sprecher","given":"Benjamin","non-dropping-particle":"","parse-names":false,"suffix":""},{"dropping-particle":"","family":"Xiao","given":"Yanping","non-dropping-particle":"","parse-names":false,"suffix":""},{"dropping-particle":"","family":"Walton","given":"Allan","non-dropping-particle":"","parse-names":false,"suffix":""},{"dropping-particle":"","family":"Speight","given":"John","non-dropping-particle":"","parse-names":false,"suffix":""},{"dropping-particle":"","family":"Harris","given":"Rex","non-dropping-particle":"","parse-names":false,"suffix":""},{"dropping-particle":"","family":"Kleijn","given":"Rene","non-dropping-particle":"","parse-names":false,"suffix":""},{"dropping-particle":"","family":"Visser","given":"Geert","non-dropping-particle":"","parse-names":false,"suffix":""},{"dropping-particle":"","family":"Kramer","given":"Gert Jan","non-dropping-particle":"","parse-names":false,"suffix":""}],"container-title":"Environmental Science and Technology","id":"ITEM-1","issue":"7","issued":{"date-parts":[["2014"]]},"page":"3951-3958","title":"Life cycle inventory of the production of rare earths and the subsequent production of NdFeB rare earth permanent magnets","type":"article-journal","volume":"48"},"uris":["http://www.mendeley.com/documents/?uuid=d802c6a8-5802-4c70-b696-cb033b655153"]}],"mendeley":{"formattedCitation":"(Sprecher et al., 2014)","manualFormatting":"Sprecher et al. (2014)","plainTextFormattedCitation":"(Sprecher et al., 2014)","previouslyFormattedCitation":"(Sprecher et al., 2014)"},"properties":{"noteIndex":0},"schema":"https://github.com/citation-style-language/schema/raw/master/csl-citation.json"}</w:instrText>
      </w:r>
      <w:r w:rsidR="00C27EFB">
        <w:rPr>
          <w:lang w:val="en-US"/>
        </w:rPr>
        <w:fldChar w:fldCharType="separate"/>
      </w:r>
      <w:r w:rsidR="00C27EFB" w:rsidRPr="00C27EFB">
        <w:rPr>
          <w:noProof/>
          <w:lang w:val="en-US"/>
        </w:rPr>
        <w:t>Sprecher et al.</w:t>
      </w:r>
      <w:r w:rsidR="00C27EFB">
        <w:rPr>
          <w:noProof/>
          <w:lang w:val="en-US"/>
        </w:rPr>
        <w:t xml:space="preserve"> (</w:t>
      </w:r>
      <w:r w:rsidR="00C27EFB" w:rsidRPr="00C27EFB">
        <w:rPr>
          <w:noProof/>
          <w:lang w:val="en-US"/>
        </w:rPr>
        <w:t>2014)</w:t>
      </w:r>
      <w:r w:rsidR="00C27EFB">
        <w:rPr>
          <w:lang w:val="en-US"/>
        </w:rPr>
        <w:fldChar w:fldCharType="end"/>
      </w:r>
      <w:r w:rsidR="0069595E">
        <w:rPr>
          <w:lang w:val="en-US"/>
        </w:rPr>
        <w:t xml:space="preserve"> to</w:t>
      </w:r>
      <w:r w:rsidR="0099035A">
        <w:rPr>
          <w:lang w:val="en-US"/>
        </w:rPr>
        <w:t xml:space="preserve"> </w:t>
      </w:r>
      <w:r w:rsidR="001C0662">
        <w:rPr>
          <w:lang w:val="en-US"/>
        </w:rPr>
        <w:t>mitigate</w:t>
      </w:r>
      <w:r w:rsidR="0099035A">
        <w:rPr>
          <w:lang w:val="en-US"/>
        </w:rPr>
        <w:t xml:space="preserve"> the modeling differences between their system and the one to be developed in this work are: </w:t>
      </w:r>
    </w:p>
    <w:p w14:paraId="4991CD57" w14:textId="77777777" w:rsidR="003F1FF6" w:rsidRPr="009A215A" w:rsidRDefault="003F1FF6" w:rsidP="009A215A"/>
    <w:p w14:paraId="27D35E86" w14:textId="06D1C63E" w:rsidR="003F1FF6" w:rsidRPr="00036CE2" w:rsidRDefault="003F1FF6" w:rsidP="007576AA">
      <w:pPr>
        <w:pStyle w:val="ListParagraph"/>
        <w:numPr>
          <w:ilvl w:val="0"/>
          <w:numId w:val="11"/>
        </w:numPr>
      </w:pPr>
      <w:r w:rsidRPr="009A215A">
        <w:t xml:space="preserve">The original product system and functional unit </w:t>
      </w:r>
      <w:r w:rsidR="008B0ABF" w:rsidRPr="00036CE2">
        <w:rPr>
          <w:lang w:val="en-US"/>
        </w:rPr>
        <w:t xml:space="preserve">were </w:t>
      </w:r>
      <w:r w:rsidRPr="009A215A">
        <w:t xml:space="preserve">changed to accommodate the comparison with the new technology. In this </w:t>
      </w:r>
      <w:r w:rsidR="008B0ABF" w:rsidRPr="00036CE2">
        <w:rPr>
          <w:lang w:val="en-US"/>
        </w:rPr>
        <w:t>case</w:t>
      </w:r>
      <w:r w:rsidRPr="009A215A">
        <w:t xml:space="preserve">, the original system </w:t>
      </w:r>
      <w:r w:rsidR="008B0ABF" w:rsidRPr="00036CE2">
        <w:rPr>
          <w:lang w:val="en-US"/>
        </w:rPr>
        <w:t>is</w:t>
      </w:r>
      <w:r w:rsidRPr="009A215A">
        <w:t xml:space="preserve"> kept up to the Nd oxide primary production</w:t>
      </w:r>
      <w:r w:rsidR="008B0ABF" w:rsidRPr="00036CE2">
        <w:rPr>
          <w:lang w:val="en-US"/>
        </w:rPr>
        <w:t xml:space="preserve">, reducing </w:t>
      </w:r>
      <w:r w:rsidRPr="009A215A">
        <w:t>the system boundary of the original analysis, leaving out all processes referred to</w:t>
      </w:r>
      <w:r w:rsidR="008B0ABF" w:rsidRPr="00036CE2">
        <w:rPr>
          <w:lang w:val="en-US"/>
        </w:rPr>
        <w:t xml:space="preserve"> </w:t>
      </w:r>
      <w:r w:rsidRPr="009A215A">
        <w:t>the industrial manufacturing of NdFeB permanent magnets from Nd oxide. Consequently, the functional unit needs to change from producing "1</w:t>
      </w:r>
      <w:r w:rsidR="00C27EFB">
        <w:rPr>
          <w:lang w:val="en-US"/>
        </w:rPr>
        <w:t xml:space="preserve"> </w:t>
      </w:r>
      <w:r w:rsidRPr="009A215A">
        <w:t xml:space="preserve">kg of neodymium (NdFeB) permanent magnets in China" to produce </w:t>
      </w:r>
      <w:r w:rsidR="003C4036" w:rsidRPr="009A215A">
        <w:t>1</w:t>
      </w:r>
      <w:r w:rsidR="00C27EFB">
        <w:rPr>
          <w:lang w:val="en-US"/>
        </w:rPr>
        <w:t xml:space="preserve"> </w:t>
      </w:r>
      <w:r w:rsidR="003C4036" w:rsidRPr="009A215A">
        <w:t xml:space="preserve">kg of </w:t>
      </w:r>
      <w:r w:rsidR="003C4036" w:rsidRPr="00036CE2">
        <w:rPr>
          <w:lang w:val="en-US"/>
        </w:rPr>
        <w:t xml:space="preserve">primary </w:t>
      </w:r>
      <w:r w:rsidR="003C4036">
        <w:rPr>
          <w:lang w:val="en-US"/>
        </w:rPr>
        <w:t xml:space="preserve">REO </w:t>
      </w:r>
      <w:r w:rsidR="003C4036" w:rsidRPr="00036CE2">
        <w:t>in China</w:t>
      </w:r>
      <w:r w:rsidR="003C4036" w:rsidRPr="00036CE2">
        <w:rPr>
          <w:lang w:val="en-US"/>
        </w:rPr>
        <w:t xml:space="preserve"> </w:t>
      </w:r>
      <w:r w:rsidR="003C4036" w:rsidRPr="00036CE2">
        <w:t>through</w:t>
      </w:r>
      <w:r w:rsidR="003C4036" w:rsidRPr="009A215A">
        <w:t xml:space="preserve"> a commercial established virgin production route</w:t>
      </w:r>
      <w:r w:rsidR="00036CE2">
        <w:rPr>
          <w:lang w:val="en-US"/>
        </w:rPr>
        <w:t>;</w:t>
      </w:r>
    </w:p>
    <w:p w14:paraId="10C804EB" w14:textId="77777777" w:rsidR="00036CE2" w:rsidRPr="009A215A" w:rsidRDefault="00036CE2" w:rsidP="00036CE2">
      <w:pPr>
        <w:pStyle w:val="ListParagraph"/>
      </w:pPr>
    </w:p>
    <w:p w14:paraId="72DE1112" w14:textId="1ECA8D94" w:rsidR="003F1FF6" w:rsidRPr="007A1BA1" w:rsidRDefault="007F6BB7" w:rsidP="006003EC">
      <w:pPr>
        <w:pStyle w:val="ListParagraph"/>
        <w:numPr>
          <w:ilvl w:val="0"/>
          <w:numId w:val="11"/>
        </w:numPr>
      </w:pPr>
      <w:r w:rsidRPr="007F6BB7">
        <w:rPr>
          <w:lang w:val="en-US"/>
        </w:rPr>
        <w:t xml:space="preserve">The background system will be adapted to reflect Nd oxides' primary production in the same </w:t>
      </w:r>
      <w:r w:rsidR="00AB01BB">
        <w:rPr>
          <w:lang w:val="en-US"/>
        </w:rPr>
        <w:t>scope</w:t>
      </w:r>
      <w:r w:rsidRPr="007F6BB7">
        <w:rPr>
          <w:lang w:val="en-US"/>
        </w:rPr>
        <w:t xml:space="preserve"> as the new technology.</w:t>
      </w:r>
      <w:r w:rsidR="00537586">
        <w:rPr>
          <w:lang w:val="en-US"/>
        </w:rPr>
        <w:t xml:space="preserve"> </w:t>
      </w:r>
      <w:r w:rsidRPr="007F6BB7">
        <w:rPr>
          <w:lang w:val="en-US"/>
        </w:rPr>
        <w:t xml:space="preserve">Having both product systems </w:t>
      </w:r>
      <w:r w:rsidR="0065669D">
        <w:rPr>
          <w:lang w:val="en-US"/>
        </w:rPr>
        <w:t xml:space="preserve">with common background is </w:t>
      </w:r>
      <w:r w:rsidRPr="007F6BB7">
        <w:rPr>
          <w:lang w:val="en-US"/>
        </w:rPr>
        <w:t xml:space="preserve">recommended </w:t>
      </w:r>
      <w:r w:rsidR="00FE30AC">
        <w:rPr>
          <w:lang w:val="en-US"/>
        </w:rPr>
        <w:t>by</w:t>
      </w:r>
      <w:r w:rsidRPr="007F6BB7">
        <w:rPr>
          <w:lang w:val="en-US"/>
        </w:rPr>
        <w:t xml:space="preserve"> </w:t>
      </w:r>
      <w:r w:rsidR="00FE30AC" w:rsidRPr="007A1BA1">
        <w:rPr>
          <w:lang w:val="en-US"/>
        </w:rPr>
        <w:t>European Commission (2010)</w:t>
      </w:r>
      <w:r w:rsidR="00036AB0">
        <w:rPr>
          <w:lang w:val="en-US"/>
        </w:rPr>
        <w:t xml:space="preserve"> and </w:t>
      </w:r>
      <w:proofErr w:type="spellStart"/>
      <w:r w:rsidR="00036AB0">
        <w:rPr>
          <w:lang w:val="en-US"/>
        </w:rPr>
        <w:t>Xicotencatl</w:t>
      </w:r>
      <w:proofErr w:type="spellEnd"/>
      <w:r w:rsidR="00036AB0">
        <w:rPr>
          <w:lang w:val="en-US"/>
        </w:rPr>
        <w:t xml:space="preserve"> et al. (2021)</w:t>
      </w:r>
      <w:r w:rsidR="00537586">
        <w:rPr>
          <w:lang w:val="en-US"/>
        </w:rPr>
        <w:t xml:space="preserve"> </w:t>
      </w:r>
      <w:r w:rsidR="00537586" w:rsidRPr="002C0E04">
        <w:rPr>
          <w:lang w:val="en-US"/>
        </w:rPr>
        <w:t>(manuscript in preparation)</w:t>
      </w:r>
      <w:r w:rsidR="00FE30AC" w:rsidRPr="002C0E04">
        <w:rPr>
          <w:lang w:val="en-US"/>
        </w:rPr>
        <w:t>.</w:t>
      </w:r>
      <w:r w:rsidR="00537586" w:rsidRPr="002C0E04">
        <w:rPr>
          <w:lang w:val="en-US"/>
        </w:rPr>
        <w:t xml:space="preserve"> </w:t>
      </w:r>
      <w:r w:rsidR="00537586">
        <w:rPr>
          <w:lang w:val="en-US"/>
        </w:rPr>
        <w:t>This</w:t>
      </w:r>
      <w:r w:rsidR="002C0E04">
        <w:rPr>
          <w:lang w:val="en-US"/>
        </w:rPr>
        <w:t xml:space="preserve"> </w:t>
      </w:r>
      <w:r w:rsidR="00537586">
        <w:rPr>
          <w:lang w:val="en-US"/>
        </w:rPr>
        <w:t>avoids</w:t>
      </w:r>
      <w:r w:rsidR="00957ECE">
        <w:rPr>
          <w:lang w:val="en-US"/>
        </w:rPr>
        <w:t xml:space="preserve"> severe uneven</w:t>
      </w:r>
      <w:r w:rsidR="00537586">
        <w:rPr>
          <w:lang w:val="en-US"/>
        </w:rPr>
        <w:t xml:space="preserve"> impacts from any possible commonly used dataset.</w:t>
      </w:r>
    </w:p>
    <w:p w14:paraId="4C41C9F0" w14:textId="77777777" w:rsidR="003F1FF6" w:rsidRPr="009A215A" w:rsidRDefault="003F1FF6" w:rsidP="009A215A"/>
    <w:p w14:paraId="010C9A71" w14:textId="53EE0EEB" w:rsidR="003F1FF6" w:rsidRPr="00A11AEB" w:rsidRDefault="003F1FF6" w:rsidP="009A215A">
      <w:pPr>
        <w:pStyle w:val="ListParagraph"/>
        <w:numPr>
          <w:ilvl w:val="0"/>
          <w:numId w:val="11"/>
        </w:numPr>
      </w:pPr>
      <w:r w:rsidRPr="009A215A">
        <w:t>The Life Cycle I</w:t>
      </w:r>
      <w:proofErr w:type="spellStart"/>
      <w:r w:rsidR="00371338">
        <w:rPr>
          <w:lang w:val="en-US"/>
        </w:rPr>
        <w:t>mpact</w:t>
      </w:r>
      <w:proofErr w:type="spellEnd"/>
      <w:r w:rsidRPr="009A215A">
        <w:t xml:space="preserve"> Assessme</w:t>
      </w:r>
      <w:r w:rsidRPr="001F754A">
        <w:t>nt (LCIA)</w:t>
      </w:r>
      <w:r w:rsidRPr="009A215A">
        <w:t xml:space="preserve"> approach adopted in the original work </w:t>
      </w:r>
      <w:r w:rsidR="007627F4" w:rsidRPr="002C6827">
        <w:rPr>
          <w:lang w:val="en-US"/>
        </w:rPr>
        <w:t xml:space="preserve">is </w:t>
      </w:r>
      <w:r w:rsidRPr="009A215A">
        <w:t xml:space="preserve">changed to the </w:t>
      </w:r>
      <w:r w:rsidR="00FE30AC" w:rsidRPr="001F754A">
        <w:rPr>
          <w:lang w:val="en-US"/>
        </w:rPr>
        <w:t>International Reference Life Cycle Data System (</w:t>
      </w:r>
      <w:r w:rsidRPr="001F754A">
        <w:t>ILCD</w:t>
      </w:r>
      <w:r w:rsidR="00FE30AC" w:rsidRPr="001F754A">
        <w:rPr>
          <w:lang w:val="en-US"/>
        </w:rPr>
        <w:t>)</w:t>
      </w:r>
      <w:r w:rsidRPr="009A215A">
        <w:t xml:space="preserve"> 2.0 2018 midpoint </w:t>
      </w:r>
      <w:r w:rsidR="00957ECE">
        <w:rPr>
          <w:lang w:val="en-US"/>
        </w:rPr>
        <w:t>to be</w:t>
      </w:r>
      <w:r w:rsidRPr="009A215A">
        <w:t xml:space="preserve"> consisten</w:t>
      </w:r>
      <w:r w:rsidR="00957ECE">
        <w:rPr>
          <w:lang w:val="en-US"/>
        </w:rPr>
        <w:t>t</w:t>
      </w:r>
      <w:r w:rsidRPr="009A215A">
        <w:t xml:space="preserve"> </w:t>
      </w:r>
      <w:r w:rsidR="006C110A" w:rsidRPr="002C6827">
        <w:rPr>
          <w:lang w:val="en-US"/>
        </w:rPr>
        <w:t>with the</w:t>
      </w:r>
      <w:r w:rsidRPr="009A215A">
        <w:t xml:space="preserve"> LCIA method</w:t>
      </w:r>
      <w:r w:rsidR="006C110A" w:rsidRPr="002C6827">
        <w:rPr>
          <w:lang w:val="en-US"/>
        </w:rPr>
        <w:t xml:space="preserve"> </w:t>
      </w:r>
      <w:r w:rsidR="00957ECE">
        <w:rPr>
          <w:lang w:val="en-US"/>
        </w:rPr>
        <w:t>in</w:t>
      </w:r>
      <w:r w:rsidRPr="009A215A">
        <w:t xml:space="preserve"> the LCA of the new technology (more detail on this will come on later sections).</w:t>
      </w:r>
      <w:r w:rsidR="00FE30AC">
        <w:rPr>
          <w:lang w:val="en-US"/>
        </w:rPr>
        <w:t xml:space="preserve"> </w:t>
      </w:r>
      <w:r w:rsidR="00650A5D">
        <w:rPr>
          <w:lang w:val="en-US"/>
        </w:rPr>
        <w:t>The work in preparation of</w:t>
      </w:r>
      <w:r w:rsidR="005C33D6">
        <w:rPr>
          <w:lang w:val="en-US"/>
        </w:rPr>
        <w:t xml:space="preserve"> </w:t>
      </w:r>
      <w:proofErr w:type="spellStart"/>
      <w:r w:rsidR="005C33D6">
        <w:rPr>
          <w:lang w:val="en-US"/>
        </w:rPr>
        <w:t>Xicotencatl</w:t>
      </w:r>
      <w:proofErr w:type="spellEnd"/>
      <w:r w:rsidR="005C33D6">
        <w:rPr>
          <w:lang w:val="en-US"/>
        </w:rPr>
        <w:t xml:space="preserve"> </w:t>
      </w:r>
      <w:r w:rsidR="00650A5D">
        <w:rPr>
          <w:lang w:val="en-US"/>
        </w:rPr>
        <w:t xml:space="preserve">et al. (2021) </w:t>
      </w:r>
      <w:r w:rsidR="00F06896">
        <w:rPr>
          <w:lang w:val="en-US"/>
        </w:rPr>
        <w:t>alerts</w:t>
      </w:r>
      <w:r w:rsidR="00650A5D">
        <w:rPr>
          <w:lang w:val="en-US"/>
        </w:rPr>
        <w:t xml:space="preserve"> for this</w:t>
      </w:r>
      <w:r w:rsidR="001D2B5F">
        <w:rPr>
          <w:lang w:val="en-US"/>
        </w:rPr>
        <w:t xml:space="preserve"> need</w:t>
      </w:r>
      <w:r w:rsidR="00650A5D">
        <w:rPr>
          <w:lang w:val="en-US"/>
        </w:rPr>
        <w:t xml:space="preserve">. Furthermore, </w:t>
      </w:r>
      <w:r w:rsidR="00FE30AC" w:rsidRPr="007A1BA1">
        <w:rPr>
          <w:lang w:val="en-US"/>
        </w:rPr>
        <w:t xml:space="preserve">European Commission (2010) </w:t>
      </w:r>
      <w:r w:rsidR="002C6827" w:rsidRPr="007A1BA1">
        <w:t>suggests that the systems to be compared</w:t>
      </w:r>
      <w:r w:rsidR="007D2900">
        <w:rPr>
          <w:lang w:val="en-US"/>
        </w:rPr>
        <w:t>,</w:t>
      </w:r>
      <w:r w:rsidR="002C6827" w:rsidRPr="007A1BA1">
        <w:t xml:space="preserve"> </w:t>
      </w:r>
      <w:r w:rsidR="00F06896">
        <w:rPr>
          <w:lang w:val="en-US"/>
        </w:rPr>
        <w:t xml:space="preserve">besides </w:t>
      </w:r>
      <w:r w:rsidR="002C6827" w:rsidRPr="007A1BA1">
        <w:t>us</w:t>
      </w:r>
      <w:proofErr w:type="spellStart"/>
      <w:r w:rsidR="007D2900">
        <w:rPr>
          <w:lang w:val="en-US"/>
        </w:rPr>
        <w:t>ing</w:t>
      </w:r>
      <w:proofErr w:type="spellEnd"/>
      <w:r w:rsidR="002C6827" w:rsidRPr="007A1BA1">
        <w:t xml:space="preserve"> t</w:t>
      </w:r>
      <w:r w:rsidR="002C6827" w:rsidRPr="009A215A">
        <w:t xml:space="preserve">he same LCIA method </w:t>
      </w:r>
      <w:r w:rsidR="00F06896">
        <w:rPr>
          <w:lang w:val="en-US"/>
        </w:rPr>
        <w:t>they should r</w:t>
      </w:r>
      <w:r w:rsidR="002C6827" w:rsidRPr="009A215A">
        <w:t xml:space="preserve">eport </w:t>
      </w:r>
      <w:r w:rsidR="00F06896">
        <w:rPr>
          <w:lang w:val="en-US"/>
        </w:rPr>
        <w:t xml:space="preserve">on </w:t>
      </w:r>
      <w:r w:rsidR="002C6827" w:rsidRPr="009A215A">
        <w:t xml:space="preserve">similar impact categories. In this sense, some categories will be added compared to the original work, and others excluded. The environmental profile of the primary production will comprise the following impact categories: Climate change, (Stratospheric) Ozone depletion, Human toxicity (cancer effects and non-cancer </w:t>
      </w:r>
      <w:r w:rsidR="002C6827" w:rsidRPr="009A215A">
        <w:lastRenderedPageBreak/>
        <w:t xml:space="preserve">effects), (Ground-level) Photochemical ozone formation, Acidification (land and water), Eutrophication (land and water), and Ecotoxicity. </w:t>
      </w:r>
      <w:r w:rsidR="002C6827" w:rsidRPr="00A11AEB">
        <w:t xml:space="preserve">More detail about </w:t>
      </w:r>
      <w:r w:rsidR="002C6827" w:rsidRPr="00A11AEB">
        <w:rPr>
          <w:lang w:val="en-US"/>
        </w:rPr>
        <w:t>impact categories</w:t>
      </w:r>
      <w:r w:rsidR="002C6827" w:rsidRPr="00A11AEB">
        <w:t xml:space="preserve"> </w:t>
      </w:r>
      <w:r w:rsidR="001D2B5F">
        <w:rPr>
          <w:lang w:val="en-US"/>
        </w:rPr>
        <w:t xml:space="preserve">choice </w:t>
      </w:r>
      <w:r w:rsidR="002C6827" w:rsidRPr="00A11AEB">
        <w:t>will be discussed in later sections.</w:t>
      </w:r>
      <w:r w:rsidRPr="00A11AEB">
        <w:t xml:space="preserve"> </w:t>
      </w:r>
    </w:p>
    <w:p w14:paraId="3C29E983" w14:textId="77777777" w:rsidR="00361645" w:rsidRPr="009A215A" w:rsidRDefault="00361645" w:rsidP="00361645"/>
    <w:p w14:paraId="136D5FF7" w14:textId="4E585A2B" w:rsidR="003F1FF6" w:rsidRDefault="00361645" w:rsidP="009A215A">
      <w:r>
        <w:rPr>
          <w:lang w:val="en-US"/>
        </w:rPr>
        <w:t>The “new”</w:t>
      </w:r>
      <w:r w:rsidR="003F1FF6" w:rsidRPr="009A215A">
        <w:t xml:space="preserve"> environmental profile </w:t>
      </w:r>
      <w:r w:rsidR="002A56F3">
        <w:rPr>
          <w:lang w:val="en-US"/>
        </w:rPr>
        <w:t>for the</w:t>
      </w:r>
      <w:r w:rsidR="003F1FF6" w:rsidRPr="009A215A">
        <w:t xml:space="preserve"> </w:t>
      </w:r>
      <w:r w:rsidR="002A56F3">
        <w:rPr>
          <w:lang w:val="en-US"/>
        </w:rPr>
        <w:t xml:space="preserve">primary </w:t>
      </w:r>
      <w:r w:rsidR="003F1FF6" w:rsidRPr="009A215A">
        <w:t>REO</w:t>
      </w:r>
      <w:r w:rsidR="002A56F3">
        <w:rPr>
          <w:lang w:val="en-US"/>
        </w:rPr>
        <w:t xml:space="preserve"> </w:t>
      </w:r>
      <w:r w:rsidR="003F1FF6" w:rsidRPr="009A215A">
        <w:t>production in China</w:t>
      </w:r>
      <w:r w:rsidR="00F246EC">
        <w:rPr>
          <w:lang w:val="en-US"/>
        </w:rPr>
        <w:t>,</w:t>
      </w:r>
      <w:r w:rsidR="002A56F3">
        <w:rPr>
          <w:lang w:val="en-US"/>
        </w:rPr>
        <w:t xml:space="preserve"> after </w:t>
      </w:r>
      <w:proofErr w:type="spellStart"/>
      <w:r w:rsidR="002A56F3">
        <w:rPr>
          <w:lang w:val="en-US"/>
        </w:rPr>
        <w:t>i</w:t>
      </w:r>
      <w:proofErr w:type="spellEnd"/>
      <w:r w:rsidR="002A56F3" w:rsidRPr="009A215A">
        <w:t>mplementing</w:t>
      </w:r>
      <w:r w:rsidR="002A56F3">
        <w:rPr>
          <w:lang w:val="en-US"/>
        </w:rPr>
        <w:t xml:space="preserve"> changes </w:t>
      </w:r>
      <w:r w:rsidR="002A56F3" w:rsidRPr="009A215A">
        <w:t>i)</w:t>
      </w:r>
      <w:r w:rsidR="002A56F3">
        <w:rPr>
          <w:lang w:val="en-US"/>
        </w:rPr>
        <w:t>, ii)</w:t>
      </w:r>
      <w:r w:rsidR="002A56F3" w:rsidRPr="009A215A">
        <w:t xml:space="preserve"> and ii</w:t>
      </w:r>
      <w:proofErr w:type="spellStart"/>
      <w:r w:rsidR="002A56F3">
        <w:rPr>
          <w:lang w:val="en-US"/>
        </w:rPr>
        <w:t>i</w:t>
      </w:r>
      <w:proofErr w:type="spellEnd"/>
      <w:r w:rsidR="002A56F3" w:rsidRPr="009A215A">
        <w:t>)</w:t>
      </w:r>
      <w:r w:rsidR="002A56F3">
        <w:rPr>
          <w:lang w:val="en-US"/>
        </w:rPr>
        <w:t xml:space="preserve"> </w:t>
      </w:r>
      <w:r w:rsidR="003F1FF6" w:rsidRPr="009A215A">
        <w:t xml:space="preserve">is </w:t>
      </w:r>
      <w:r w:rsidR="004E76C8">
        <w:rPr>
          <w:lang w:val="en-US"/>
        </w:rPr>
        <w:t xml:space="preserve">shown </w:t>
      </w:r>
      <w:r w:rsidR="003F1FF6" w:rsidRPr="009A215A">
        <w:t xml:space="preserve">in </w:t>
      </w:r>
      <w:r w:rsidR="009E52BE">
        <w:fldChar w:fldCharType="begin"/>
      </w:r>
      <w:r w:rsidR="009E52BE">
        <w:instrText xml:space="preserve"> REF _Ref74763014 \h </w:instrText>
      </w:r>
      <w:r w:rsidR="009E52BE">
        <w:fldChar w:fldCharType="separate"/>
      </w:r>
      <w:r w:rsidR="00302397">
        <w:t xml:space="preserve">Table </w:t>
      </w:r>
      <w:r w:rsidR="00251ABB">
        <w:rPr>
          <w:lang w:val="en-US"/>
        </w:rPr>
        <w:t>3.</w:t>
      </w:r>
      <w:r w:rsidR="00251ABB">
        <w:rPr>
          <w:noProof/>
          <w:lang w:val="en-US"/>
        </w:rPr>
        <w:t>2</w:t>
      </w:r>
      <w:r w:rsidR="009E52BE">
        <w:fldChar w:fldCharType="end"/>
      </w:r>
    </w:p>
    <w:p w14:paraId="5CC0D2B6" w14:textId="77777777" w:rsidR="009E52BE" w:rsidRPr="009A215A" w:rsidRDefault="009E52BE" w:rsidP="009A215A"/>
    <w:p w14:paraId="445FA239" w14:textId="6955626F" w:rsidR="009E52BE" w:rsidRDefault="009E52BE" w:rsidP="009E52BE">
      <w:pPr>
        <w:pStyle w:val="Caption"/>
        <w:keepNext/>
      </w:pPr>
      <w:bookmarkStart w:id="48" w:name="_Ref74763014"/>
      <w:bookmarkStart w:id="49" w:name="_Toc76730034"/>
      <w:r>
        <w:t xml:space="preserve">Table </w:t>
      </w:r>
      <w:r w:rsidR="00251ABB">
        <w:rPr>
          <w:lang w:val="en-US"/>
        </w:rPr>
        <w:t>3</w:t>
      </w:r>
      <w:r w:rsidR="00C50A78">
        <w:t>.</w:t>
      </w:r>
      <w:bookmarkEnd w:id="48"/>
      <w:r w:rsidR="00251ABB">
        <w:rPr>
          <w:lang w:val="en-US"/>
        </w:rPr>
        <w:t>2</w:t>
      </w:r>
      <w:r>
        <w:rPr>
          <w:lang w:val="en-US"/>
        </w:rPr>
        <w:t xml:space="preserve"> </w:t>
      </w:r>
      <w:r w:rsidRPr="00B95116">
        <w:rPr>
          <w:lang w:val="en-US"/>
        </w:rPr>
        <w:t>Environmental profile of the primary production product system. FU: 1kg of primary Nd oxide in China. Adapted from Sprecher et al. (2014).</w:t>
      </w:r>
      <w:bookmarkEnd w:id="49"/>
    </w:p>
    <w:tbl>
      <w:tblPr>
        <w:tblStyle w:val="TableGrid"/>
        <w:tblW w:w="5000" w:type="pct"/>
        <w:tblCellMar>
          <w:left w:w="28" w:type="dxa"/>
          <w:right w:w="28" w:type="dxa"/>
        </w:tblCellMar>
        <w:tblLook w:val="04A0" w:firstRow="1" w:lastRow="0" w:firstColumn="1" w:lastColumn="0" w:noHBand="0" w:noVBand="1"/>
      </w:tblPr>
      <w:tblGrid>
        <w:gridCol w:w="5686"/>
        <w:gridCol w:w="3374"/>
      </w:tblGrid>
      <w:tr w:rsidR="005E304B" w14:paraId="5AEB601D" w14:textId="77777777" w:rsidTr="008E5B48">
        <w:tc>
          <w:tcPr>
            <w:tcW w:w="3138" w:type="pct"/>
          </w:tcPr>
          <w:p w14:paraId="5461BF04" w14:textId="4664523D" w:rsidR="00960181" w:rsidRPr="00D65F37" w:rsidRDefault="00960181" w:rsidP="009A215A">
            <w:pPr>
              <w:rPr>
                <w:b/>
                <w:bCs/>
                <w:lang w:val="en-US"/>
              </w:rPr>
            </w:pPr>
            <w:r w:rsidRPr="00D65F37">
              <w:rPr>
                <w:b/>
                <w:bCs/>
                <w:lang w:val="en-US"/>
              </w:rPr>
              <w:t>Impact category</w:t>
            </w:r>
          </w:p>
        </w:tc>
        <w:tc>
          <w:tcPr>
            <w:tcW w:w="1862" w:type="pct"/>
          </w:tcPr>
          <w:p w14:paraId="44E9DDB6" w14:textId="232A2508" w:rsidR="00960181" w:rsidRPr="00D65F37" w:rsidRDefault="00960181" w:rsidP="009A215A">
            <w:pPr>
              <w:rPr>
                <w:b/>
                <w:bCs/>
                <w:lang w:val="en-US"/>
              </w:rPr>
            </w:pPr>
            <w:r w:rsidRPr="00D65F37">
              <w:rPr>
                <w:b/>
                <w:bCs/>
                <w:lang w:val="en-US"/>
              </w:rPr>
              <w:t>Value</w:t>
            </w:r>
          </w:p>
        </w:tc>
      </w:tr>
      <w:tr w:rsidR="005E304B" w14:paraId="7F87B875" w14:textId="77777777" w:rsidTr="008E5B48">
        <w:tc>
          <w:tcPr>
            <w:tcW w:w="3138" w:type="pct"/>
          </w:tcPr>
          <w:p w14:paraId="12D31FF0" w14:textId="137446D8" w:rsidR="00960181" w:rsidRPr="005E304B" w:rsidRDefault="00960181" w:rsidP="009A215A">
            <w:pPr>
              <w:rPr>
                <w:i/>
                <w:iCs/>
                <w:lang w:val="en-US"/>
              </w:rPr>
            </w:pPr>
            <w:r w:rsidRPr="005E304B">
              <w:rPr>
                <w:i/>
                <w:iCs/>
                <w:lang w:val="en-US"/>
              </w:rPr>
              <w:t>Indicator results</w:t>
            </w:r>
          </w:p>
        </w:tc>
        <w:tc>
          <w:tcPr>
            <w:tcW w:w="1862" w:type="pct"/>
          </w:tcPr>
          <w:p w14:paraId="487D0723" w14:textId="77777777" w:rsidR="00960181" w:rsidRDefault="00960181" w:rsidP="009A215A"/>
        </w:tc>
      </w:tr>
      <w:tr w:rsidR="005E304B" w14:paraId="59D2A5D1" w14:textId="77777777" w:rsidTr="008E5B48">
        <w:tc>
          <w:tcPr>
            <w:tcW w:w="3138" w:type="pct"/>
          </w:tcPr>
          <w:p w14:paraId="14BC4C2E" w14:textId="738C90B7" w:rsidR="00960181" w:rsidRPr="00960181" w:rsidRDefault="00960181" w:rsidP="009A215A">
            <w:pPr>
              <w:rPr>
                <w:lang w:val="en-US"/>
              </w:rPr>
            </w:pPr>
            <w:r>
              <w:rPr>
                <w:lang w:val="en-US"/>
              </w:rPr>
              <w:t>Climate change</w:t>
            </w:r>
          </w:p>
        </w:tc>
        <w:tc>
          <w:tcPr>
            <w:tcW w:w="1862" w:type="pct"/>
          </w:tcPr>
          <w:p w14:paraId="16C334F0" w14:textId="2E4BB351" w:rsidR="00960181" w:rsidRPr="00960181" w:rsidRDefault="00960181" w:rsidP="009A215A">
            <w:pPr>
              <w:rPr>
                <w:lang w:val="en-US"/>
              </w:rPr>
            </w:pPr>
            <w:r>
              <w:rPr>
                <w:lang w:val="en-US"/>
              </w:rPr>
              <w:t>3,42E+01 kg CO</w:t>
            </w:r>
            <w:r w:rsidRPr="00960181">
              <w:rPr>
                <w:lang w:val="en-US"/>
              </w:rPr>
              <w:t>2</w:t>
            </w:r>
            <w:r>
              <w:rPr>
                <w:vertAlign w:val="subscript"/>
                <w:lang w:val="en-US"/>
              </w:rPr>
              <w:t xml:space="preserve"> </w:t>
            </w:r>
            <w:r w:rsidRPr="00960181">
              <w:rPr>
                <w:lang w:val="en-US"/>
              </w:rPr>
              <w:t>eq</w:t>
            </w:r>
          </w:p>
        </w:tc>
      </w:tr>
      <w:tr w:rsidR="005E304B" w14:paraId="1FF9A394" w14:textId="77777777" w:rsidTr="008E5B48">
        <w:tc>
          <w:tcPr>
            <w:tcW w:w="3138" w:type="pct"/>
          </w:tcPr>
          <w:p w14:paraId="01301979" w14:textId="17AD9A97" w:rsidR="00960181" w:rsidRPr="00960181" w:rsidRDefault="00960181" w:rsidP="009A215A">
            <w:pPr>
              <w:rPr>
                <w:lang w:val="en-US"/>
              </w:rPr>
            </w:pPr>
            <w:r>
              <w:rPr>
                <w:lang w:val="en-US"/>
              </w:rPr>
              <w:t>Freshwater and terrestrial acidification</w:t>
            </w:r>
          </w:p>
        </w:tc>
        <w:tc>
          <w:tcPr>
            <w:tcW w:w="1862" w:type="pct"/>
          </w:tcPr>
          <w:p w14:paraId="2D4DE291" w14:textId="5C519F28" w:rsidR="00960181" w:rsidRPr="00960181" w:rsidRDefault="00960181" w:rsidP="009A215A">
            <w:pPr>
              <w:rPr>
                <w:lang w:val="en-US"/>
              </w:rPr>
            </w:pPr>
            <w:r>
              <w:rPr>
                <w:lang w:val="en-US"/>
              </w:rPr>
              <w:t>4,87E-01 mol H+ eq</w:t>
            </w:r>
          </w:p>
        </w:tc>
      </w:tr>
      <w:tr w:rsidR="005E304B" w14:paraId="4AE384D4" w14:textId="77777777" w:rsidTr="008E5B48">
        <w:tc>
          <w:tcPr>
            <w:tcW w:w="3138" w:type="pct"/>
          </w:tcPr>
          <w:p w14:paraId="47052E02" w14:textId="35B52337" w:rsidR="00960181" w:rsidRPr="00960181" w:rsidRDefault="00960181" w:rsidP="009A215A">
            <w:pPr>
              <w:rPr>
                <w:lang w:val="en-US"/>
              </w:rPr>
            </w:pPr>
            <w:r>
              <w:rPr>
                <w:lang w:val="en-US"/>
              </w:rPr>
              <w:t>Freshwater ecotoxicity</w:t>
            </w:r>
          </w:p>
        </w:tc>
        <w:tc>
          <w:tcPr>
            <w:tcW w:w="1862" w:type="pct"/>
          </w:tcPr>
          <w:p w14:paraId="2CC2DEA1" w14:textId="48C718DC" w:rsidR="00960181" w:rsidRPr="00960181" w:rsidRDefault="00960181" w:rsidP="009A215A">
            <w:pPr>
              <w:rPr>
                <w:lang w:val="en-US"/>
              </w:rPr>
            </w:pPr>
            <w:r>
              <w:rPr>
                <w:lang w:val="en-US"/>
              </w:rPr>
              <w:t>2,37E+01 CTU</w:t>
            </w:r>
          </w:p>
        </w:tc>
      </w:tr>
      <w:tr w:rsidR="005E304B" w14:paraId="7CB602D2" w14:textId="77777777" w:rsidTr="008E5B48">
        <w:tc>
          <w:tcPr>
            <w:tcW w:w="3138" w:type="pct"/>
          </w:tcPr>
          <w:p w14:paraId="156B97A7" w14:textId="20ACF629" w:rsidR="00960181" w:rsidRPr="00960181" w:rsidRDefault="00960181" w:rsidP="009A215A">
            <w:pPr>
              <w:rPr>
                <w:lang w:val="en-US"/>
              </w:rPr>
            </w:pPr>
            <w:r>
              <w:rPr>
                <w:lang w:val="en-US"/>
              </w:rPr>
              <w:t>Freshwater eutrophication</w:t>
            </w:r>
          </w:p>
        </w:tc>
        <w:tc>
          <w:tcPr>
            <w:tcW w:w="1862" w:type="pct"/>
          </w:tcPr>
          <w:p w14:paraId="5BA5A4F4" w14:textId="37F8842D" w:rsidR="00960181" w:rsidRPr="00960181" w:rsidRDefault="00960181" w:rsidP="009A215A">
            <w:pPr>
              <w:rPr>
                <w:lang w:val="en-US"/>
              </w:rPr>
            </w:pPr>
            <w:r>
              <w:rPr>
                <w:lang w:val="en-US"/>
              </w:rPr>
              <w:t>5,44E-03 kg P eq</w:t>
            </w:r>
          </w:p>
        </w:tc>
      </w:tr>
      <w:tr w:rsidR="005E304B" w14:paraId="373677D7" w14:textId="77777777" w:rsidTr="008E5B48">
        <w:tc>
          <w:tcPr>
            <w:tcW w:w="3138" w:type="pct"/>
          </w:tcPr>
          <w:p w14:paraId="6D973EDA" w14:textId="24C3E39C" w:rsidR="00960181" w:rsidRPr="00960181" w:rsidRDefault="00960181" w:rsidP="009A215A">
            <w:pPr>
              <w:rPr>
                <w:lang w:val="en-US"/>
              </w:rPr>
            </w:pPr>
            <w:r>
              <w:rPr>
                <w:lang w:val="en-US"/>
              </w:rPr>
              <w:t>Marine eutrophication</w:t>
            </w:r>
          </w:p>
        </w:tc>
        <w:tc>
          <w:tcPr>
            <w:tcW w:w="1862" w:type="pct"/>
          </w:tcPr>
          <w:p w14:paraId="5E53281B" w14:textId="18D4DEEC" w:rsidR="00960181" w:rsidRPr="00960181" w:rsidRDefault="00960181" w:rsidP="009A215A">
            <w:pPr>
              <w:rPr>
                <w:lang w:val="en-US"/>
              </w:rPr>
            </w:pPr>
            <w:r>
              <w:rPr>
                <w:lang w:val="en-US"/>
              </w:rPr>
              <w:t>1,16E-01 kg N eq</w:t>
            </w:r>
          </w:p>
        </w:tc>
      </w:tr>
      <w:tr w:rsidR="005E304B" w14:paraId="5843AB6B" w14:textId="77777777" w:rsidTr="008E5B48">
        <w:tc>
          <w:tcPr>
            <w:tcW w:w="3138" w:type="pct"/>
          </w:tcPr>
          <w:p w14:paraId="3FA03963" w14:textId="04615A97" w:rsidR="00960181" w:rsidRPr="00960181" w:rsidRDefault="00960181" w:rsidP="009A215A">
            <w:pPr>
              <w:rPr>
                <w:lang w:val="en-US"/>
              </w:rPr>
            </w:pPr>
            <w:r>
              <w:rPr>
                <w:lang w:val="en-US"/>
              </w:rPr>
              <w:t>Terrestrial eutrophication</w:t>
            </w:r>
          </w:p>
        </w:tc>
        <w:tc>
          <w:tcPr>
            <w:tcW w:w="1862" w:type="pct"/>
          </w:tcPr>
          <w:p w14:paraId="00C67358" w14:textId="524DDFEB" w:rsidR="00960181" w:rsidRPr="00960181" w:rsidRDefault="00960181" w:rsidP="009A215A">
            <w:pPr>
              <w:rPr>
                <w:lang w:val="en-US"/>
              </w:rPr>
            </w:pPr>
            <w:r>
              <w:rPr>
                <w:lang w:val="en-US"/>
              </w:rPr>
              <w:t>1,32E+00 mol N eq</w:t>
            </w:r>
          </w:p>
        </w:tc>
      </w:tr>
      <w:tr w:rsidR="005E304B" w14:paraId="6D367EAC" w14:textId="77777777" w:rsidTr="008E5B48">
        <w:tc>
          <w:tcPr>
            <w:tcW w:w="3138" w:type="pct"/>
          </w:tcPr>
          <w:p w14:paraId="37140768" w14:textId="5528239C" w:rsidR="00960181" w:rsidRPr="00960181" w:rsidRDefault="00960181" w:rsidP="009A215A">
            <w:pPr>
              <w:rPr>
                <w:lang w:val="en-US"/>
              </w:rPr>
            </w:pPr>
            <w:r>
              <w:rPr>
                <w:lang w:val="en-US"/>
              </w:rPr>
              <w:t>Human health carcinogenic effects</w:t>
            </w:r>
          </w:p>
        </w:tc>
        <w:tc>
          <w:tcPr>
            <w:tcW w:w="1862" w:type="pct"/>
          </w:tcPr>
          <w:p w14:paraId="166CF66D" w14:textId="1B706862" w:rsidR="00960181" w:rsidRPr="00960181" w:rsidRDefault="00960181" w:rsidP="009A215A">
            <w:pPr>
              <w:rPr>
                <w:lang w:val="en-US"/>
              </w:rPr>
            </w:pPr>
            <w:r>
              <w:rPr>
                <w:lang w:val="en-US"/>
              </w:rPr>
              <w:t xml:space="preserve">3,21E-07 </w:t>
            </w:r>
            <w:proofErr w:type="spellStart"/>
            <w:r>
              <w:rPr>
                <w:lang w:val="en-US"/>
              </w:rPr>
              <w:t>CTUh</w:t>
            </w:r>
            <w:proofErr w:type="spellEnd"/>
          </w:p>
        </w:tc>
      </w:tr>
      <w:tr w:rsidR="005E304B" w14:paraId="6056A6B6" w14:textId="77777777" w:rsidTr="008E5B48">
        <w:tc>
          <w:tcPr>
            <w:tcW w:w="3138" w:type="pct"/>
          </w:tcPr>
          <w:p w14:paraId="5EA68CD6" w14:textId="0446893B" w:rsidR="00960181" w:rsidRDefault="00960181" w:rsidP="009A215A">
            <w:r>
              <w:rPr>
                <w:lang w:val="en-US"/>
              </w:rPr>
              <w:t>Human health non-carcinogenic effects</w:t>
            </w:r>
          </w:p>
        </w:tc>
        <w:tc>
          <w:tcPr>
            <w:tcW w:w="1862" w:type="pct"/>
          </w:tcPr>
          <w:p w14:paraId="3675CD6D" w14:textId="3B0D92D3" w:rsidR="00960181" w:rsidRPr="00960181" w:rsidRDefault="00960181" w:rsidP="009A215A">
            <w:pPr>
              <w:rPr>
                <w:lang w:val="en-US"/>
              </w:rPr>
            </w:pPr>
            <w:r>
              <w:rPr>
                <w:lang w:val="en-US"/>
              </w:rPr>
              <w:t xml:space="preserve">2,83E-06 </w:t>
            </w:r>
            <w:proofErr w:type="spellStart"/>
            <w:r>
              <w:rPr>
                <w:lang w:val="en-US"/>
              </w:rPr>
              <w:t>CTUh</w:t>
            </w:r>
            <w:proofErr w:type="spellEnd"/>
          </w:p>
        </w:tc>
      </w:tr>
      <w:tr w:rsidR="005E304B" w14:paraId="33EAD146" w14:textId="77777777" w:rsidTr="008E5B48">
        <w:tc>
          <w:tcPr>
            <w:tcW w:w="3138" w:type="pct"/>
          </w:tcPr>
          <w:p w14:paraId="77468555" w14:textId="3D8E345F" w:rsidR="00960181" w:rsidRPr="00960181" w:rsidRDefault="00960181" w:rsidP="009A215A">
            <w:pPr>
              <w:rPr>
                <w:lang w:val="en-US"/>
              </w:rPr>
            </w:pPr>
            <w:r>
              <w:rPr>
                <w:lang w:val="en-US"/>
              </w:rPr>
              <w:t>Ozone layer depletion</w:t>
            </w:r>
          </w:p>
        </w:tc>
        <w:tc>
          <w:tcPr>
            <w:tcW w:w="1862" w:type="pct"/>
          </w:tcPr>
          <w:p w14:paraId="6775F953" w14:textId="23CF7592" w:rsidR="00960181" w:rsidRPr="00960181" w:rsidRDefault="00960181" w:rsidP="009A215A">
            <w:pPr>
              <w:rPr>
                <w:lang w:val="en-US"/>
              </w:rPr>
            </w:pPr>
            <w:r>
              <w:rPr>
                <w:lang w:val="en-US"/>
              </w:rPr>
              <w:t>9,33E-06 kg CFC</w:t>
            </w:r>
            <w:r w:rsidR="005E304B">
              <w:rPr>
                <w:lang w:val="en-US"/>
              </w:rPr>
              <w:t>-11</w:t>
            </w:r>
          </w:p>
        </w:tc>
      </w:tr>
      <w:tr w:rsidR="005E304B" w14:paraId="370FD809" w14:textId="77777777" w:rsidTr="008E5B48">
        <w:tc>
          <w:tcPr>
            <w:tcW w:w="3138" w:type="pct"/>
          </w:tcPr>
          <w:p w14:paraId="526B4864" w14:textId="0800AC99" w:rsidR="00960181" w:rsidRPr="00960181" w:rsidRDefault="00960181" w:rsidP="009A215A">
            <w:pPr>
              <w:rPr>
                <w:lang w:val="en-US"/>
              </w:rPr>
            </w:pPr>
            <w:r>
              <w:rPr>
                <w:lang w:val="en-US"/>
              </w:rPr>
              <w:t>Photochemical ozone creation</w:t>
            </w:r>
          </w:p>
        </w:tc>
        <w:tc>
          <w:tcPr>
            <w:tcW w:w="1862" w:type="pct"/>
          </w:tcPr>
          <w:p w14:paraId="78C4F59F" w14:textId="46AE685A" w:rsidR="00960181" w:rsidRPr="00960181" w:rsidRDefault="00960181" w:rsidP="009A215A">
            <w:pPr>
              <w:rPr>
                <w:lang w:val="en-US"/>
              </w:rPr>
            </w:pPr>
            <w:r>
              <w:rPr>
                <w:lang w:val="en-US"/>
              </w:rPr>
              <w:t>3,46E-01</w:t>
            </w:r>
            <w:r w:rsidR="005E304B">
              <w:rPr>
                <w:lang w:val="en-US"/>
              </w:rPr>
              <w:t xml:space="preserve"> kg NMVOC-</w:t>
            </w:r>
          </w:p>
        </w:tc>
      </w:tr>
    </w:tbl>
    <w:p w14:paraId="66073F60" w14:textId="77777777" w:rsidR="003F1FF6" w:rsidRPr="009A215A" w:rsidRDefault="003F1FF6" w:rsidP="009A215A"/>
    <w:p w14:paraId="3F172C01" w14:textId="2EF58580" w:rsidR="003F1FF6" w:rsidRPr="009A215A" w:rsidRDefault="003F1FF6" w:rsidP="009A215A">
      <w:r w:rsidRPr="009A215A">
        <w:t>Later</w:t>
      </w:r>
      <w:r w:rsidR="002A56F3">
        <w:rPr>
          <w:lang w:val="en-US"/>
        </w:rPr>
        <w:t xml:space="preserve">, </w:t>
      </w:r>
      <w:r w:rsidRPr="009A215A">
        <w:t>these category indicator results will be compared with the corresponding results for the new</w:t>
      </w:r>
      <w:r w:rsidR="00EE09AF">
        <w:rPr>
          <w:lang w:val="en-US"/>
        </w:rPr>
        <w:t xml:space="preserve"> upscaled</w:t>
      </w:r>
      <w:r w:rsidRPr="009A215A">
        <w:t xml:space="preserve"> technology.</w:t>
      </w:r>
    </w:p>
    <w:p w14:paraId="712EA73C" w14:textId="124E43A3" w:rsidR="003152D5" w:rsidRPr="005E5299" w:rsidRDefault="003152D5" w:rsidP="009A215A">
      <w:pPr>
        <w:rPr>
          <w:lang w:val="en-US"/>
        </w:rPr>
      </w:pPr>
    </w:p>
    <w:p w14:paraId="25D28D81" w14:textId="4D6C0D49" w:rsidR="003152D5" w:rsidRPr="009A215A" w:rsidRDefault="00AA40F7" w:rsidP="009076A0">
      <w:pPr>
        <w:pStyle w:val="Heading3"/>
      </w:pPr>
      <w:bookmarkStart w:id="50" w:name="_Toc76752271"/>
      <w:r>
        <w:t>R</w:t>
      </w:r>
      <w:r w:rsidR="00945E0D">
        <w:t xml:space="preserve">ecycling </w:t>
      </w:r>
      <w:r w:rsidR="00D21478">
        <w:t>route</w:t>
      </w:r>
      <w:bookmarkEnd w:id="50"/>
      <w:r w:rsidR="003C7720">
        <w:t xml:space="preserve"> </w:t>
      </w:r>
    </w:p>
    <w:p w14:paraId="198B4623" w14:textId="77777777" w:rsidR="003152D5" w:rsidRPr="009A215A" w:rsidRDefault="003152D5" w:rsidP="009A215A"/>
    <w:p w14:paraId="0F0E7001" w14:textId="1159C944" w:rsidR="003152D5" w:rsidRPr="009A215A" w:rsidRDefault="003152D5" w:rsidP="001D72BB">
      <w:pPr>
        <w:pStyle w:val="Heading4"/>
      </w:pPr>
      <w:bookmarkStart w:id="51" w:name="_Toc76752272"/>
      <w:r w:rsidRPr="009A215A">
        <w:t>Goal definition</w:t>
      </w:r>
      <w:bookmarkEnd w:id="51"/>
    </w:p>
    <w:p w14:paraId="037E9FE6" w14:textId="77777777" w:rsidR="008540CB" w:rsidRDefault="008540CB" w:rsidP="009A215A"/>
    <w:p w14:paraId="5AE623A0" w14:textId="523A7011" w:rsidR="003152D5" w:rsidRPr="0009473A" w:rsidRDefault="008540CB" w:rsidP="009A215A">
      <w:pPr>
        <w:rPr>
          <w:lang w:val="en-US"/>
        </w:rPr>
      </w:pPr>
      <w:r w:rsidRPr="008540CB">
        <w:t>This ex-ante analysis aims to determine the probable environmental impacts of the projected industrial-scale plant for comparison with incumbent technology's impacts.</w:t>
      </w:r>
      <w:r w:rsidR="005B2350">
        <w:rPr>
          <w:lang w:val="en-US"/>
        </w:rPr>
        <w:t xml:space="preserve"> </w:t>
      </w:r>
      <w:r w:rsidRPr="008540CB">
        <w:t xml:space="preserve">Ultimately, the </w:t>
      </w:r>
      <w:r w:rsidRPr="008540CB">
        <w:lastRenderedPageBreak/>
        <w:t>analysis aims to determine the recycling route's environmental hot spots, so a more environmentally benign route can be designed. This study's intended audience is the stakeholders involved in the VALOMAG project and the scientific community in general.</w:t>
      </w:r>
      <w:r w:rsidR="0009473A">
        <w:rPr>
          <w:lang w:val="en-US"/>
        </w:rPr>
        <w:t xml:space="preserve"> </w:t>
      </w:r>
    </w:p>
    <w:p w14:paraId="49F19D9F" w14:textId="77777777" w:rsidR="003152D5" w:rsidRPr="009A215A" w:rsidRDefault="003152D5" w:rsidP="009A215A"/>
    <w:p w14:paraId="5538B733" w14:textId="6C69E86B" w:rsidR="003152D5" w:rsidRPr="009A215A" w:rsidRDefault="003152D5" w:rsidP="001D72BB">
      <w:pPr>
        <w:pStyle w:val="Heading4"/>
      </w:pPr>
      <w:bookmarkStart w:id="52" w:name="_Toc76752273"/>
      <w:r w:rsidRPr="009A215A">
        <w:t>Scope</w:t>
      </w:r>
      <w:r w:rsidR="00631F2F">
        <w:t>, function, and functional unit</w:t>
      </w:r>
      <w:r w:rsidRPr="009A215A">
        <w:t xml:space="preserve"> definition</w:t>
      </w:r>
      <w:bookmarkEnd w:id="52"/>
    </w:p>
    <w:p w14:paraId="7BD90294" w14:textId="77777777" w:rsidR="003152D5" w:rsidRPr="00631F2F" w:rsidRDefault="003152D5" w:rsidP="009A215A">
      <w:pPr>
        <w:rPr>
          <w:lang w:val="en-US"/>
        </w:rPr>
      </w:pPr>
    </w:p>
    <w:p w14:paraId="1F092E7A" w14:textId="593D3051" w:rsidR="00B43D6E" w:rsidRDefault="008540CB" w:rsidP="009A215A">
      <w:r w:rsidRPr="008540CB">
        <w:t xml:space="preserve">The projected scaled-up plant </w:t>
      </w:r>
      <w:r w:rsidR="00F21730">
        <w:rPr>
          <w:lang w:val="en-US"/>
        </w:rPr>
        <w:t>is</w:t>
      </w:r>
      <w:r w:rsidRPr="008540CB">
        <w:t xml:space="preserve"> t</w:t>
      </w:r>
      <w:proofErr w:type="spellStart"/>
      <w:r w:rsidR="00A75D9F">
        <w:rPr>
          <w:lang w:val="en-US"/>
        </w:rPr>
        <w:t>hou</w:t>
      </w:r>
      <w:proofErr w:type="spellEnd"/>
      <w:r w:rsidRPr="008540CB">
        <w:t>ght as a plausible way to enlarge and implement the technology to meet the expected demand in 2030 and onwards. The detailed coverage for each unit process is envisaged as complete and straightforward as possible, accounting for technosphere and environmental flows that are estimated based on extrapolations of the pilot-scale experiments for the pretreatment phase and literature and expert consultation for the rest of the phases. Therefore, the industrial-scale product system is a hybrid, made up of upscaled empirical data and theoretical data from the literature.</w:t>
      </w:r>
    </w:p>
    <w:p w14:paraId="520DB1C3" w14:textId="77777777" w:rsidR="008540CB" w:rsidRDefault="008540CB" w:rsidP="009A215A"/>
    <w:p w14:paraId="13020E72" w14:textId="33F67520" w:rsidR="00F965AB" w:rsidRDefault="008540CB" w:rsidP="008540CB">
      <w:pPr>
        <w:rPr>
          <w:lang w:val="en-US"/>
        </w:rPr>
      </w:pPr>
      <w:r w:rsidRPr="008540CB">
        <w:rPr>
          <w:lang w:val="en-US"/>
        </w:rPr>
        <w:t>This work adopt</w:t>
      </w:r>
      <w:r w:rsidR="00F21730">
        <w:rPr>
          <w:lang w:val="en-US"/>
        </w:rPr>
        <w:t>s</w:t>
      </w:r>
      <w:r w:rsidRPr="008540CB">
        <w:rPr>
          <w:lang w:val="en-US"/>
        </w:rPr>
        <w:t xml:space="preserve"> the </w:t>
      </w:r>
      <w:r w:rsidRPr="00371338">
        <w:rPr>
          <w:lang w:val="en-US"/>
        </w:rPr>
        <w:t>ILCD</w:t>
      </w:r>
      <w:r w:rsidRPr="008540CB">
        <w:rPr>
          <w:lang w:val="en-US"/>
        </w:rPr>
        <w:t xml:space="preserve"> </w:t>
      </w:r>
      <w:r w:rsidRPr="00371338">
        <w:rPr>
          <w:lang w:val="en-US"/>
        </w:rPr>
        <w:t>LCIA</w:t>
      </w:r>
      <w:r w:rsidR="00371338">
        <w:rPr>
          <w:lang w:val="en-US"/>
        </w:rPr>
        <w:t xml:space="preserve"> </w:t>
      </w:r>
      <w:r w:rsidRPr="008540CB">
        <w:rPr>
          <w:lang w:val="en-US"/>
        </w:rPr>
        <w:t>approach, particularly the ILCD 2.0 2018 at midpoint</w:t>
      </w:r>
      <w:r w:rsidR="00F965AB">
        <w:rPr>
          <w:lang w:val="en-US"/>
        </w:rPr>
        <w:t xml:space="preserve"> and t</w:t>
      </w:r>
      <w:r w:rsidRPr="008540CB">
        <w:rPr>
          <w:lang w:val="en-US"/>
        </w:rPr>
        <w:t>he set of impact categories to be covered</w:t>
      </w:r>
      <w:r w:rsidR="00D959C7">
        <w:rPr>
          <w:lang w:val="en-US"/>
        </w:rPr>
        <w:t xml:space="preserve"> </w:t>
      </w:r>
      <w:r w:rsidRPr="008540CB">
        <w:rPr>
          <w:lang w:val="en-US"/>
        </w:rPr>
        <w:t>are Climate change, (Stratospheric) Ozone depletion, Human toxicity (cancer effects and non-cancer effects), (Ground-level) Photochemical ozone formation, Acidification (land and water), Eutrophication (land and water), and Ecotoxicity.</w:t>
      </w:r>
      <w:r w:rsidR="00E809E2">
        <w:rPr>
          <w:lang w:val="en-US"/>
        </w:rPr>
        <w:t xml:space="preserve"> A </w:t>
      </w:r>
      <w:r w:rsidR="00A4374F" w:rsidRPr="008540CB">
        <w:rPr>
          <w:lang w:val="en-US"/>
        </w:rPr>
        <w:t>discussion around the chosen LCIA method</w:t>
      </w:r>
      <w:r w:rsidR="00A4374F">
        <w:rPr>
          <w:lang w:val="en-US"/>
        </w:rPr>
        <w:t xml:space="preserve"> and </w:t>
      </w:r>
      <w:r w:rsidR="00A4374F" w:rsidRPr="008540CB">
        <w:rPr>
          <w:lang w:val="en-US"/>
        </w:rPr>
        <w:t>impact categories</w:t>
      </w:r>
      <w:r w:rsidR="00A4374F">
        <w:rPr>
          <w:lang w:val="en-US"/>
        </w:rPr>
        <w:t xml:space="preserve"> </w:t>
      </w:r>
      <w:r w:rsidR="00A4374F" w:rsidRPr="008540CB">
        <w:rPr>
          <w:lang w:val="en-US"/>
        </w:rPr>
        <w:t xml:space="preserve">will follow </w:t>
      </w:r>
      <w:r w:rsidR="00A4374F" w:rsidRPr="00633EF7">
        <w:rPr>
          <w:lang w:val="en-US"/>
        </w:rPr>
        <w:t xml:space="preserve">in section </w:t>
      </w:r>
      <w:r w:rsidR="00884F7F">
        <w:rPr>
          <w:lang w:val="en-US"/>
        </w:rPr>
        <w:t>3.2.3.4.1</w:t>
      </w:r>
      <w:r w:rsidR="008936DE">
        <w:rPr>
          <w:lang w:val="en-US"/>
        </w:rPr>
        <w:t>.</w:t>
      </w:r>
      <w:r w:rsidR="00A4374F">
        <w:rPr>
          <w:lang w:val="en-US"/>
        </w:rPr>
        <w:t xml:space="preserve"> </w:t>
      </w:r>
    </w:p>
    <w:p w14:paraId="46BFDEAD" w14:textId="77777777" w:rsidR="00F965AB" w:rsidRDefault="00F965AB" w:rsidP="008540CB">
      <w:pPr>
        <w:rPr>
          <w:lang w:val="en-US"/>
        </w:rPr>
      </w:pPr>
    </w:p>
    <w:p w14:paraId="20844EE5" w14:textId="418B8D5E" w:rsidR="00C621AA" w:rsidRDefault="00F965AB" w:rsidP="008540CB">
      <w:pPr>
        <w:rPr>
          <w:lang w:val="en-US"/>
        </w:rPr>
      </w:pPr>
      <w:r>
        <w:rPr>
          <w:lang w:val="en-US"/>
        </w:rPr>
        <w:t>N</w:t>
      </w:r>
      <w:r w:rsidR="008540CB" w:rsidRPr="008540CB">
        <w:rPr>
          <w:lang w:val="en-US"/>
        </w:rPr>
        <w:t>ormaliz</w:t>
      </w:r>
      <w:r w:rsidR="00A4374F">
        <w:rPr>
          <w:lang w:val="en-US"/>
        </w:rPr>
        <w:t>ation</w:t>
      </w:r>
      <w:r w:rsidR="008540CB" w:rsidRPr="008540CB">
        <w:rPr>
          <w:lang w:val="en-US"/>
        </w:rPr>
        <w:t xml:space="preserve"> </w:t>
      </w:r>
      <w:r w:rsidR="00C06747">
        <w:rPr>
          <w:lang w:val="en-US"/>
        </w:rPr>
        <w:t xml:space="preserve">is </w:t>
      </w:r>
      <w:r>
        <w:rPr>
          <w:lang w:val="en-US"/>
        </w:rPr>
        <w:t xml:space="preserve">applied </w:t>
      </w:r>
      <w:r w:rsidR="008540CB" w:rsidRPr="008540CB">
        <w:rPr>
          <w:lang w:val="en-US"/>
        </w:rPr>
        <w:t>concerning an</w:t>
      </w:r>
      <w:r w:rsidR="00403FD4">
        <w:rPr>
          <w:lang w:val="en-US"/>
        </w:rPr>
        <w:t xml:space="preserve"> </w:t>
      </w:r>
      <w:r w:rsidR="008540CB" w:rsidRPr="008540CB">
        <w:rPr>
          <w:lang w:val="en-US"/>
        </w:rPr>
        <w:t xml:space="preserve">EU-27 citizen's footprint </w:t>
      </w:r>
      <w:r w:rsidR="00403FD4">
        <w:rPr>
          <w:lang w:val="en-US"/>
        </w:rPr>
        <w:t>(in 2010)</w:t>
      </w:r>
      <w:r w:rsidR="008540CB" w:rsidRPr="008540CB">
        <w:rPr>
          <w:lang w:val="en-US"/>
        </w:rPr>
        <w:t>.</w:t>
      </w:r>
      <w:r w:rsidR="00DA7ACA">
        <w:rPr>
          <w:lang w:val="en-US"/>
        </w:rPr>
        <w:t xml:space="preserve"> A </w:t>
      </w:r>
      <w:r w:rsidR="008540CB" w:rsidRPr="008540CB">
        <w:rPr>
          <w:lang w:val="en-US"/>
        </w:rPr>
        <w:t>discussion a</w:t>
      </w:r>
      <w:r w:rsidR="00AA2498">
        <w:rPr>
          <w:lang w:val="en-US"/>
        </w:rPr>
        <w:t xml:space="preserve">bout </w:t>
      </w:r>
      <w:r w:rsidR="008540CB" w:rsidRPr="008540CB">
        <w:rPr>
          <w:lang w:val="en-US"/>
        </w:rPr>
        <w:t xml:space="preserve">normalization will follow in </w:t>
      </w:r>
      <w:r w:rsidR="00AA2498">
        <w:rPr>
          <w:lang w:val="en-US"/>
        </w:rPr>
        <w:t>section</w:t>
      </w:r>
      <w:r w:rsidR="008936DE">
        <w:rPr>
          <w:lang w:val="en-US"/>
        </w:rPr>
        <w:t xml:space="preserve"> </w:t>
      </w:r>
      <w:r w:rsidR="00884F7F">
        <w:rPr>
          <w:lang w:val="en-US"/>
        </w:rPr>
        <w:t>3.2.3.4.1</w:t>
      </w:r>
      <w:r w:rsidR="00AA2498">
        <w:rPr>
          <w:lang w:val="en-US"/>
        </w:rPr>
        <w:t xml:space="preserve">. </w:t>
      </w:r>
    </w:p>
    <w:p w14:paraId="4DDE73E7" w14:textId="77777777" w:rsidR="008540CB" w:rsidRDefault="008540CB" w:rsidP="008540CB">
      <w:pPr>
        <w:rPr>
          <w:lang w:val="en-US"/>
        </w:rPr>
      </w:pPr>
    </w:p>
    <w:p w14:paraId="7062E578" w14:textId="77777777" w:rsidR="008540CB" w:rsidRPr="008540CB" w:rsidRDefault="008540CB" w:rsidP="008540CB">
      <w:pPr>
        <w:rPr>
          <w:lang w:val="en-US"/>
        </w:rPr>
      </w:pPr>
      <w:r w:rsidRPr="008540CB">
        <w:rPr>
          <w:lang w:val="en-US"/>
        </w:rPr>
        <w:t xml:space="preserve">The geographical scope in which the industrial-scale plant will operate is in France, being the European plant hub for weak acid hydrometallurgical recycling of REEs from HDDs. France is chosen because this is the country where a VALOMAG partner is developing a weak acid hydrometallurgical recycling route. </w:t>
      </w:r>
    </w:p>
    <w:p w14:paraId="1D0A1891" w14:textId="77777777" w:rsidR="008540CB" w:rsidRPr="008540CB" w:rsidRDefault="008540CB" w:rsidP="008540CB">
      <w:pPr>
        <w:rPr>
          <w:lang w:val="en-US"/>
        </w:rPr>
      </w:pPr>
    </w:p>
    <w:p w14:paraId="275D42C7" w14:textId="45124D8A" w:rsidR="008540CB" w:rsidRPr="008540CB" w:rsidRDefault="00C42886" w:rsidP="008540CB">
      <w:pPr>
        <w:rPr>
          <w:lang w:val="en-US"/>
        </w:rPr>
      </w:pPr>
      <w:r>
        <w:rPr>
          <w:lang w:val="en-US"/>
        </w:rPr>
        <w:t>The LCA modeling</w:t>
      </w:r>
      <w:r w:rsidR="00C06747">
        <w:rPr>
          <w:lang w:val="en-US"/>
        </w:rPr>
        <w:t xml:space="preserve"> is </w:t>
      </w:r>
      <w:r>
        <w:rPr>
          <w:lang w:val="en-US"/>
        </w:rPr>
        <w:t>performed with Activity-Browser,</w:t>
      </w:r>
      <w:r w:rsidR="00675912">
        <w:rPr>
          <w:lang w:val="en-US"/>
        </w:rPr>
        <w:t xml:space="preserve"> </w:t>
      </w:r>
      <w:r>
        <w:rPr>
          <w:lang w:val="en-US"/>
        </w:rPr>
        <w:t>software built on</w:t>
      </w:r>
      <w:r w:rsidR="008507C9">
        <w:rPr>
          <w:lang w:val="en-US"/>
        </w:rPr>
        <w:t xml:space="preserve"> top of</w:t>
      </w:r>
      <w:r>
        <w:rPr>
          <w:lang w:val="en-US"/>
        </w:rPr>
        <w:t xml:space="preserve"> Brightway2</w:t>
      </w:r>
      <w:r w:rsidR="008507C9">
        <w:rPr>
          <w:lang w:val="en-US"/>
        </w:rPr>
        <w:t xml:space="preserve"> </w:t>
      </w:r>
      <w:r w:rsidR="008507C9">
        <w:rPr>
          <w:lang w:val="en-US"/>
        </w:rPr>
        <w:fldChar w:fldCharType="begin" w:fldLock="1"/>
      </w:r>
      <w:r w:rsidR="00E92566">
        <w:rPr>
          <w:lang w:val="en-US"/>
        </w:rPr>
        <w:instrText>ADDIN CSL_CITATION {"citationItems":[{"id":"ITEM-1","itemData":{"DOI":"10.1016/j.simpa.2019.100012","ISSN":"26659638","abstract":"The Activity Browser is an open source software for advanced Life Cycle Assessment (LCA). The Activity Browser provides a graphical user interface (GUI) to the brightway LCA framework and makes common tasks such as managing projects and databases, modeling life cycle inventories, and analyzing LCA results easier and more intuitive. In addition, it provides advanced features for LCA modeling and data analyses and thus facilitates state-of-the-art LCA research. It can be extended to implement novel LCA modeling approaches and analyses as needed.","author":[{"dropping-particle":"","family":"Steubing","given":"Bernhard","non-dropping-particle":"","parse-names":false,"suffix":""},{"dropping-particle":"","family":"Koning","given":"Daniel","non-dropping-particle":"de","parse-names":false,"suffix":""},{"dropping-particle":"","family":"Haas","given":"Adrian","non-dropping-particle":"","parse-names":false,"suffix":""},{"dropping-particle":"","family":"Mutel","given":"Christopher Lucien","non-dropping-particle":"","parse-names":false,"suffix":""}],"container-title":"Software Impacts","id":"ITEM-1","issue":"December 2019","issued":{"date-parts":[["2020"]]},"page":"100012","publisher":"Elsevier B.V.","title":"The Activity Browser — An open source LCA software building on top of the brightway framework","type":"article-journal","volume":"3"},"uris":["http://www.mendeley.com/documents/?uuid=ac91511c-7c44-4579-990d-6d5bc376745a"]}],"mendeley":{"formattedCitation":"(Steubing et al., 2020)","plainTextFormattedCitation":"(Steubing et al., 2020)","previouslyFormattedCitation":"(Steubing et al., 2020)"},"properties":{"noteIndex":0},"schema":"https://github.com/citation-style-language/schema/raw/master/csl-citation.json"}</w:instrText>
      </w:r>
      <w:r w:rsidR="008507C9">
        <w:rPr>
          <w:lang w:val="en-US"/>
        </w:rPr>
        <w:fldChar w:fldCharType="separate"/>
      </w:r>
      <w:r w:rsidR="008507C9" w:rsidRPr="008507C9">
        <w:rPr>
          <w:noProof/>
          <w:lang w:val="en-US"/>
        </w:rPr>
        <w:t>(Steubing et al., 2020)</w:t>
      </w:r>
      <w:r w:rsidR="008507C9">
        <w:rPr>
          <w:lang w:val="en-US"/>
        </w:rPr>
        <w:fldChar w:fldCharType="end"/>
      </w:r>
      <w:r w:rsidR="008507C9">
        <w:rPr>
          <w:lang w:val="en-US"/>
        </w:rPr>
        <w:t xml:space="preserve">. </w:t>
      </w:r>
      <w:r w:rsidR="008540CB" w:rsidRPr="008540CB">
        <w:rPr>
          <w:lang w:val="en-US"/>
        </w:rPr>
        <w:t xml:space="preserve">The </w:t>
      </w:r>
      <w:r w:rsidR="00493BF9">
        <w:rPr>
          <w:lang w:val="en-US"/>
        </w:rPr>
        <w:t>LCI database</w:t>
      </w:r>
      <w:r w:rsidR="00C06747">
        <w:rPr>
          <w:lang w:val="en-US"/>
        </w:rPr>
        <w:t xml:space="preserve"> </w:t>
      </w:r>
      <w:r w:rsidR="00493BF9">
        <w:rPr>
          <w:lang w:val="en-US"/>
        </w:rPr>
        <w:t xml:space="preserve">used is the </w:t>
      </w:r>
      <w:proofErr w:type="spellStart"/>
      <w:r w:rsidR="00493BF9">
        <w:rPr>
          <w:lang w:val="en-US"/>
        </w:rPr>
        <w:t>ecoinvent</w:t>
      </w:r>
      <w:r w:rsidR="00E809E2">
        <w:rPr>
          <w:lang w:val="en-US"/>
        </w:rPr>
        <w:t>’s</w:t>
      </w:r>
      <w:proofErr w:type="spellEnd"/>
      <w:r w:rsidR="00E809E2">
        <w:rPr>
          <w:lang w:val="en-US"/>
        </w:rPr>
        <w:t xml:space="preserve"> one</w:t>
      </w:r>
      <w:r w:rsidR="00493BF9">
        <w:rPr>
          <w:lang w:val="en-US"/>
        </w:rPr>
        <w:t xml:space="preserve"> </w:t>
      </w:r>
      <w:r w:rsidR="00675912">
        <w:rPr>
          <w:lang w:val="en-US"/>
        </w:rPr>
        <w:t>i</w:t>
      </w:r>
      <w:r w:rsidR="00493BF9">
        <w:rPr>
          <w:lang w:val="en-US"/>
        </w:rPr>
        <w:t>n its version</w:t>
      </w:r>
      <w:r w:rsidR="00C06747">
        <w:rPr>
          <w:lang w:val="en-US"/>
        </w:rPr>
        <w:t xml:space="preserve"> </w:t>
      </w:r>
      <w:r w:rsidR="008540CB" w:rsidRPr="008540CB">
        <w:rPr>
          <w:lang w:val="en-US"/>
        </w:rPr>
        <w:t xml:space="preserve">3.6. Regional priority for </w:t>
      </w:r>
      <w:proofErr w:type="spellStart"/>
      <w:r w:rsidR="008540CB" w:rsidRPr="008540CB">
        <w:rPr>
          <w:lang w:val="en-US"/>
        </w:rPr>
        <w:t>ecoinvent</w:t>
      </w:r>
      <w:proofErr w:type="spellEnd"/>
      <w:r w:rsidR="008540CB" w:rsidRPr="008540CB">
        <w:rPr>
          <w:lang w:val="en-US"/>
        </w:rPr>
        <w:t xml:space="preserve"> processes</w:t>
      </w:r>
      <w:r w:rsidR="003931C0">
        <w:rPr>
          <w:lang w:val="en-US"/>
        </w:rPr>
        <w:t xml:space="preserve"> is </w:t>
      </w:r>
      <w:r w:rsidR="008540CB" w:rsidRPr="008540CB">
        <w:rPr>
          <w:lang w:val="en-US"/>
        </w:rPr>
        <w:t xml:space="preserve">in the following order: France </w:t>
      </w:r>
      <w:r w:rsidR="008540CB" w:rsidRPr="001F754A">
        <w:rPr>
          <w:lang w:val="en-US"/>
        </w:rPr>
        <w:t>(FR)&gt; Europe (RER)&gt; Global average (GLO).</w:t>
      </w:r>
      <w:r w:rsidR="008540CB" w:rsidRPr="008540CB">
        <w:rPr>
          <w:lang w:val="en-US"/>
        </w:rPr>
        <w:t xml:space="preserve"> </w:t>
      </w:r>
    </w:p>
    <w:p w14:paraId="3FD78670" w14:textId="77777777" w:rsidR="008540CB" w:rsidRPr="008540CB" w:rsidRDefault="008540CB" w:rsidP="008540CB">
      <w:pPr>
        <w:rPr>
          <w:lang w:val="en-US"/>
        </w:rPr>
      </w:pPr>
    </w:p>
    <w:p w14:paraId="684B9BBA" w14:textId="7F0081E1" w:rsidR="001555C6" w:rsidRDefault="008540CB" w:rsidP="008540CB">
      <w:pPr>
        <w:rPr>
          <w:lang w:val="en-US"/>
        </w:rPr>
      </w:pPr>
      <w:r w:rsidRPr="008540CB">
        <w:rPr>
          <w:lang w:val="en-US"/>
        </w:rPr>
        <w:t>The technological scope envisaged for the new plant is the current modal technology for hydrometallurgy applied to recover metals from e-waste, already incorporated in the former HYDROWEEE plant.</w:t>
      </w:r>
    </w:p>
    <w:p w14:paraId="221B847F" w14:textId="77777777" w:rsidR="008540CB" w:rsidRPr="001555C6" w:rsidRDefault="008540CB" w:rsidP="008540CB">
      <w:pPr>
        <w:rPr>
          <w:lang w:val="en-US"/>
        </w:rPr>
      </w:pPr>
    </w:p>
    <w:p w14:paraId="2F224A32" w14:textId="4F1CA0E4" w:rsidR="008540CB" w:rsidRDefault="008540CB" w:rsidP="008540CB">
      <w:r>
        <w:t>The temporal scope</w:t>
      </w:r>
      <w:r w:rsidR="00C644F6">
        <w:rPr>
          <w:lang w:val="en-US"/>
        </w:rPr>
        <w:t xml:space="preserve"> </w:t>
      </w:r>
      <w:r>
        <w:t>envi</w:t>
      </w:r>
      <w:proofErr w:type="spellStart"/>
      <w:r w:rsidR="00E519F3">
        <w:rPr>
          <w:lang w:val="en-US"/>
        </w:rPr>
        <w:t>sioned</w:t>
      </w:r>
      <w:proofErr w:type="spellEnd"/>
      <w:r>
        <w:t xml:space="preserve"> for the new plant is in 2030 and onward, as discussed in section</w:t>
      </w:r>
      <w:r w:rsidR="00DA2800">
        <w:rPr>
          <w:lang w:val="en-US"/>
        </w:rPr>
        <w:t xml:space="preserve"> </w:t>
      </w:r>
      <w:r w:rsidR="00DA2800">
        <w:rPr>
          <w:lang w:val="en-US"/>
        </w:rPr>
        <w:fldChar w:fldCharType="begin"/>
      </w:r>
      <w:r w:rsidR="00DA2800">
        <w:rPr>
          <w:lang w:val="en-US"/>
        </w:rPr>
        <w:instrText xml:space="preserve"> REF _Ref74852701 \w \h </w:instrText>
      </w:r>
      <w:r w:rsidR="00DA2800">
        <w:rPr>
          <w:lang w:val="en-US"/>
        </w:rPr>
      </w:r>
      <w:r w:rsidR="00DA2800">
        <w:rPr>
          <w:lang w:val="en-US"/>
        </w:rPr>
        <w:fldChar w:fldCharType="separate"/>
      </w:r>
      <w:r w:rsidR="00C9257C">
        <w:rPr>
          <w:lang w:val="en-US"/>
        </w:rPr>
        <w:t>3</w:t>
      </w:r>
      <w:r w:rsidR="00DA2800">
        <w:rPr>
          <w:lang w:val="en-US"/>
        </w:rPr>
        <w:fldChar w:fldCharType="end"/>
      </w:r>
      <w:r w:rsidR="00AE0806">
        <w:rPr>
          <w:lang w:val="en-US"/>
        </w:rPr>
        <w:t>.1</w:t>
      </w:r>
      <w:r>
        <w:t>. Therefore, this analysis's temporal scope is of ex-ante nature, having</w:t>
      </w:r>
      <w:r w:rsidR="009D0B60">
        <w:rPr>
          <w:lang w:val="en-US"/>
        </w:rPr>
        <w:t xml:space="preserve"> </w:t>
      </w:r>
      <w:r>
        <w:t>processes projected in 2030. The ecoinvent LCI datasets modeling foreground and background processes are chosen as contemporary as possible, ultimately falling approximately between 1992-2014.</w:t>
      </w:r>
    </w:p>
    <w:p w14:paraId="2E55235C" w14:textId="77777777" w:rsidR="00DA02E1" w:rsidRDefault="00DA02E1" w:rsidP="008540CB"/>
    <w:p w14:paraId="7EF24B53" w14:textId="2875128B" w:rsidR="008540CB" w:rsidRDefault="008540CB" w:rsidP="008540CB">
      <w:r>
        <w:t>The industrial-scale system's function is to recover REO from EOL NdFeB magnets derived from EOL HDDs e-waste.</w:t>
      </w:r>
    </w:p>
    <w:p w14:paraId="3040B1C1" w14:textId="77777777" w:rsidR="008540CB" w:rsidRDefault="008540CB" w:rsidP="008540CB"/>
    <w:p w14:paraId="3CF003AB" w14:textId="083CCB5F" w:rsidR="008540CB" w:rsidRDefault="008540CB" w:rsidP="008540CB">
      <w:r>
        <w:t>The functional unit can be determined as: the recovery of 1</w:t>
      </w:r>
      <w:r w:rsidR="00027789">
        <w:rPr>
          <w:lang w:val="en-US"/>
        </w:rPr>
        <w:t xml:space="preserve"> </w:t>
      </w:r>
      <w:r>
        <w:t xml:space="preserve">kg of REO from EOL HDDs' NdFeB magnets separated from e-waste at the plant's gate. </w:t>
      </w:r>
    </w:p>
    <w:p w14:paraId="5EC986B2" w14:textId="77777777" w:rsidR="008540CB" w:rsidRDefault="008540CB" w:rsidP="008540CB"/>
    <w:p w14:paraId="355E5703" w14:textId="0974F614" w:rsidR="003152D5" w:rsidRPr="009A215A" w:rsidRDefault="008540CB" w:rsidP="008540CB">
      <w:r>
        <w:t>The system's reference flow is the recovery of 1</w:t>
      </w:r>
      <w:r w:rsidR="00027789">
        <w:rPr>
          <w:lang w:val="en-US"/>
        </w:rPr>
        <w:t xml:space="preserve"> </w:t>
      </w:r>
      <w:r>
        <w:t>kg of REO from EOL HDDs' NdFeB magnets separated from e-waste at the plant's gate through a hydrometallurgical route using weak acid.</w:t>
      </w:r>
    </w:p>
    <w:p w14:paraId="477F87F4" w14:textId="77777777" w:rsidR="003152D5" w:rsidRPr="009A215A" w:rsidRDefault="003152D5" w:rsidP="009A215A"/>
    <w:p w14:paraId="03B850BD" w14:textId="34099E2B" w:rsidR="00DF5677" w:rsidRDefault="003152D5" w:rsidP="001D72BB">
      <w:pPr>
        <w:pStyle w:val="Heading4"/>
      </w:pPr>
      <w:bookmarkStart w:id="53" w:name="_Toc76752274"/>
      <w:r w:rsidRPr="00204183">
        <w:t>Inventory Analysis</w:t>
      </w:r>
      <w:bookmarkEnd w:id="53"/>
    </w:p>
    <w:p w14:paraId="7005B5A7" w14:textId="77777777" w:rsidR="00B11340" w:rsidRPr="00204183" w:rsidRDefault="00B11340" w:rsidP="00B11340"/>
    <w:p w14:paraId="528174DC" w14:textId="7E7EC361" w:rsidR="003152D5" w:rsidRDefault="006621F2" w:rsidP="00DF5677">
      <w:r>
        <w:rPr>
          <w:lang w:val="en-US"/>
        </w:rPr>
        <w:t>R</w:t>
      </w:r>
      <w:r w:rsidR="00EB540B" w:rsidRPr="009A215A">
        <w:t xml:space="preserve">efer to </w:t>
      </w:r>
      <w:r w:rsidR="00105015">
        <w:fldChar w:fldCharType="begin"/>
      </w:r>
      <w:r w:rsidR="00105015">
        <w:instrText xml:space="preserve"> REF _Ref74849615 \w \h </w:instrText>
      </w:r>
      <w:r w:rsidR="00105015">
        <w:fldChar w:fldCharType="separate"/>
      </w:r>
      <w:r w:rsidR="004E6DDA">
        <w:rPr>
          <w:lang w:val="en-US"/>
        </w:rPr>
        <w:t>a</w:t>
      </w:r>
      <w:r w:rsidR="00BC31F4">
        <w:t>ppendix A</w:t>
      </w:r>
      <w:r w:rsidR="00105015">
        <w:fldChar w:fldCharType="end"/>
      </w:r>
      <w:r w:rsidR="00105015">
        <w:rPr>
          <w:lang w:val="en-US"/>
        </w:rPr>
        <w:t xml:space="preserve"> </w:t>
      </w:r>
      <w:r w:rsidR="00EB540B" w:rsidRPr="009A215A">
        <w:t>for the</w:t>
      </w:r>
      <w:r w:rsidR="00EB540B" w:rsidRPr="00DF5677">
        <w:rPr>
          <w:lang w:val="en-US"/>
        </w:rPr>
        <w:t xml:space="preserve"> life cycle </w:t>
      </w:r>
      <w:r w:rsidR="00EB540B" w:rsidRPr="009A215A">
        <w:t>inventory</w:t>
      </w:r>
      <w:r w:rsidR="00EB540B" w:rsidRPr="00DF5677">
        <w:rPr>
          <w:lang w:val="en-US"/>
        </w:rPr>
        <w:t xml:space="preserve"> </w:t>
      </w:r>
      <w:r w:rsidR="00C15C71">
        <w:rPr>
          <w:lang w:val="en-US"/>
        </w:rPr>
        <w:t xml:space="preserve">data and </w:t>
      </w:r>
      <w:r w:rsidR="00EB540B" w:rsidRPr="009A215A">
        <w:t>modeling</w:t>
      </w:r>
      <w:r w:rsidR="00EB540B" w:rsidRPr="00DF5677">
        <w:rPr>
          <w:lang w:val="en-US"/>
        </w:rPr>
        <w:t xml:space="preserve">, and  </w:t>
      </w:r>
      <w:r w:rsidR="00105015">
        <w:fldChar w:fldCharType="begin"/>
      </w:r>
      <w:r w:rsidR="00105015">
        <w:rPr>
          <w:lang w:val="en-US"/>
        </w:rPr>
        <w:instrText xml:space="preserve"> REF _Ref74851102 \w \h </w:instrText>
      </w:r>
      <w:r w:rsidR="00105015">
        <w:fldChar w:fldCharType="separate"/>
      </w:r>
      <w:r w:rsidR="004E6DDA">
        <w:rPr>
          <w:lang w:val="en-US"/>
        </w:rPr>
        <w:t>a</w:t>
      </w:r>
      <w:r w:rsidR="00BC31F4">
        <w:rPr>
          <w:lang w:val="en-US"/>
        </w:rPr>
        <w:t>ppendix B</w:t>
      </w:r>
      <w:r w:rsidR="00105015">
        <w:fldChar w:fldCharType="end"/>
      </w:r>
      <w:r w:rsidR="00105015">
        <w:rPr>
          <w:lang w:val="en-US"/>
        </w:rPr>
        <w:t xml:space="preserve"> </w:t>
      </w:r>
      <w:r w:rsidR="00EB540B" w:rsidRPr="00DF5677">
        <w:rPr>
          <w:lang w:val="en-US"/>
        </w:rPr>
        <w:t xml:space="preserve">for the </w:t>
      </w:r>
      <w:r w:rsidR="00EB540B" w:rsidRPr="009A215A">
        <w:t xml:space="preserve">complete </w:t>
      </w:r>
      <w:r w:rsidR="00EB540B" w:rsidRPr="00DF5677">
        <w:rPr>
          <w:lang w:val="en-US"/>
        </w:rPr>
        <w:t xml:space="preserve">life cycle </w:t>
      </w:r>
      <w:r w:rsidR="00EB540B" w:rsidRPr="009A215A">
        <w:t>inventory list.</w:t>
      </w:r>
    </w:p>
    <w:p w14:paraId="4B2C6A57" w14:textId="77777777" w:rsidR="00EB540B" w:rsidRPr="009A215A" w:rsidRDefault="00EB540B" w:rsidP="009A215A"/>
    <w:p w14:paraId="4B6CEE1E" w14:textId="3C05626B" w:rsidR="003152D5" w:rsidRPr="009A215A" w:rsidRDefault="003152D5" w:rsidP="009076A0">
      <w:pPr>
        <w:pStyle w:val="Heading5"/>
      </w:pPr>
      <w:bookmarkStart w:id="54" w:name="_Ref74913631"/>
      <w:bookmarkStart w:id="55" w:name="_Toc76752275"/>
      <w:r w:rsidRPr="009A215A">
        <w:t>System boundaries</w:t>
      </w:r>
      <w:bookmarkEnd w:id="54"/>
      <w:bookmarkEnd w:id="55"/>
    </w:p>
    <w:p w14:paraId="2CF7D8B4" w14:textId="77777777" w:rsidR="003152D5" w:rsidRPr="009A215A" w:rsidRDefault="003152D5" w:rsidP="009A215A"/>
    <w:p w14:paraId="7835589D" w14:textId="769463EA" w:rsidR="008540CB" w:rsidRDefault="008540CB" w:rsidP="008540CB">
      <w:pPr>
        <w:pStyle w:val="ListParagraph"/>
        <w:numPr>
          <w:ilvl w:val="0"/>
          <w:numId w:val="28"/>
        </w:numPr>
      </w:pPr>
      <w:r>
        <w:t>Economy- environment system boundary</w:t>
      </w:r>
    </w:p>
    <w:p w14:paraId="2E0F1C6B" w14:textId="359F18D8" w:rsidR="008A75F2" w:rsidRDefault="008540CB" w:rsidP="008540CB">
      <w:r>
        <w:t xml:space="preserve">The analysis of the product system is said to be from cradle to gate. The cradle is the EOL HDDs, disposed by its consumers. The burdens resulting from the HDDs manufacturing and use phase are disregarded in this study because they are out of the scope of the VALOMAG project. Thus, the fabrication of HDDs will not be considered </w:t>
      </w:r>
      <w:r w:rsidR="004D1904">
        <w:rPr>
          <w:lang w:val="en-US"/>
        </w:rPr>
        <w:t xml:space="preserve">as </w:t>
      </w:r>
      <w:r>
        <w:t xml:space="preserve">the origin of the material flow </w:t>
      </w:r>
      <w:r>
        <w:lastRenderedPageBreak/>
        <w:t>entering the product system or the use phase of HDDs, which must be highly variable and challenging to model.</w:t>
      </w:r>
    </w:p>
    <w:p w14:paraId="5D5D1BE0" w14:textId="77777777" w:rsidR="008A75F2" w:rsidRDefault="008A75F2" w:rsidP="008540CB"/>
    <w:p w14:paraId="31957041" w14:textId="52AAEAAE" w:rsidR="008540CB" w:rsidRDefault="008540CB" w:rsidP="008540CB">
      <w:r>
        <w:t xml:space="preserve">When disposed, e-waste needs to be collected, sorted, and dismantled before recycling. From those steps, only dismantling is included within the product system boundaries. The reason is the limited timeframe to complete this project. Therefore, the analysis starts with </w:t>
      </w:r>
      <w:r w:rsidR="002F0D8E">
        <w:rPr>
          <w:lang w:val="en-US"/>
        </w:rPr>
        <w:t xml:space="preserve">burdenless </w:t>
      </w:r>
      <w:r>
        <w:t xml:space="preserve">EOL HDDs coming into the product system already removed from EOL </w:t>
      </w:r>
      <w:r w:rsidRPr="00AB516C">
        <w:t>computers (PCs)</w:t>
      </w:r>
      <w:r>
        <w:t xml:space="preserve"> and laptops. </w:t>
      </w:r>
    </w:p>
    <w:p w14:paraId="4D0032C6" w14:textId="77777777" w:rsidR="008540CB" w:rsidRDefault="008540CB" w:rsidP="008540CB"/>
    <w:p w14:paraId="374B6214" w14:textId="185081B5" w:rsidR="00C43C1B" w:rsidRDefault="008540CB" w:rsidP="008540CB">
      <w:r>
        <w:t>The environmental system boundary lies outside the product system boundary. Therefore, the inputs representing the extraction of resources are placed outside the system boundary.</w:t>
      </w:r>
      <w:r w:rsidR="004D1904">
        <w:rPr>
          <w:lang w:val="en-US"/>
        </w:rPr>
        <w:t xml:space="preserve"> However, t</w:t>
      </w:r>
      <w:r>
        <w:t>he foreground processes bring these inputs within the product system</w:t>
      </w:r>
      <w:r w:rsidR="008D3339">
        <w:rPr>
          <w:lang w:val="en-US"/>
        </w:rPr>
        <w:t>. This happens</w:t>
      </w:r>
      <w:r w:rsidR="00B5292D">
        <w:rPr>
          <w:lang w:val="en-US"/>
        </w:rPr>
        <w:t xml:space="preserve"> when</w:t>
      </w:r>
      <w:r w:rsidR="00D31E7F">
        <w:rPr>
          <w:lang w:val="en-US"/>
        </w:rPr>
        <w:t xml:space="preserve"> </w:t>
      </w:r>
      <w:r w:rsidR="008D3339">
        <w:rPr>
          <w:lang w:val="en-US"/>
        </w:rPr>
        <w:t xml:space="preserve">foreground processes </w:t>
      </w:r>
      <w:r>
        <w:t>li</w:t>
      </w:r>
      <w:proofErr w:type="spellStart"/>
      <w:r w:rsidR="008D3339">
        <w:rPr>
          <w:lang w:val="en-US"/>
        </w:rPr>
        <w:t>nk</w:t>
      </w:r>
      <w:proofErr w:type="spellEnd"/>
      <w:r>
        <w:t xml:space="preserve"> to</w:t>
      </w:r>
      <w:r w:rsidR="008D3339">
        <w:rPr>
          <w:lang w:val="en-US"/>
        </w:rPr>
        <w:t xml:space="preserve"> </w:t>
      </w:r>
      <w:r>
        <w:t>background processes</w:t>
      </w:r>
      <w:r w:rsidR="00B5292D">
        <w:rPr>
          <w:lang w:val="en-US"/>
        </w:rPr>
        <w:t xml:space="preserve"> </w:t>
      </w:r>
      <w:r>
        <w:t xml:space="preserve">necessary to model the function of the unit processes </w:t>
      </w:r>
      <w:r w:rsidR="008D3339">
        <w:rPr>
          <w:lang w:val="en-US"/>
        </w:rPr>
        <w:t>inside the system</w:t>
      </w:r>
      <w:r>
        <w:t xml:space="preserve"> boundary.</w:t>
      </w:r>
      <w:r w:rsidR="003F1660">
        <w:rPr>
          <w:lang w:val="en-US"/>
        </w:rPr>
        <w:t xml:space="preserve"> </w:t>
      </w:r>
      <w:r>
        <w:t xml:space="preserve">On the other side, the emissions to the environment system are modeled as gases and material dust into the air and hazardous waste to incineration. </w:t>
      </w:r>
    </w:p>
    <w:p w14:paraId="764E2A1C" w14:textId="77777777" w:rsidR="00C43C1B" w:rsidRDefault="00C43C1B" w:rsidP="008540CB"/>
    <w:p w14:paraId="1BA8A282" w14:textId="61FE5D4C" w:rsidR="008540CB" w:rsidRDefault="008540CB" w:rsidP="008540CB">
      <w:r>
        <w:t>The within system’s boundaries are organized according to the unit processes, namely fragmentation, classification, magnetic separation, grinding, leaching, filtration 1, RE recovery, filtration 2, and calcination.</w:t>
      </w:r>
    </w:p>
    <w:p w14:paraId="2F6F2121" w14:textId="77777777" w:rsidR="008540CB" w:rsidRDefault="008540CB" w:rsidP="008540CB"/>
    <w:p w14:paraId="69CE27EE" w14:textId="2A2C2E50" w:rsidR="00DA1E00" w:rsidRDefault="008540CB" w:rsidP="008540CB">
      <w:pPr>
        <w:pStyle w:val="ListParagraph"/>
        <w:numPr>
          <w:ilvl w:val="0"/>
          <w:numId w:val="28"/>
        </w:numPr>
      </w:pPr>
      <w:r>
        <w:t>Cut-offs</w:t>
      </w:r>
    </w:p>
    <w:p w14:paraId="7D661E8E" w14:textId="5A650C3B" w:rsidR="008540CB" w:rsidRDefault="008540CB" w:rsidP="008540CB">
      <w:r>
        <w:t>The product system presents a cut-off in the flow of non-fragmented HDD</w:t>
      </w:r>
      <w:r w:rsidR="00A0391F">
        <w:rPr>
          <w:lang w:val="en-US"/>
        </w:rPr>
        <w:t>s</w:t>
      </w:r>
      <w:r>
        <w:t xml:space="preserve"> in the fragmentation unit process. This is indicated in the flowchart</w:t>
      </w:r>
      <w:r w:rsidR="0000376A">
        <w:rPr>
          <w:lang w:val="en-US"/>
        </w:rPr>
        <w:t xml:space="preserve"> (next section)</w:t>
      </w:r>
      <w:r>
        <w:t>.</w:t>
      </w:r>
    </w:p>
    <w:p w14:paraId="51AF2938" w14:textId="77777777" w:rsidR="008540CB" w:rsidRDefault="008540CB" w:rsidP="008540CB"/>
    <w:p w14:paraId="333E6B04" w14:textId="6CDEE6DA" w:rsidR="003152D5" w:rsidRDefault="008540CB" w:rsidP="008540CB">
      <w:r>
        <w:t xml:space="preserve">The outflow of non-fragmented HDDs is “cut-off” because they will be inserted back into the product system in the next run of the recycling chain, making up to the number of HDDs needed to compose a batch. This flow corresponds to approximately 10% of the inflow of HDDs into the process </w:t>
      </w:r>
      <w:r w:rsidR="00A0391F">
        <w:rPr>
          <w:lang w:val="en-US"/>
        </w:rPr>
        <w:t>(</w:t>
      </w:r>
      <w:r>
        <w:t>from experimental data</w:t>
      </w:r>
      <w:r w:rsidR="00A0391F">
        <w:rPr>
          <w:lang w:val="en-US"/>
        </w:rPr>
        <w:t>)</w:t>
      </w:r>
      <w:r>
        <w:t>. As the inflow of HDDs is assumed to be burdenless, “cutting-off” the outflow of non-fragmented HDDs</w:t>
      </w:r>
      <w:r w:rsidR="00A62C95">
        <w:rPr>
          <w:lang w:val="en-US"/>
        </w:rPr>
        <w:t xml:space="preserve"> does </w:t>
      </w:r>
      <w:r>
        <w:t xml:space="preserve">not constitute a </w:t>
      </w:r>
      <w:r w:rsidR="00385DA0">
        <w:rPr>
          <w:lang w:val="en-US"/>
        </w:rPr>
        <w:t xml:space="preserve">serious </w:t>
      </w:r>
      <w:r>
        <w:t>issue to the total environmental impact of the product system.</w:t>
      </w:r>
    </w:p>
    <w:p w14:paraId="3E4B2398" w14:textId="77777777" w:rsidR="00725FF4" w:rsidRDefault="00725FF4" w:rsidP="008540CB"/>
    <w:p w14:paraId="133AA7F6" w14:textId="77777777" w:rsidR="008540CB" w:rsidRPr="009A215A" w:rsidRDefault="008540CB" w:rsidP="008540CB"/>
    <w:p w14:paraId="3B2CAC59" w14:textId="11361643" w:rsidR="00984ABF" w:rsidRDefault="003152D5" w:rsidP="00984ABF">
      <w:pPr>
        <w:pStyle w:val="ListParagraph"/>
        <w:numPr>
          <w:ilvl w:val="0"/>
          <w:numId w:val="28"/>
        </w:numPr>
      </w:pPr>
      <w:r w:rsidRPr="009A215A">
        <w:lastRenderedPageBreak/>
        <w:t>Flowchart</w:t>
      </w:r>
    </w:p>
    <w:p w14:paraId="71BB51A8" w14:textId="67E0A67D" w:rsidR="00984ABF" w:rsidRDefault="00984ABF" w:rsidP="00984ABF">
      <w:r>
        <w:t>The flow chart that represents the product system is depicted in</w:t>
      </w:r>
      <w:r w:rsidR="00F11721">
        <w:rPr>
          <w:lang w:val="en-US"/>
        </w:rPr>
        <w:t xml:space="preserve"> </w:t>
      </w:r>
      <w:r w:rsidR="00F11721">
        <w:rPr>
          <w:lang w:val="en-US"/>
        </w:rPr>
        <w:fldChar w:fldCharType="begin"/>
      </w:r>
      <w:r w:rsidR="00F11721">
        <w:rPr>
          <w:lang w:val="en-US"/>
        </w:rPr>
        <w:instrText xml:space="preserve"> REF _Ref74763191 \h </w:instrText>
      </w:r>
      <w:r w:rsidR="00F11721">
        <w:rPr>
          <w:lang w:val="en-US"/>
        </w:rPr>
      </w:r>
      <w:r w:rsidR="00F11721">
        <w:rPr>
          <w:lang w:val="en-US"/>
        </w:rPr>
        <w:fldChar w:fldCharType="separate"/>
      </w:r>
      <w:r w:rsidR="00B92017" w:rsidRPr="00BE2EDB">
        <w:t xml:space="preserve">Figure </w:t>
      </w:r>
      <w:r w:rsidR="00251ABB">
        <w:rPr>
          <w:noProof/>
          <w:lang w:val="en-US"/>
        </w:rPr>
        <w:t>3.3</w:t>
      </w:r>
      <w:r w:rsidR="00F11721">
        <w:rPr>
          <w:lang w:val="en-US"/>
        </w:rPr>
        <w:fldChar w:fldCharType="end"/>
      </w:r>
      <w:r>
        <w:t xml:space="preserve">. The non-dashed boxes represent the foreground unit processes, and the grey arrows represent the background unit processes. Not all background processes </w:t>
      </w:r>
      <w:r w:rsidR="00B92017">
        <w:rPr>
          <w:lang w:val="en-US"/>
        </w:rPr>
        <w:t>are</w:t>
      </w:r>
      <w:r>
        <w:t xml:space="preserve"> depicted, only those important to the system. In this way, the flowchart looks less cluttered.</w:t>
      </w:r>
      <w:r w:rsidR="002858CA">
        <w:rPr>
          <w:lang w:val="en-US"/>
        </w:rPr>
        <w:t xml:space="preserve"> R</w:t>
      </w:r>
      <w:r w:rsidRPr="003D5596">
        <w:t xml:space="preserve">efer to </w:t>
      </w:r>
      <w:r w:rsidR="00E024D3" w:rsidRPr="00B72B7E">
        <w:fldChar w:fldCharType="begin"/>
      </w:r>
      <w:r w:rsidR="00E024D3" w:rsidRPr="00B72B7E">
        <w:instrText xml:space="preserve"> REF _Ref74851102 \w \h </w:instrText>
      </w:r>
      <w:r w:rsidR="00F570E0" w:rsidRPr="00B72B7E">
        <w:instrText xml:space="preserve"> \* MERGEFORMAT </w:instrText>
      </w:r>
      <w:r w:rsidR="00E024D3" w:rsidRPr="00B72B7E">
        <w:fldChar w:fldCharType="separate"/>
      </w:r>
      <w:r w:rsidR="003D5596" w:rsidRPr="00B72B7E">
        <w:rPr>
          <w:lang w:val="en-US"/>
        </w:rPr>
        <w:t>a</w:t>
      </w:r>
      <w:r w:rsidR="00BC31F4" w:rsidRPr="00B72B7E">
        <w:t>ppendix B</w:t>
      </w:r>
      <w:r w:rsidR="00E024D3" w:rsidRPr="00B72B7E">
        <w:fldChar w:fldCharType="end"/>
      </w:r>
      <w:r w:rsidR="00E024D3">
        <w:rPr>
          <w:lang w:val="en-US"/>
        </w:rPr>
        <w:t xml:space="preserve"> </w:t>
      </w:r>
      <w:r>
        <w:t xml:space="preserve">for the complete list of the background processes modeled in the unit processes. </w:t>
      </w:r>
    </w:p>
    <w:p w14:paraId="3A3884BB" w14:textId="77777777" w:rsidR="00984ABF" w:rsidRDefault="00984ABF" w:rsidP="00984ABF"/>
    <w:p w14:paraId="2548C696" w14:textId="0EE7481F" w:rsidR="00984ABF" w:rsidRDefault="00984ABF" w:rsidP="00984ABF">
      <w:r>
        <w:t xml:space="preserve">For each foreground unit </w:t>
      </w:r>
      <w:r w:rsidRPr="005B1918">
        <w:t>process, the functional flow is indicated by a “F.” The multifunctional processes are differentiated with a “M.” The letters “G” and “W</w:t>
      </w:r>
      <w:r>
        <w:t>” classify the flows as good or waste, respectively. The latter classification is based on the economic value of the flow. A positive value categorizes it as a good, the opposite as a waste. Finally, the product system’s reference flow is indicated.</w:t>
      </w:r>
    </w:p>
    <w:p w14:paraId="59C6829C" w14:textId="77777777" w:rsidR="00984A99" w:rsidRDefault="00984A99" w:rsidP="00984ABF"/>
    <w:p w14:paraId="5B8D0C17" w14:textId="438EC891" w:rsidR="00112FBA" w:rsidRDefault="00984ABF" w:rsidP="00984ABF">
      <w:r>
        <w:t>Besides the reference flow, some other flows cross the system boundary. Those are economic flows not followed to system boundary. Most of them</w:t>
      </w:r>
      <w:r w:rsidR="004C4616">
        <w:rPr>
          <w:lang w:val="en-US"/>
        </w:rPr>
        <w:t xml:space="preserve"> </w:t>
      </w:r>
      <w:r>
        <w:t>result from “multi-output” unit processes, which are appropriately allocated, as discussed in a later section. These outputs follow other valorization pathways (outside the product system), which are out of the scope of this study.</w:t>
      </w:r>
      <w:r w:rsidR="00A526AE">
        <w:rPr>
          <w:lang w:val="en-US"/>
        </w:rPr>
        <w:t xml:space="preserve"> </w:t>
      </w:r>
      <w:r w:rsidR="00A526AE" w:rsidRPr="00A526AE">
        <w:rPr>
          <w:lang w:val="en-US"/>
        </w:rPr>
        <w:t>Finally, there are other crossing flows in the flowchart, but not classified as “good.”</w:t>
      </w:r>
      <w:r w:rsidR="004C4616">
        <w:rPr>
          <w:lang w:val="en-US"/>
        </w:rPr>
        <w:t xml:space="preserve"> Those</w:t>
      </w:r>
      <w:r>
        <w:t xml:space="preserve"> are the “filtrate solution” </w:t>
      </w:r>
      <w:r w:rsidR="004C4616">
        <w:rPr>
          <w:lang w:val="en-US"/>
        </w:rPr>
        <w:t>(</w:t>
      </w:r>
      <w:r w:rsidR="002057DA">
        <w:rPr>
          <w:lang w:val="en-US"/>
        </w:rPr>
        <w:t xml:space="preserve">output </w:t>
      </w:r>
      <w:r>
        <w:t>of unit process eight</w:t>
      </w:r>
      <w:r w:rsidR="004C4616">
        <w:rPr>
          <w:lang w:val="en-US"/>
        </w:rPr>
        <w:t>)</w:t>
      </w:r>
      <w:r>
        <w:t xml:space="preserve">, which is treated as hazardous waste, and the residual dust </w:t>
      </w:r>
      <w:r w:rsidR="004C4616">
        <w:rPr>
          <w:lang w:val="en-US"/>
        </w:rPr>
        <w:t xml:space="preserve">(outputs of </w:t>
      </w:r>
      <w:r>
        <w:t>unit process one, three, and four</w:t>
      </w:r>
      <w:r w:rsidR="004C4616">
        <w:rPr>
          <w:lang w:val="en-US"/>
        </w:rPr>
        <w:t>)</w:t>
      </w:r>
      <w:r>
        <w:t xml:space="preserve">, which </w:t>
      </w:r>
      <w:r w:rsidR="00E244BD">
        <w:rPr>
          <w:lang w:val="en-US"/>
        </w:rPr>
        <w:t xml:space="preserve">is </w:t>
      </w:r>
      <w:r>
        <w:t>treated as fly ash and scrubber sludge.</w:t>
      </w:r>
    </w:p>
    <w:p w14:paraId="6C416BD9" w14:textId="77777777" w:rsidR="008540CB" w:rsidRPr="0074046B" w:rsidRDefault="008540CB" w:rsidP="00984ABF">
      <w:pPr>
        <w:rPr>
          <w:strike/>
        </w:rPr>
      </w:pPr>
    </w:p>
    <w:p w14:paraId="4713EE6C" w14:textId="037F649A" w:rsidR="00F11721" w:rsidRDefault="00461D71" w:rsidP="00112FBA">
      <w:pPr>
        <w:keepNext/>
        <w:jc w:val="center"/>
      </w:pPr>
      <w:r>
        <w:rPr>
          <w:noProof/>
        </w:rPr>
        <w:lastRenderedPageBreak/>
        <w:drawing>
          <wp:inline distT="0" distB="0" distL="0" distR="0" wp14:anchorId="49432C6E" wp14:editId="22CE16D0">
            <wp:extent cx="6318000" cy="3960000"/>
            <wp:effectExtent l="0" t="0" r="0" b="254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18000" cy="3960000"/>
                    </a:xfrm>
                    <a:prstGeom prst="rect">
                      <a:avLst/>
                    </a:prstGeom>
                  </pic:spPr>
                </pic:pic>
              </a:graphicData>
            </a:graphic>
          </wp:inline>
        </w:drawing>
      </w:r>
    </w:p>
    <w:p w14:paraId="60F4CD5D" w14:textId="780202C0" w:rsidR="00912E50" w:rsidRDefault="00F11721" w:rsidP="00F11721">
      <w:pPr>
        <w:pStyle w:val="Caption"/>
      </w:pPr>
      <w:bookmarkStart w:id="56" w:name="_Ref74763191"/>
      <w:bookmarkStart w:id="57" w:name="_Toc76729607"/>
      <w:r w:rsidRPr="00BE2EDB">
        <w:t xml:space="preserve">Figure </w:t>
      </w:r>
      <w:r w:rsidR="00251ABB">
        <w:rPr>
          <w:lang w:val="en-US"/>
        </w:rPr>
        <w:t>3</w:t>
      </w:r>
      <w:r w:rsidR="001150DB" w:rsidRPr="00BE2EDB">
        <w:t>.</w:t>
      </w:r>
      <w:bookmarkEnd w:id="56"/>
      <w:r w:rsidR="00251ABB">
        <w:rPr>
          <w:lang w:val="en-US"/>
        </w:rPr>
        <w:t>3</w:t>
      </w:r>
      <w:r w:rsidRPr="00BE2EDB">
        <w:rPr>
          <w:lang w:val="en-US"/>
        </w:rPr>
        <w:t xml:space="preserve"> Product system’s flowchart. Source: author’s image.</w:t>
      </w:r>
      <w:bookmarkEnd w:id="57"/>
    </w:p>
    <w:p w14:paraId="4532D143" w14:textId="77777777" w:rsidR="00F7307E" w:rsidRPr="00EA1D8C" w:rsidRDefault="00F7307E" w:rsidP="00EA1D8C">
      <w:pPr>
        <w:rPr>
          <w:lang w:val="en-US"/>
        </w:rPr>
      </w:pPr>
    </w:p>
    <w:p w14:paraId="6963F0A0" w14:textId="555C85CE" w:rsidR="003152D5" w:rsidRPr="009A215A" w:rsidRDefault="003152D5" w:rsidP="009076A0">
      <w:pPr>
        <w:pStyle w:val="Heading5"/>
      </w:pPr>
      <w:bookmarkStart w:id="58" w:name="_Ref74913585"/>
      <w:bookmarkStart w:id="59" w:name="_Toc76752276"/>
      <w:r w:rsidRPr="009A215A">
        <w:t>Data</w:t>
      </w:r>
      <w:bookmarkEnd w:id="58"/>
      <w:bookmarkEnd w:id="59"/>
    </w:p>
    <w:p w14:paraId="5E2E69B5" w14:textId="77777777" w:rsidR="00812EC8" w:rsidRDefault="00812EC8" w:rsidP="00812EC8"/>
    <w:p w14:paraId="1BA30434" w14:textId="040937E6" w:rsidR="00137A0E" w:rsidRPr="00E2197A" w:rsidRDefault="00E2197A" w:rsidP="00137A0E">
      <w:pPr>
        <w:rPr>
          <w:lang w:val="en-US"/>
        </w:rPr>
      </w:pPr>
      <w:r w:rsidRPr="00E2197A">
        <w:rPr>
          <w:lang w:val="en-US"/>
        </w:rPr>
        <w:t>Regarding the foreground processes’ data, for all processes in the pretreatment phase, excepting the grinding unit process, data derives from the pilot-scale experiments carried</w:t>
      </w:r>
      <w:r w:rsidR="004624BC">
        <w:rPr>
          <w:lang w:val="en-US"/>
        </w:rPr>
        <w:t xml:space="preserve"> </w:t>
      </w:r>
      <w:r w:rsidRPr="00E2197A">
        <w:rPr>
          <w:lang w:val="en-US"/>
        </w:rPr>
        <w:t xml:space="preserve">in the VALOMAG project. The values </w:t>
      </w:r>
      <w:r w:rsidR="00E906A8">
        <w:rPr>
          <w:lang w:val="en-US"/>
        </w:rPr>
        <w:t>are</w:t>
      </w:r>
      <w:r w:rsidRPr="00E2197A">
        <w:rPr>
          <w:lang w:val="en-US"/>
        </w:rPr>
        <w:t xml:space="preserve"> linear upscaled according to the size of the batch necessary to process the flow of EOL HDDs in 2030. In addition, data for the grinding process </w:t>
      </w:r>
      <w:r w:rsidR="00E906A8">
        <w:rPr>
          <w:lang w:val="en-US"/>
        </w:rPr>
        <w:t>is</w:t>
      </w:r>
      <w:r w:rsidRPr="00E2197A">
        <w:rPr>
          <w:lang w:val="en-US"/>
        </w:rPr>
        <w:t xml:space="preserve"> sourced in literature, also having inputs from experts.</w:t>
      </w:r>
      <w:r w:rsidR="00692374">
        <w:rPr>
          <w:lang w:val="en-US"/>
        </w:rPr>
        <w:t xml:space="preserve"> </w:t>
      </w:r>
      <w:r w:rsidR="00137A0E" w:rsidRPr="00E2197A">
        <w:rPr>
          <w:lang w:val="en-US"/>
        </w:rPr>
        <w:t>It is acknowledged that data from pretreatment experiments are not pointing values,</w:t>
      </w:r>
      <w:r w:rsidR="00924D13">
        <w:rPr>
          <w:lang w:val="en-US"/>
        </w:rPr>
        <w:t xml:space="preserve"> </w:t>
      </w:r>
      <w:r w:rsidR="00137A0E" w:rsidRPr="00E2197A">
        <w:rPr>
          <w:lang w:val="en-US"/>
        </w:rPr>
        <w:t>due to measurement uncertainties they may vary slightly. However, such variations are overlooked in this work, and data are incorporated as averages.</w:t>
      </w:r>
    </w:p>
    <w:p w14:paraId="530301E7" w14:textId="77777777" w:rsidR="00E2197A" w:rsidRPr="00E2197A" w:rsidRDefault="00E2197A" w:rsidP="00E2197A">
      <w:pPr>
        <w:rPr>
          <w:lang w:val="en-US"/>
        </w:rPr>
      </w:pPr>
    </w:p>
    <w:p w14:paraId="356CE0AC" w14:textId="4C60FDF4" w:rsidR="00E2197A" w:rsidRPr="00E2197A" w:rsidRDefault="00E2197A" w:rsidP="00E2197A">
      <w:pPr>
        <w:rPr>
          <w:lang w:val="en-US"/>
        </w:rPr>
      </w:pPr>
      <w:r w:rsidRPr="00E2197A">
        <w:rPr>
          <w:lang w:val="en-US"/>
        </w:rPr>
        <w:t xml:space="preserve">For the </w:t>
      </w:r>
      <w:r w:rsidR="0029460F">
        <w:rPr>
          <w:lang w:val="en-US"/>
        </w:rPr>
        <w:t>l</w:t>
      </w:r>
      <w:r w:rsidRPr="00E2197A">
        <w:rPr>
          <w:lang w:val="en-US"/>
        </w:rPr>
        <w:t xml:space="preserve">eaching and </w:t>
      </w:r>
      <w:r w:rsidR="0029460F">
        <w:rPr>
          <w:lang w:val="en-US"/>
        </w:rPr>
        <w:t>f</w:t>
      </w:r>
      <w:r w:rsidRPr="00E2197A">
        <w:rPr>
          <w:lang w:val="en-US"/>
        </w:rPr>
        <w:t>iltration 1 unit process</w:t>
      </w:r>
      <w:r w:rsidR="00D2120A">
        <w:rPr>
          <w:lang w:val="en-US"/>
        </w:rPr>
        <w:t>,</w:t>
      </w:r>
      <w:r w:rsidRPr="00E2197A">
        <w:rPr>
          <w:lang w:val="en-US"/>
        </w:rPr>
        <w:t xml:space="preserve"> data are sourced in literature and personal communication with experts. Moreover, the stoichiometric coefficients of the leaching reaction are used for mass balance. </w:t>
      </w:r>
    </w:p>
    <w:p w14:paraId="2CF3F396" w14:textId="77777777" w:rsidR="00E2197A" w:rsidRPr="00E2197A" w:rsidRDefault="00E2197A" w:rsidP="00E2197A">
      <w:pPr>
        <w:rPr>
          <w:lang w:val="en-US"/>
        </w:rPr>
      </w:pPr>
    </w:p>
    <w:p w14:paraId="25D497D0" w14:textId="1FD6A053" w:rsidR="00E2197A" w:rsidRPr="00E2197A" w:rsidRDefault="00213DF7" w:rsidP="00E2197A">
      <w:pPr>
        <w:rPr>
          <w:lang w:val="en-US"/>
        </w:rPr>
      </w:pPr>
      <w:r>
        <w:rPr>
          <w:lang w:val="en-US"/>
        </w:rPr>
        <w:lastRenderedPageBreak/>
        <w:t xml:space="preserve">For </w:t>
      </w:r>
      <w:r w:rsidRPr="00E2197A">
        <w:rPr>
          <w:lang w:val="en-US"/>
        </w:rPr>
        <w:t>all unit processes of the metal recovery and purification phase</w:t>
      </w:r>
      <w:r w:rsidR="00003AB4">
        <w:rPr>
          <w:lang w:val="en-US"/>
        </w:rPr>
        <w:t>,</w:t>
      </w:r>
      <w:r>
        <w:rPr>
          <w:lang w:val="en-US"/>
        </w:rPr>
        <w:t xml:space="preserve"> d</w:t>
      </w:r>
      <w:r w:rsidR="00E2197A" w:rsidRPr="00E2197A">
        <w:rPr>
          <w:lang w:val="en-US"/>
        </w:rPr>
        <w:t>ata are sourced in literature and from expert consultation</w:t>
      </w:r>
      <w:r>
        <w:rPr>
          <w:lang w:val="en-US"/>
        </w:rPr>
        <w:t>.</w:t>
      </w:r>
      <w:r w:rsidR="00E2197A" w:rsidRPr="00E2197A">
        <w:rPr>
          <w:lang w:val="en-US"/>
        </w:rPr>
        <w:t xml:space="preserve"> </w:t>
      </w:r>
      <w:r w:rsidR="00AC1C8C" w:rsidRPr="00E2197A">
        <w:rPr>
          <w:lang w:val="en-US"/>
        </w:rPr>
        <w:t>Additionally, for</w:t>
      </w:r>
      <w:r w:rsidR="00E2197A" w:rsidRPr="00E2197A">
        <w:rPr>
          <w:lang w:val="en-US"/>
        </w:rPr>
        <w:t xml:space="preserve"> the RE recovery unit process, the stoichiometric coefficients of the precipitation reaction are used for mass balance.</w:t>
      </w:r>
    </w:p>
    <w:p w14:paraId="14BAF2BC" w14:textId="77777777" w:rsidR="00E2197A" w:rsidRPr="00E2197A" w:rsidRDefault="00E2197A" w:rsidP="00E2197A">
      <w:pPr>
        <w:rPr>
          <w:lang w:val="en-US"/>
        </w:rPr>
      </w:pPr>
    </w:p>
    <w:p w14:paraId="6402252E" w14:textId="7063D8FA" w:rsidR="00810BB9" w:rsidRPr="00E2197A" w:rsidRDefault="00974447" w:rsidP="00810BB9">
      <w:pPr>
        <w:rPr>
          <w:lang w:val="en-US"/>
        </w:rPr>
      </w:pPr>
      <w:r>
        <w:rPr>
          <w:lang w:val="en-US"/>
        </w:rPr>
        <w:t xml:space="preserve">Data for </w:t>
      </w:r>
      <w:r w:rsidR="00810BB9" w:rsidRPr="00E2197A">
        <w:rPr>
          <w:lang w:val="en-US"/>
        </w:rPr>
        <w:t>electricity consumption</w:t>
      </w:r>
      <w:r w:rsidR="00810BB9">
        <w:rPr>
          <w:lang w:val="en-US"/>
        </w:rPr>
        <w:t xml:space="preserve"> is sourced in literature </w:t>
      </w:r>
      <w:r w:rsidR="00810BB9" w:rsidRPr="00E2197A">
        <w:rPr>
          <w:lang w:val="en-US"/>
        </w:rPr>
        <w:t xml:space="preserve">and incorporated </w:t>
      </w:r>
      <w:r w:rsidR="00810BB9">
        <w:rPr>
          <w:lang w:val="en-US"/>
        </w:rPr>
        <w:t>as averages</w:t>
      </w:r>
      <w:r w:rsidR="00810BB9" w:rsidRPr="00E2197A">
        <w:rPr>
          <w:lang w:val="en-US"/>
        </w:rPr>
        <w:t xml:space="preserve">. </w:t>
      </w:r>
    </w:p>
    <w:p w14:paraId="7224FC49" w14:textId="77777777" w:rsidR="00E2197A" w:rsidRPr="009A215A" w:rsidRDefault="00E2197A" w:rsidP="00E2197A"/>
    <w:p w14:paraId="4B65F2EB" w14:textId="4F6C9AF5" w:rsidR="0023053B" w:rsidRPr="00E203CA" w:rsidRDefault="003152D5" w:rsidP="008D22E5">
      <w:pPr>
        <w:pStyle w:val="ListParagraph"/>
        <w:numPr>
          <w:ilvl w:val="0"/>
          <w:numId w:val="28"/>
        </w:numPr>
      </w:pPr>
      <w:r w:rsidRPr="009A215A">
        <w:t>Data gaps</w:t>
      </w:r>
    </w:p>
    <w:p w14:paraId="44D8D232" w14:textId="0261D7A5" w:rsidR="008D22E5" w:rsidRPr="008D22E5" w:rsidRDefault="008D22E5" w:rsidP="008D22E5">
      <w:pPr>
        <w:rPr>
          <w:lang w:val="en-US"/>
        </w:rPr>
      </w:pPr>
      <w:r w:rsidRPr="008D22E5">
        <w:rPr>
          <w:lang w:val="en-US"/>
        </w:rPr>
        <w:t xml:space="preserve">The composition of the magnetic powder coming out of the griding unit process is approximated by the composition reported </w:t>
      </w:r>
      <w:r w:rsidRPr="007A1BA1">
        <w:rPr>
          <w:lang w:val="en-US"/>
        </w:rPr>
        <w:t xml:space="preserve">in </w:t>
      </w:r>
      <w:proofErr w:type="spellStart"/>
      <w:r w:rsidR="00974447" w:rsidRPr="007A1BA1">
        <w:rPr>
          <w:lang w:val="en-US"/>
        </w:rPr>
        <w:t>Menad</w:t>
      </w:r>
      <w:proofErr w:type="spellEnd"/>
      <w:r w:rsidR="00974447" w:rsidRPr="007A1BA1">
        <w:rPr>
          <w:lang w:val="en-US"/>
        </w:rPr>
        <w:t xml:space="preserve"> &amp; Seron (2016)</w:t>
      </w:r>
      <w:r w:rsidRPr="007A1BA1">
        <w:rPr>
          <w:lang w:val="en-US"/>
        </w:rPr>
        <w:t>.</w:t>
      </w:r>
      <w:r w:rsidRPr="008D22E5">
        <w:rPr>
          <w:lang w:val="en-US"/>
        </w:rPr>
        <w:t xml:space="preserve"> The authors did not report all chemical components of the powder adding up to 100% but to 96,5%. In this sense, to hold the mass balance, the remaining 3,5% of the composition is assumed as “other,” which chemical nature is unknown.</w:t>
      </w:r>
    </w:p>
    <w:p w14:paraId="4D04A872" w14:textId="77777777" w:rsidR="008D22E5" w:rsidRPr="008D22E5" w:rsidRDefault="008D22E5" w:rsidP="008D22E5">
      <w:pPr>
        <w:rPr>
          <w:lang w:val="en-US"/>
        </w:rPr>
      </w:pPr>
    </w:p>
    <w:p w14:paraId="1ABC7439" w14:textId="5039BFAE" w:rsidR="009E1C29" w:rsidRDefault="008D22E5" w:rsidP="008D22E5">
      <w:pPr>
        <w:rPr>
          <w:lang w:val="en-US"/>
        </w:rPr>
      </w:pPr>
      <w:r w:rsidRPr="008D22E5">
        <w:rPr>
          <w:lang w:val="en-US"/>
        </w:rPr>
        <w:t>In the leaching and precipitation (RE recovery) unit processes, the chemical reactions for all elements of the magnetic powder are not known in this work. Only the reactions for the Nd content of the powder. Thus, approximation through mass balance</w:t>
      </w:r>
      <w:r w:rsidR="0044126C">
        <w:rPr>
          <w:lang w:val="en-US"/>
        </w:rPr>
        <w:t xml:space="preserve"> is </w:t>
      </w:r>
      <w:r w:rsidRPr="008D22E5">
        <w:rPr>
          <w:lang w:val="en-US"/>
        </w:rPr>
        <w:t>used for the rest of the components of the powder. Notably, this approximation results in a difference of 1% between the mass of input and output</w:t>
      </w:r>
      <w:r w:rsidR="001C53D2">
        <w:rPr>
          <w:lang w:val="en-US"/>
        </w:rPr>
        <w:t xml:space="preserve"> </w:t>
      </w:r>
      <w:r w:rsidRPr="008D22E5">
        <w:rPr>
          <w:lang w:val="en-US"/>
        </w:rPr>
        <w:t>in the RE recovery unit process, which is small enough to be acceptable.</w:t>
      </w:r>
    </w:p>
    <w:p w14:paraId="244B1F0F" w14:textId="77777777" w:rsidR="008D22E5" w:rsidRPr="009E1C29" w:rsidRDefault="008D22E5" w:rsidP="008D22E5">
      <w:pPr>
        <w:rPr>
          <w:lang w:val="en-US"/>
        </w:rPr>
      </w:pPr>
    </w:p>
    <w:p w14:paraId="08A21313" w14:textId="0C2FDF3D" w:rsidR="003152D5" w:rsidRPr="009A215A" w:rsidRDefault="003152D5" w:rsidP="009076A0">
      <w:pPr>
        <w:pStyle w:val="Heading5"/>
      </w:pPr>
      <w:bookmarkStart w:id="60" w:name="_Toc76752277"/>
      <w:r w:rsidRPr="009A215A">
        <w:t xml:space="preserve">Multifunctionality and </w:t>
      </w:r>
      <w:r w:rsidR="007A7849">
        <w:t>a</w:t>
      </w:r>
      <w:r w:rsidRPr="009A215A">
        <w:t>llocation</w:t>
      </w:r>
      <w:bookmarkEnd w:id="60"/>
    </w:p>
    <w:p w14:paraId="4CC27B65" w14:textId="77777777" w:rsidR="003152D5" w:rsidRPr="009A215A" w:rsidRDefault="003152D5" w:rsidP="009A215A"/>
    <w:p w14:paraId="7ED95EC5" w14:textId="77777777" w:rsidR="000B7763" w:rsidRDefault="004E7E51" w:rsidP="004E7E51">
      <w:pPr>
        <w:rPr>
          <w:lang w:val="en-US"/>
        </w:rPr>
      </w:pPr>
      <w:r w:rsidRPr="004E7E51">
        <w:rPr>
          <w:lang w:val="en-US"/>
        </w:rPr>
        <w:t xml:space="preserve">In this project, multifunctionality is in foreground processes with more than one functional </w:t>
      </w:r>
      <w:r w:rsidRPr="00740313">
        <w:rPr>
          <w:lang w:val="en-US"/>
        </w:rPr>
        <w:t>flow</w:t>
      </w:r>
      <w:r w:rsidR="000B7763">
        <w:rPr>
          <w:lang w:val="en-US"/>
        </w:rPr>
        <w:t>,</w:t>
      </w:r>
      <w:r w:rsidR="00740313" w:rsidRPr="00740313">
        <w:rPr>
          <w:lang w:val="en-US"/>
        </w:rPr>
        <w:t xml:space="preserve"> namely classification, magnetic separation, filtration 1, and RE recovery unit processes.</w:t>
      </w:r>
    </w:p>
    <w:p w14:paraId="7C01720A" w14:textId="77777777" w:rsidR="000B7763" w:rsidRDefault="000B7763" w:rsidP="004E7E51">
      <w:pPr>
        <w:rPr>
          <w:lang w:val="en-US"/>
        </w:rPr>
      </w:pPr>
    </w:p>
    <w:p w14:paraId="17422877" w14:textId="6C45A7B5" w:rsidR="007E3813" w:rsidRDefault="004E7E51" w:rsidP="004E7E51">
      <w:pPr>
        <w:rPr>
          <w:lang w:val="en-US"/>
        </w:rPr>
      </w:pPr>
      <w:r w:rsidRPr="004E7E51">
        <w:rPr>
          <w:lang w:val="en-US"/>
        </w:rPr>
        <w:t>Economic allocation is applied to allocate part of the non-functional flows and emissions of such processes to the reference flow of the product system. Economic allocation is relevant</w:t>
      </w:r>
      <w:r w:rsidR="000B2B8D">
        <w:rPr>
          <w:lang w:val="en-US"/>
        </w:rPr>
        <w:t xml:space="preserve"> in </w:t>
      </w:r>
      <w:r w:rsidRPr="004E7E51">
        <w:rPr>
          <w:lang w:val="en-US"/>
        </w:rPr>
        <w:t xml:space="preserve">this work because of the value placed by society on metals and REEs due to their wide application, critical role in technology performance, </w:t>
      </w:r>
      <w:r w:rsidR="00970052" w:rsidRPr="004E7E51">
        <w:rPr>
          <w:lang w:val="en-US"/>
        </w:rPr>
        <w:t>and</w:t>
      </w:r>
      <w:r w:rsidRPr="004E7E51">
        <w:rPr>
          <w:lang w:val="en-US"/>
        </w:rPr>
        <w:t xml:space="preserve"> in the green future, as commented in the introduction section. Moreover, the risk of REEs </w:t>
      </w:r>
      <w:r w:rsidR="00C26187">
        <w:rPr>
          <w:lang w:val="en-US"/>
        </w:rPr>
        <w:t>supply-</w:t>
      </w:r>
      <w:r w:rsidRPr="004E7E51">
        <w:rPr>
          <w:lang w:val="en-US"/>
        </w:rPr>
        <w:t xml:space="preserve">demand disruption and price spikes resulting from the Chinese </w:t>
      </w:r>
      <w:r w:rsidR="00484D63" w:rsidRPr="004E7E51">
        <w:rPr>
          <w:lang w:val="en-US"/>
        </w:rPr>
        <w:t>near</w:t>
      </w:r>
      <w:r w:rsidR="000B2B8D">
        <w:rPr>
          <w:lang w:val="en-US"/>
        </w:rPr>
        <w:t>-</w:t>
      </w:r>
      <w:r w:rsidR="00484D63" w:rsidRPr="004E7E51">
        <w:rPr>
          <w:lang w:val="en-US"/>
        </w:rPr>
        <w:t>monopoly</w:t>
      </w:r>
      <w:r w:rsidRPr="004E7E51">
        <w:rPr>
          <w:lang w:val="en-US"/>
        </w:rPr>
        <w:t xml:space="preserve"> is the driver to strive </w:t>
      </w:r>
      <w:r w:rsidR="00E80B57">
        <w:rPr>
          <w:lang w:val="en-US"/>
        </w:rPr>
        <w:t>the route.</w:t>
      </w:r>
    </w:p>
    <w:p w14:paraId="72D41FCC" w14:textId="77777777" w:rsidR="007E3813" w:rsidRDefault="007E3813" w:rsidP="004E7E51">
      <w:pPr>
        <w:rPr>
          <w:lang w:val="en-US"/>
        </w:rPr>
      </w:pPr>
    </w:p>
    <w:p w14:paraId="0B06FEDC" w14:textId="46C16A58" w:rsidR="004E7E51" w:rsidRDefault="000D7C6E" w:rsidP="004E7E51">
      <w:pPr>
        <w:rPr>
          <w:lang w:val="en-US"/>
        </w:rPr>
      </w:pPr>
      <w:r w:rsidRPr="000D7C6E">
        <w:rPr>
          <w:lang w:val="en-US"/>
        </w:rPr>
        <w:lastRenderedPageBreak/>
        <w:t xml:space="preserve">A particular challenge for the economic allocation concerns the price of compound goods co-produced in the product system, such as cake, filtrate solution 1, and solid-liquid suspension. Those are not commercialized yet, and their price is stipulated. This is common to ex-ante analysis. The approach used here is that the price is proportional to the individual price of their elemental composition </w:t>
      </w:r>
      <w:r w:rsidR="000B7763" w:rsidRPr="000B7763">
        <w:rPr>
          <w:lang w:val="en-US"/>
        </w:rPr>
        <w:t xml:space="preserve">(refer to </w:t>
      </w:r>
      <w:r w:rsidR="000B7763" w:rsidRPr="000B7763">
        <w:rPr>
          <w:lang w:val="en-US"/>
        </w:rPr>
        <w:fldChar w:fldCharType="begin"/>
      </w:r>
      <w:r w:rsidR="000B7763" w:rsidRPr="000B7763">
        <w:rPr>
          <w:lang w:val="en-US"/>
        </w:rPr>
        <w:instrText xml:space="preserve"> REF _Ref74851102 \w \h  \* MERGEFORMAT </w:instrText>
      </w:r>
      <w:r w:rsidR="000B7763" w:rsidRPr="000B7763">
        <w:rPr>
          <w:lang w:val="en-US"/>
        </w:rPr>
      </w:r>
      <w:r w:rsidR="000B7763" w:rsidRPr="000B7763">
        <w:rPr>
          <w:lang w:val="en-US"/>
        </w:rPr>
        <w:fldChar w:fldCharType="separate"/>
      </w:r>
      <w:r w:rsidR="000B7763" w:rsidRPr="000B7763">
        <w:rPr>
          <w:lang w:val="en-US"/>
        </w:rPr>
        <w:t>appendix B</w:t>
      </w:r>
      <w:r w:rsidR="000B7763" w:rsidRPr="000B7763">
        <w:rPr>
          <w:lang w:val="en-US"/>
        </w:rPr>
        <w:fldChar w:fldCharType="end"/>
      </w:r>
      <w:r w:rsidR="000B7763" w:rsidRPr="000B7763">
        <w:rPr>
          <w:lang w:val="en-US"/>
        </w:rPr>
        <w:t xml:space="preserve"> for calculation)</w:t>
      </w:r>
      <w:r w:rsidR="00FD084F" w:rsidRPr="000B7763">
        <w:rPr>
          <w:lang w:val="en-US"/>
        </w:rPr>
        <w:t>.</w:t>
      </w:r>
      <w:r w:rsidR="000D33A8">
        <w:rPr>
          <w:lang w:val="en-US"/>
        </w:rPr>
        <w:t xml:space="preserve"> </w:t>
      </w:r>
      <w:r w:rsidRPr="000D7C6E">
        <w:rPr>
          <w:lang w:val="en-US"/>
        </w:rPr>
        <w:t>The elemental composition is approximated as the</w:t>
      </w:r>
      <w:r w:rsidR="00705C6C">
        <w:rPr>
          <w:lang w:val="en-US"/>
        </w:rPr>
        <w:t xml:space="preserve"> </w:t>
      </w:r>
      <w:r w:rsidRPr="000D7C6E">
        <w:rPr>
          <w:lang w:val="en-US"/>
        </w:rPr>
        <w:t>ratio between the element’s mass over the good’s mass.</w:t>
      </w:r>
    </w:p>
    <w:p w14:paraId="266BF9B7" w14:textId="77777777" w:rsidR="004E7E51" w:rsidRPr="004E7E51" w:rsidRDefault="004E7E51" w:rsidP="004E7E51">
      <w:pPr>
        <w:rPr>
          <w:lang w:val="en-US"/>
        </w:rPr>
      </w:pPr>
    </w:p>
    <w:p w14:paraId="5E5172FA" w14:textId="780BAAED" w:rsidR="00462E69" w:rsidRPr="00462E69" w:rsidRDefault="0034566C" w:rsidP="00462E69">
      <w:pPr>
        <w:rPr>
          <w:lang w:val="en-US"/>
        </w:rPr>
      </w:pPr>
      <w:r w:rsidRPr="0034566C">
        <w:rPr>
          <w:lang w:val="en-US"/>
        </w:rPr>
        <w:t>Another option to address multifunctionally in the system is through mass allocation. However, this is not considered the first option for two reasons: revenue generation is the route driver, and the co-products involve light</w:t>
      </w:r>
      <w:r w:rsidR="00705C6C">
        <w:rPr>
          <w:lang w:val="en-US"/>
        </w:rPr>
        <w:t xml:space="preserve">, </w:t>
      </w:r>
      <w:r w:rsidRPr="0034566C">
        <w:rPr>
          <w:lang w:val="en-US"/>
        </w:rPr>
        <w:t>heavy metals</w:t>
      </w:r>
      <w:r w:rsidR="00705C6C">
        <w:rPr>
          <w:lang w:val="en-US"/>
        </w:rPr>
        <w:t>,</w:t>
      </w:r>
      <w:r w:rsidRPr="0034566C">
        <w:rPr>
          <w:lang w:val="en-US"/>
        </w:rPr>
        <w:t xml:space="preserve"> and chemical reagents. So, weight diversity can provide unfair allocation</w:t>
      </w:r>
      <w:r w:rsidR="00335571">
        <w:rPr>
          <w:lang w:val="en-US"/>
        </w:rPr>
        <w:t xml:space="preserve">. </w:t>
      </w:r>
      <w:r w:rsidR="004E7E51" w:rsidRPr="004E7E51">
        <w:rPr>
          <w:lang w:val="en-US"/>
        </w:rPr>
        <w:t xml:space="preserve">Indeed, </w:t>
      </w:r>
      <w:r w:rsidR="00C01B1D">
        <w:rPr>
          <w:lang w:val="en-US"/>
        </w:rPr>
        <w:fldChar w:fldCharType="begin" w:fldLock="1"/>
      </w:r>
      <w:r w:rsidR="00EB335C">
        <w:rPr>
          <w:lang w:val="en-US"/>
        </w:rPr>
        <w:instrText>ADDIN CSL_CITATION {"citationItems":[{"id":"ITEM-1","itemData":{"DOI":"10.1007/s11367-015-1022-4","ISSN":"16147502","abstract":"Purpose: The metal and mining industry routinely conducts life cycle assessment studies to monitor and document the potential environmental impacts of their products. These studies are typically conducted independently by the various commodity associations. To facilitate alignment of these methodologies, a working group comprised of interested industry organizations and their representatives was formed to propose uniform recommendations for key methodological choices. Methods: Existing methodologies used by the participating associations were reviewed to identify areas of alignment as well as areas which could benefit from discussions and alignment. Recommendations for selected topics were then developed through a series of moderated discussions among the participating organizations throughout 2012 and 2013. Efforts were taken in the creation of the document to ensure alignment with the international standards ISO 14040 (2006) and ISO 14044 (2006). Four methodology issues were chosen to be addressed with respect to industry alignment: system boundary, recycling allocation, co-product allocation, and impact assessment categories. Results and discussion: Recommendations for system boundary conclude that boundaries should include end-of-life disposal and recycling and, whenever possible, the product use phase, particularly for material and product comparison. For co-product allocation methods, the recommendations were based on the type of co-products being produced and included a range of options to guide practitioners’ decisions. It was recommended for recycling allocation that practitioners use the avoided burden methodology. Lastly, for the life cycle impact assessment stage, it was recommended that life cycle assessments (LCAs) on metal and mining products should report the following impact categories: global warming potential, acidification potential, eutrophication potential, photochemical oxidant creation potential, and ozone depletion potential. It was recommended that inclusion of other impact categories will be periodically re-evaluated by the metal industry. Further, the recommendation is that, while impact categories included are limited to the five above, all life cycle inventory (LCI) datasets themselves should contain accurate and comprehensive inventory data, given reasonable accessibility and data collection cost constraints. Conclusions: Methodological alignment for LCA studies in the metal and mining industry will lead to improved consis…","author":[{"dropping-particle":"","family":"Santero","given":"Nicholas","non-dropping-particle":"","parse-names":false,"suffix":""},{"dropping-particle":"","family":"Hendry","given":"Josh","non-dropping-particle":"","parse-names":false,"suffix":""}],"container-title":"International Journal of Life Cycle Assessment","id":"ITEM-1","issue":"11","issued":{"date-parts":[["2016"]]},"page":"1543-1553","publisher":"The International Journal of Life Cycle Assessment","title":"Harmonization of LCA methodologies for the metal and mining industry","type":"article-journal","volume":"21"},"uris":["http://www.mendeley.com/documents/?uuid=d1ac51c9-a82d-4744-aab4-986b177d08f0"]}],"mendeley":{"formattedCitation":"(Santero &amp; Hendry, 2016)","manualFormatting":"Santero &amp; Hendry (2016)","plainTextFormattedCitation":"(Santero &amp; Hendry, 2016)","previouslyFormattedCitation":"(Santero &amp; Hendry, 2016)"},"properties":{"noteIndex":0},"schema":"https://github.com/citation-style-language/schema/raw/master/csl-citation.json"}</w:instrText>
      </w:r>
      <w:r w:rsidR="00C01B1D">
        <w:rPr>
          <w:lang w:val="en-US"/>
        </w:rPr>
        <w:fldChar w:fldCharType="separate"/>
      </w:r>
      <w:r w:rsidR="00C01B1D" w:rsidRPr="00C01B1D">
        <w:rPr>
          <w:noProof/>
          <w:lang w:val="en-US"/>
        </w:rPr>
        <w:t>Santero &amp; Hendry</w:t>
      </w:r>
      <w:r w:rsidR="00C01B1D">
        <w:rPr>
          <w:noProof/>
          <w:lang w:val="en-US"/>
        </w:rPr>
        <w:t xml:space="preserve"> (</w:t>
      </w:r>
      <w:r w:rsidR="00C01B1D" w:rsidRPr="00C01B1D">
        <w:rPr>
          <w:noProof/>
          <w:lang w:val="en-US"/>
        </w:rPr>
        <w:t>2016)</w:t>
      </w:r>
      <w:r w:rsidR="00C01B1D">
        <w:rPr>
          <w:lang w:val="en-US"/>
        </w:rPr>
        <w:fldChar w:fldCharType="end"/>
      </w:r>
      <w:r w:rsidR="00C01B1D">
        <w:rPr>
          <w:lang w:val="en-US"/>
        </w:rPr>
        <w:t xml:space="preserve"> </w:t>
      </w:r>
      <w:r w:rsidRPr="0034566C">
        <w:rPr>
          <w:lang w:val="en-US"/>
        </w:rPr>
        <w:t>report that the white paper of PE International, for the harmonization of LCA methodologies for metals, recommends economic allocation over mass allocation for a situation like in this work. Therefore, economic allocation appears as a proper first choice. The allocation factors yielding from the economic approach are</w:t>
      </w:r>
      <w:r>
        <w:rPr>
          <w:lang w:val="en-US"/>
        </w:rPr>
        <w:t xml:space="preserve"> </w:t>
      </w:r>
      <w:r w:rsidR="00462E69" w:rsidRPr="00462E69">
        <w:rPr>
          <w:lang w:val="en-US"/>
        </w:rPr>
        <w:t xml:space="preserve">in </w:t>
      </w:r>
      <w:r w:rsidR="008B151A">
        <w:rPr>
          <w:lang w:val="en-US"/>
        </w:rPr>
        <w:fldChar w:fldCharType="begin"/>
      </w:r>
      <w:r w:rsidR="008B151A">
        <w:rPr>
          <w:lang w:val="en-US"/>
        </w:rPr>
        <w:instrText xml:space="preserve"> REF _Ref74851102 \w \h </w:instrText>
      </w:r>
      <w:r w:rsidR="008B151A">
        <w:rPr>
          <w:lang w:val="en-US"/>
        </w:rPr>
      </w:r>
      <w:r w:rsidR="008B151A">
        <w:rPr>
          <w:lang w:val="en-US"/>
        </w:rPr>
        <w:fldChar w:fldCharType="separate"/>
      </w:r>
      <w:r w:rsidR="008B151A">
        <w:rPr>
          <w:lang w:val="en-US"/>
        </w:rPr>
        <w:t>appendix B</w:t>
      </w:r>
      <w:r w:rsidR="008B151A">
        <w:rPr>
          <w:lang w:val="en-US"/>
        </w:rPr>
        <w:fldChar w:fldCharType="end"/>
      </w:r>
      <w:r w:rsidR="008B151A">
        <w:rPr>
          <w:lang w:val="en-US"/>
        </w:rPr>
        <w:t>.</w:t>
      </w:r>
    </w:p>
    <w:p w14:paraId="6E01954E" w14:textId="4DC9B909" w:rsidR="00633271" w:rsidRDefault="00633271" w:rsidP="004E7E51">
      <w:pPr>
        <w:rPr>
          <w:lang w:val="en-US"/>
        </w:rPr>
      </w:pPr>
    </w:p>
    <w:p w14:paraId="1C80153F" w14:textId="61722D67" w:rsidR="005074C9" w:rsidRDefault="0038107E" w:rsidP="009A215A">
      <w:pPr>
        <w:rPr>
          <w:lang w:val="en-US"/>
        </w:rPr>
      </w:pPr>
      <w:r>
        <w:rPr>
          <w:lang w:val="en-US"/>
        </w:rPr>
        <w:t>A</w:t>
      </w:r>
      <w:r w:rsidR="00633271">
        <w:rPr>
          <w:lang w:val="en-US"/>
        </w:rPr>
        <w:t>void</w:t>
      </w:r>
      <w:r>
        <w:rPr>
          <w:lang w:val="en-US"/>
        </w:rPr>
        <w:t>ing</w:t>
      </w:r>
      <w:r w:rsidR="00633271">
        <w:rPr>
          <w:lang w:val="en-US"/>
        </w:rPr>
        <w:t xml:space="preserve"> allocation through the system expansion technique is not possible</w:t>
      </w:r>
      <w:r>
        <w:rPr>
          <w:lang w:val="en-US"/>
        </w:rPr>
        <w:t xml:space="preserve"> for this work</w:t>
      </w:r>
      <w:r w:rsidR="00633271">
        <w:rPr>
          <w:lang w:val="en-US"/>
        </w:rPr>
        <w:t>. This is due to the unique way in which the co-products are produced in the route</w:t>
      </w:r>
      <w:r>
        <w:rPr>
          <w:lang w:val="en-US"/>
        </w:rPr>
        <w:t xml:space="preserve">, which makes the LCI database </w:t>
      </w:r>
      <w:r w:rsidR="00633271">
        <w:rPr>
          <w:lang w:val="en-US"/>
        </w:rPr>
        <w:t>lack</w:t>
      </w:r>
      <w:r>
        <w:rPr>
          <w:lang w:val="en-US"/>
        </w:rPr>
        <w:t>s</w:t>
      </w:r>
      <w:r w:rsidR="00D57E55">
        <w:rPr>
          <w:lang w:val="en-US"/>
        </w:rPr>
        <w:t xml:space="preserve"> </w:t>
      </w:r>
      <w:r w:rsidR="00633271" w:rsidRPr="003B60DA">
        <w:rPr>
          <w:lang w:val="en-US"/>
        </w:rPr>
        <w:t>independent alternative production route</w:t>
      </w:r>
      <w:r w:rsidR="00D57E55">
        <w:rPr>
          <w:lang w:val="en-US"/>
        </w:rPr>
        <w:t>s</w:t>
      </w:r>
      <w:r w:rsidR="00633271" w:rsidRPr="003B60DA">
        <w:rPr>
          <w:lang w:val="en-US"/>
        </w:rPr>
        <w:t xml:space="preserve"> </w:t>
      </w:r>
      <w:r>
        <w:rPr>
          <w:lang w:val="en-US"/>
        </w:rPr>
        <w:t xml:space="preserve">to represent the co-products. </w:t>
      </w:r>
    </w:p>
    <w:p w14:paraId="39B26E87" w14:textId="77777777" w:rsidR="00F63275" w:rsidRPr="005074C9" w:rsidRDefault="00F63275" w:rsidP="009A215A">
      <w:pPr>
        <w:rPr>
          <w:lang w:val="en-US"/>
        </w:rPr>
      </w:pPr>
    </w:p>
    <w:p w14:paraId="02BA8AB3" w14:textId="6105CBA8" w:rsidR="00F86E33" w:rsidRDefault="00335571" w:rsidP="009A215A">
      <w:pPr>
        <w:rPr>
          <w:lang w:val="en-US"/>
        </w:rPr>
      </w:pPr>
      <w:r w:rsidRPr="00335571">
        <w:rPr>
          <w:lang w:val="en-US"/>
        </w:rPr>
        <w:t xml:space="preserve">Lastly, it is important to remember that the product system's function is defined as the "recovery of REO from EOL </w:t>
      </w:r>
      <w:proofErr w:type="spellStart"/>
      <w:r w:rsidRPr="00335571">
        <w:rPr>
          <w:lang w:val="en-US"/>
        </w:rPr>
        <w:t>NdFeB</w:t>
      </w:r>
      <w:proofErr w:type="spellEnd"/>
      <w:r w:rsidRPr="00335571">
        <w:rPr>
          <w:lang w:val="en-US"/>
        </w:rPr>
        <w:t xml:space="preserve"> magnets derived from EOL HDDs e-waste." In this regard, the inflow of EOL HDDs in the system is considered a good (burdenless) due to its positive economic value and not a waste. A particular dataset from the </w:t>
      </w:r>
      <w:proofErr w:type="spellStart"/>
      <w:r w:rsidRPr="00335571">
        <w:rPr>
          <w:lang w:val="en-US"/>
        </w:rPr>
        <w:t>ecoinvent</w:t>
      </w:r>
      <w:proofErr w:type="spellEnd"/>
      <w:r w:rsidRPr="00335571">
        <w:rPr>
          <w:lang w:val="en-US"/>
        </w:rPr>
        <w:t xml:space="preserve"> database "electronics scrap, Recycled Content cut-off" is used for that. In this sense, any multifunctionality in the fragmentation unit process due to the inflow of waste and outflow of goods is avoided.</w:t>
      </w:r>
    </w:p>
    <w:p w14:paraId="3662CDE3" w14:textId="07815FD9" w:rsidR="00F436AB" w:rsidRDefault="00F436AB" w:rsidP="009A215A">
      <w:pPr>
        <w:rPr>
          <w:lang w:val="en-US"/>
        </w:rPr>
      </w:pPr>
    </w:p>
    <w:p w14:paraId="0946CE45" w14:textId="7C63D6A6" w:rsidR="00F436AB" w:rsidRDefault="00F436AB" w:rsidP="009A215A">
      <w:pPr>
        <w:rPr>
          <w:lang w:val="en-US"/>
        </w:rPr>
      </w:pPr>
    </w:p>
    <w:p w14:paraId="1D2E973E" w14:textId="1F6CDF98" w:rsidR="00F436AB" w:rsidRDefault="00F436AB" w:rsidP="009A215A">
      <w:pPr>
        <w:rPr>
          <w:lang w:val="en-US"/>
        </w:rPr>
      </w:pPr>
    </w:p>
    <w:p w14:paraId="2ECA9B4B" w14:textId="2DB45441" w:rsidR="00F436AB" w:rsidRDefault="00F436AB" w:rsidP="009A215A">
      <w:pPr>
        <w:rPr>
          <w:lang w:val="en-US"/>
        </w:rPr>
      </w:pPr>
    </w:p>
    <w:p w14:paraId="7A110A71" w14:textId="77777777" w:rsidR="00F436AB" w:rsidRDefault="00F436AB" w:rsidP="009A215A">
      <w:pPr>
        <w:rPr>
          <w:lang w:val="en-US"/>
        </w:rPr>
      </w:pPr>
    </w:p>
    <w:p w14:paraId="3A716745" w14:textId="77777777" w:rsidR="00335571" w:rsidRPr="009A215A" w:rsidRDefault="00335571" w:rsidP="009A215A"/>
    <w:p w14:paraId="77918616" w14:textId="02577E2C" w:rsidR="003152D5" w:rsidRDefault="003152D5" w:rsidP="001D72BB">
      <w:pPr>
        <w:pStyle w:val="Heading4"/>
      </w:pPr>
      <w:bookmarkStart w:id="61" w:name="_Ref74852396"/>
      <w:bookmarkStart w:id="62" w:name="_Toc76752278"/>
      <w:r w:rsidRPr="009A215A">
        <w:lastRenderedPageBreak/>
        <w:t>Impact Assessment</w:t>
      </w:r>
      <w:bookmarkEnd w:id="61"/>
      <w:bookmarkEnd w:id="62"/>
    </w:p>
    <w:p w14:paraId="71901D12" w14:textId="77777777" w:rsidR="0087464F" w:rsidRDefault="0087464F" w:rsidP="0087464F"/>
    <w:p w14:paraId="1C57F39F" w14:textId="098C6CD1" w:rsidR="0087464F" w:rsidRPr="009A215A" w:rsidRDefault="0087464F" w:rsidP="009076A0">
      <w:pPr>
        <w:pStyle w:val="Heading5"/>
      </w:pPr>
      <w:bookmarkStart w:id="63" w:name="_Toc76752279"/>
      <w:r>
        <w:t>Classification, characterization, and normalization</w:t>
      </w:r>
      <w:bookmarkEnd w:id="63"/>
    </w:p>
    <w:p w14:paraId="6A391762" w14:textId="77777777" w:rsidR="00F93DBD" w:rsidRDefault="00F93DBD" w:rsidP="00274494"/>
    <w:p w14:paraId="521729F3" w14:textId="7BAA2DDF" w:rsidR="00280DA9" w:rsidRPr="00E203CA" w:rsidRDefault="00F93DBD" w:rsidP="00280DA9">
      <w:pPr>
        <w:pStyle w:val="ListParagraph"/>
        <w:numPr>
          <w:ilvl w:val="0"/>
          <w:numId w:val="27"/>
        </w:numPr>
        <w:rPr>
          <w:lang w:val="en-US"/>
        </w:rPr>
      </w:pPr>
      <w:r w:rsidRPr="004C37A5">
        <w:rPr>
          <w:lang w:val="en-US"/>
        </w:rPr>
        <w:t xml:space="preserve">Classification </w:t>
      </w:r>
    </w:p>
    <w:p w14:paraId="5A37814C" w14:textId="31396AD9" w:rsidR="0030102D" w:rsidRDefault="008D22E5" w:rsidP="00274494">
      <w:pPr>
        <w:rPr>
          <w:lang w:val="en-US"/>
        </w:rPr>
      </w:pPr>
      <w:r>
        <w:t>In the Life Cycle Impact Assessment (LCIA), emissions and resources consumed in the product system are grouped to measure the impacts caused on the environment.</w:t>
      </w:r>
      <w:r w:rsidR="00274494">
        <w:rPr>
          <w:lang w:val="en-US"/>
        </w:rPr>
        <w:t xml:space="preserve"> </w:t>
      </w:r>
      <w:r w:rsidR="0030102D">
        <w:rPr>
          <w:lang w:val="en-US"/>
        </w:rPr>
        <w:t xml:space="preserve">This process is called classification. </w:t>
      </w:r>
      <w:r w:rsidR="00274494">
        <w:t xml:space="preserve">Clustering of emission and resource use into an impact category is done through an indicator. Indicators allow </w:t>
      </w:r>
      <w:r w:rsidR="00856987">
        <w:rPr>
          <w:lang w:val="en-US"/>
        </w:rPr>
        <w:t xml:space="preserve">various </w:t>
      </w:r>
      <w:r w:rsidR="00274494">
        <w:t xml:space="preserve">emission and resource use to be represented into a single unit by using </w:t>
      </w:r>
      <w:r w:rsidR="00274494">
        <w:rPr>
          <w:lang w:val="en-US"/>
        </w:rPr>
        <w:t xml:space="preserve">characterization </w:t>
      </w:r>
      <w:r w:rsidR="00274494">
        <w:t>factors. These factors reflect pressures per unit of emission or resource consumed according to the indicator. LCIA models establish these links.</w:t>
      </w:r>
      <w:r w:rsidR="00274494">
        <w:rPr>
          <w:lang w:val="en-US"/>
        </w:rPr>
        <w:t xml:space="preserve"> </w:t>
      </w:r>
    </w:p>
    <w:p w14:paraId="1AE83E29" w14:textId="77777777" w:rsidR="0030102D" w:rsidRDefault="0030102D" w:rsidP="00274494">
      <w:pPr>
        <w:rPr>
          <w:lang w:val="en-US"/>
        </w:rPr>
      </w:pPr>
    </w:p>
    <w:p w14:paraId="3C45500D" w14:textId="409346CB" w:rsidR="00274494" w:rsidRDefault="00274494" w:rsidP="00274494">
      <w:pPr>
        <w:rPr>
          <w:lang w:val="en-US"/>
        </w:rPr>
      </w:pPr>
      <w:r>
        <w:rPr>
          <w:lang w:val="en-US"/>
        </w:rPr>
        <w:t xml:space="preserve">The European Commission recommends </w:t>
      </w:r>
      <w:r>
        <w:t>LCIA models, characterization factors, indicators, and units for calculating the environmental impacts of a product system in Europe</w:t>
      </w:r>
      <w:r>
        <w:rPr>
          <w:lang w:val="en-US"/>
        </w:rPr>
        <w:t xml:space="preserve"> through </w:t>
      </w:r>
      <w:r w:rsidRPr="00274494">
        <w:rPr>
          <w:lang w:val="en-US"/>
        </w:rPr>
        <w:t xml:space="preserve">the </w:t>
      </w:r>
      <w:r w:rsidRPr="00274494">
        <w:t>recommendation 2013/179/EU</w:t>
      </w:r>
      <w:r>
        <w:t xml:space="preserve"> </w:t>
      </w:r>
      <w:r w:rsidRPr="007A1BA1">
        <w:t>(</w:t>
      </w:r>
      <w:r w:rsidRPr="007A1BA1">
        <w:rPr>
          <w:lang w:val="en-US"/>
        </w:rPr>
        <w:t>European Commission, 2013</w:t>
      </w:r>
      <w:r w:rsidRPr="007A1BA1">
        <w:t>).</w:t>
      </w:r>
      <w:r>
        <w:rPr>
          <w:lang w:val="en-US"/>
        </w:rPr>
        <w:t xml:space="preserve"> </w:t>
      </w:r>
      <w:r w:rsidR="00835EB3">
        <w:rPr>
          <w:lang w:val="en-US"/>
        </w:rPr>
        <w:fldChar w:fldCharType="begin"/>
      </w:r>
      <w:r w:rsidR="00835EB3">
        <w:rPr>
          <w:lang w:val="en-US"/>
        </w:rPr>
        <w:instrText xml:space="preserve"> REF _Ref76732951 \h </w:instrText>
      </w:r>
      <w:r w:rsidR="00835EB3">
        <w:rPr>
          <w:lang w:val="en-US"/>
        </w:rPr>
      </w:r>
      <w:r w:rsidR="00835EB3">
        <w:rPr>
          <w:lang w:val="en-US"/>
        </w:rPr>
        <w:fldChar w:fldCharType="separate"/>
      </w:r>
      <w:r w:rsidR="00835EB3">
        <w:t xml:space="preserve">Table </w:t>
      </w:r>
      <w:r w:rsidR="00835EB3">
        <w:rPr>
          <w:noProof/>
        </w:rPr>
        <w:t>E</w:t>
      </w:r>
      <w:r w:rsidR="00835EB3">
        <w:t>.</w:t>
      </w:r>
      <w:r w:rsidR="00835EB3">
        <w:rPr>
          <w:noProof/>
        </w:rPr>
        <w:t>1</w:t>
      </w:r>
      <w:r w:rsidR="00835EB3">
        <w:rPr>
          <w:lang w:val="en-US"/>
        </w:rPr>
        <w:fldChar w:fldCharType="end"/>
      </w:r>
      <w:r>
        <w:rPr>
          <w:lang w:val="en-US"/>
        </w:rPr>
        <w:t xml:space="preserve"> in appendix </w:t>
      </w:r>
      <w:r w:rsidR="00835EB3">
        <w:rPr>
          <w:lang w:val="en-US"/>
        </w:rPr>
        <w:t>E</w:t>
      </w:r>
      <w:r>
        <w:rPr>
          <w:lang w:val="en-US"/>
        </w:rPr>
        <w:t xml:space="preserve"> lists the recommend</w:t>
      </w:r>
      <w:r w:rsidR="008E4336">
        <w:rPr>
          <w:lang w:val="en-US"/>
        </w:rPr>
        <w:t xml:space="preserve">ed elements. The ILCD </w:t>
      </w:r>
      <w:r w:rsidR="008E4336" w:rsidRPr="009A215A">
        <w:t>2.0 2018 midpoint</w:t>
      </w:r>
      <w:r w:rsidR="008E4336">
        <w:rPr>
          <w:lang w:val="en-US"/>
        </w:rPr>
        <w:t xml:space="preserve"> LCIA approach agrees with the recommendation. For this </w:t>
      </w:r>
      <w:r w:rsidR="002D7565">
        <w:rPr>
          <w:lang w:val="en-US"/>
        </w:rPr>
        <w:t>reason,</w:t>
      </w:r>
      <w:r w:rsidR="008E4336">
        <w:rPr>
          <w:lang w:val="en-US"/>
        </w:rPr>
        <w:t xml:space="preserve"> it is the assessment chosen to investigate the environmental impacts </w:t>
      </w:r>
      <w:r w:rsidR="00792686">
        <w:rPr>
          <w:lang w:val="en-US"/>
        </w:rPr>
        <w:t>of</w:t>
      </w:r>
      <w:r w:rsidR="008E4336">
        <w:rPr>
          <w:lang w:val="en-US"/>
        </w:rPr>
        <w:t xml:space="preserve"> this work’s product system</w:t>
      </w:r>
      <w:r w:rsidR="008E4336" w:rsidRPr="006B1C66">
        <w:rPr>
          <w:lang w:val="en-US"/>
        </w:rPr>
        <w:t>.</w:t>
      </w:r>
    </w:p>
    <w:p w14:paraId="2868D9E8" w14:textId="77777777" w:rsidR="00F72CD3" w:rsidRDefault="00F72CD3" w:rsidP="00F72CD3"/>
    <w:p w14:paraId="701EE82B" w14:textId="71A30BEC" w:rsidR="00F72CD3" w:rsidRPr="00F72CD3" w:rsidRDefault="00B954F1" w:rsidP="00274494">
      <w:r w:rsidRPr="00B954F1">
        <w:rPr>
          <w:lang w:val="en-US"/>
        </w:rPr>
        <w:t>Regarding the</w:t>
      </w:r>
      <w:r>
        <w:rPr>
          <w:lang w:val="en-US"/>
        </w:rPr>
        <w:t xml:space="preserve"> chosen impact categories, they are according </w:t>
      </w:r>
      <w:r w:rsidR="00243F75">
        <w:rPr>
          <w:lang w:val="en-US"/>
        </w:rPr>
        <w:t>to</w:t>
      </w:r>
      <w:r w:rsidRPr="00B954F1">
        <w:rPr>
          <w:lang w:val="en-US"/>
        </w:rPr>
        <w:t xml:space="preserve"> </w:t>
      </w:r>
      <w:r w:rsidR="00F72CD3">
        <w:fldChar w:fldCharType="begin" w:fldLock="1"/>
      </w:r>
      <w:r w:rsidR="00F72CD3">
        <w:instrText>ADDIN CSL_CITATION {"citationItems":[{"id":"ITEM-1","itemData":{"DOI":"10.1007/s11367-015-1022-4","ISSN":"16147502","abstract":"Purpose: The metal and mining industry routinely conducts life cycle assessment studies to monitor and document the potential environmental impacts of their products. These studies are typically conducted independently by the various commodity associations. To facilitate alignment of these methodologies, a working group comprised of interested industry organizations and their representatives was formed to propose uniform recommendations for key methodological choices. Methods: Existing methodologies used by the participating associations were reviewed to identify areas of alignment as well as areas which could benefit from discussions and alignment. Recommendations for selected topics were then developed through a series of moderated discussions among the participating organizations throughout 2012 and 2013. Efforts were taken in the creation of the document to ensure alignment with the international standards ISO 14040 (2006) and ISO 14044 (2006). Four methodology issues were chosen to be addressed with respect to industry alignment: system boundary, recycling allocation, co-product allocation, and impact assessment categories. Results and discussion: Recommendations for system boundary conclude that boundaries should include end-of-life disposal and recycling and, whenever possible, the product use phase, particularly for material and product comparison. For co-product allocation methods, the recommendations were based on the type of co-products being produced and included a range of options to guide practitioners’ decisions. It was recommended for recycling allocation that practitioners use the avoided burden methodology. Lastly, for the life cycle impact assessment stage, it was recommended that life cycle assessments (LCAs) on metal and mining products should report the following impact categories: global warming potential, acidification potential, eutrophication potential, photochemical oxidant creation potential, and ozone depletion potential. It was recommended that inclusion of other impact categories will be periodically re-evaluated by the metal industry. Further, the recommendation is that, while impact categories included are limited to the five above, all life cycle inventory (LCI) datasets themselves should contain accurate and comprehensive inventory data, given reasonable accessibility and data collection cost constraints. Conclusions: Methodological alignment for LCA studies in the metal and mining industry will lead to improved consis…","author":[{"dropping-particle":"","family":"Santero","given":"Nicholas","non-dropping-particle":"","parse-names":false,"suffix":""},{"dropping-particle":"","family":"Hendry","given":"Josh","non-dropping-particle":"","parse-names":false,"suffix":""}],"container-title":"International Journal of Life Cycle Assessment","id":"ITEM-1","issue":"11","issued":{"date-parts":[["2016"]]},"page":"1543-1553","publisher":"The International Journal of Life Cycle Assessment","title":"Harmonization of LCA methodologies for the metal and mining industry","type":"article-journal","volume":"21"},"uris":["http://www.mendeley.com/documents/?uuid=d1ac51c9-a82d-4744-aab4-986b177d08f0"]}],"mendeley":{"formattedCitation":"(Santero &amp; Hendry, 2016)","manualFormatting":"Santero &amp; Hendry (2016)","plainTextFormattedCitation":"(Santero &amp; Hendry, 2016)","previouslyFormattedCitation":"(Santero &amp; Hendry, 2016)"},"properties":{"noteIndex":0},"schema":"https://github.com/citation-style-language/schema/raw/master/csl-citation.json"}</w:instrText>
      </w:r>
      <w:r w:rsidR="00F72CD3">
        <w:fldChar w:fldCharType="separate"/>
      </w:r>
      <w:r w:rsidR="00F72CD3" w:rsidRPr="00EB335C">
        <w:rPr>
          <w:noProof/>
        </w:rPr>
        <w:t>Santero &amp; Hendry</w:t>
      </w:r>
      <w:r w:rsidR="00F72CD3" w:rsidRPr="00B954F1">
        <w:rPr>
          <w:noProof/>
          <w:lang w:val="en-US"/>
        </w:rPr>
        <w:t xml:space="preserve"> (</w:t>
      </w:r>
      <w:r w:rsidR="00F72CD3" w:rsidRPr="00EB335C">
        <w:rPr>
          <w:noProof/>
        </w:rPr>
        <w:t>2016)</w:t>
      </w:r>
      <w:r w:rsidR="00F72CD3">
        <w:fldChar w:fldCharType="end"/>
      </w:r>
      <w:r>
        <w:rPr>
          <w:lang w:val="en-US"/>
        </w:rPr>
        <w:t xml:space="preserve">. </w:t>
      </w:r>
      <w:r w:rsidR="00243F75" w:rsidRPr="00243F75">
        <w:rPr>
          <w:lang w:val="en-US"/>
        </w:rPr>
        <w:t>The</w:t>
      </w:r>
      <w:r w:rsidR="00792686">
        <w:rPr>
          <w:lang w:val="en-US"/>
        </w:rPr>
        <w:t xml:space="preserve"> authors</w:t>
      </w:r>
      <w:r w:rsidR="00243F75" w:rsidRPr="00243F75">
        <w:rPr>
          <w:lang w:val="en-US"/>
        </w:rPr>
        <w:t xml:space="preserve"> report that the harmonization of LCA methodologies for metals by PE International claims that at least five impact categories should be considered: Climate change, Stratospheric ozone depletion, Ground-level photochemical ozone formation, Acidification (land and water), and Eutrophication (land and water). More impact categories may be added upon the study's product and goal, regardless of their recommendations. More three categories are relevant in REO production: Ecotoxicity, Human toxicity (cancer effects), and Human toxicity (non-cancer effects)</w:t>
      </w:r>
      <w:r w:rsidR="00F72CD3">
        <w:rPr>
          <w:lang w:val="en-US"/>
        </w:rPr>
        <w:t xml:space="preserve"> </w:t>
      </w:r>
      <w:r w:rsidR="00F72CD3">
        <w:rPr>
          <w:lang w:val="en-US"/>
        </w:rPr>
        <w:fldChar w:fldCharType="begin" w:fldLock="1"/>
      </w:r>
      <w:r w:rsidR="00F72CD3">
        <w:rPr>
          <w:lang w:val="en-US"/>
        </w:rPr>
        <w:instrText>ADDIN CSL_CITATION {"citationItems":[{"id":"ITEM-1","itemData":{"DOI":"10.1016/j.jenvman.2019.109353","ISSN":"10958630","PMID":"31493685","abstract":"Rare earth elements (REE), including neodymium, praseodymium, and dysprosium are used in a range of low-carbon technologies, such as electric vehicles and wind turbines, and demand for these REE is forecast to grow. This study demonstrates that a process simulation-based life cycle assessment (LCA) carried out at the early stages of a REE project, such as at the pre-feasibility stage, can inform subsequent decision making during the development of the project and help reduce its environmental impacts. As new REE supply chains are established and new mines are opened. It is important that the environmental consequences of different production options are examined in a life cycle context in order that the environment footprint of these raw materials is kept as low as possible. Here, we present a cradle-to-gate and process simulation-based life cycle assessment (LCA) for a potential new supply of REE at Songwe Hill in Malawi. We examine different project options including energy selection and a comparison of on-site acid regeneration versus virgin acid consumption which were being considered for the project. The LCA results show that the global warming potential of producing 1 kg of rare earth oxide (REO) from Songwe Hill is between 17 and 87 kg CO2-eq. A scenario that combines on-site acid regeneration with off-peak hydroelectric and photovoltaic energy gives the lowest global warming potential and performs well in other impact categories. This approach can equally well be applied to all other types of ore deposits and should be considered as a routine addition to all pre-feasibility studies.","author":[{"dropping-particle":"","family":"Pell","given":"Robert","non-dropping-particle":"","parse-names":false,"suffix":""},{"dropping-particle":"","family":"Wall","given":"Frances","non-dropping-particle":"","parse-names":false,"suffix":""},{"dropping-particle":"","family":"Yan","given":"Xiaoyu","non-dropping-particle":"","parse-names":false,"suffix":""},{"dropping-particle":"","family":"Li","given":"Jinhui","non-dropping-particle":"","parse-names":false,"suffix":""},{"dropping-particle":"","family":"Zeng","given":"Xianlai","non-dropping-particle":"","parse-names":false,"suffix":""}],"container-title":"Journal of Environmental Management","id":"ITEM-1","issue":"February","issued":{"date-parts":[["2019"]]},"page":"109353","publisher":"Elsevier","title":"Mineral processing simulation based-environmental life cycle assessment for rare earth project development: A case study on the Songwe Hill project","type":"article-journal","volume":"249"},"uris":["http://www.mendeley.com/documents/?uuid=59232a7a-d37a-4a1b-9a00-1bd441ab6b6e"]}],"mendeley":{"formattedCitation":"(Pell et al., 2019)","plainTextFormattedCitation":"(Pell et al., 2019)","previouslyFormattedCitation":"(Pell et al., 2019)"},"properties":{"noteIndex":0},"schema":"https://github.com/citation-style-language/schema/raw/master/csl-citation.json"}</w:instrText>
      </w:r>
      <w:r w:rsidR="00F72CD3">
        <w:rPr>
          <w:lang w:val="en-US"/>
        </w:rPr>
        <w:fldChar w:fldCharType="separate"/>
      </w:r>
      <w:r w:rsidR="00F72CD3" w:rsidRPr="00EE6407">
        <w:rPr>
          <w:noProof/>
          <w:lang w:val="en-US"/>
        </w:rPr>
        <w:t>(Pell et al., 2019)</w:t>
      </w:r>
      <w:r w:rsidR="00F72CD3">
        <w:rPr>
          <w:lang w:val="en-US"/>
        </w:rPr>
        <w:fldChar w:fldCharType="end"/>
      </w:r>
      <w:r w:rsidR="00F72CD3">
        <w:rPr>
          <w:lang w:val="en-US"/>
        </w:rPr>
        <w:t xml:space="preserve">. </w:t>
      </w:r>
      <w:r w:rsidR="00F72CD3">
        <w:t xml:space="preserve">Therefore, those impact categories </w:t>
      </w:r>
      <w:r>
        <w:rPr>
          <w:lang w:val="en-US"/>
        </w:rPr>
        <w:t>are</w:t>
      </w:r>
      <w:r w:rsidR="00F72CD3">
        <w:t xml:space="preserve"> als</w:t>
      </w:r>
      <w:r>
        <w:rPr>
          <w:lang w:val="en-US"/>
        </w:rPr>
        <w:t xml:space="preserve">o </w:t>
      </w:r>
      <w:r w:rsidR="00F72CD3">
        <w:t>considered for reporting in this work.</w:t>
      </w:r>
    </w:p>
    <w:p w14:paraId="5831D39F" w14:textId="77777777" w:rsidR="00EE10F3" w:rsidRPr="00274494" w:rsidRDefault="00EE10F3" w:rsidP="00274494">
      <w:pPr>
        <w:rPr>
          <w:lang w:val="en-US"/>
        </w:rPr>
      </w:pPr>
    </w:p>
    <w:p w14:paraId="05997BED" w14:textId="7BDD4909" w:rsidR="00EE10F3" w:rsidRDefault="00EE10F3" w:rsidP="00EE10F3">
      <w:r>
        <w:rPr>
          <w:lang w:val="en-US"/>
        </w:rPr>
        <w:t xml:space="preserve">Overall, </w:t>
      </w:r>
      <w:r w:rsidRPr="002C5672">
        <w:t>LCIA impact categories' indicators, characterization models, and factors</w:t>
      </w:r>
      <w:r>
        <w:rPr>
          <w:lang w:val="en-US"/>
        </w:rPr>
        <w:t xml:space="preserve"> have </w:t>
      </w:r>
      <w:r w:rsidRPr="002C5672">
        <w:t xml:space="preserve">two </w:t>
      </w:r>
      <w:r w:rsidR="00954297">
        <w:rPr>
          <w:lang w:val="en-US"/>
        </w:rPr>
        <w:t>approaches</w:t>
      </w:r>
      <w:r>
        <w:rPr>
          <w:lang w:val="en-US"/>
        </w:rPr>
        <w:t xml:space="preserve"> </w:t>
      </w:r>
      <w:r w:rsidRPr="002C5672">
        <w:t xml:space="preserve">to work with, midpoint and endpoint. Impact categories evaluated under the endpoint method provide indicators at the level of the areas of protection (or close to them), </w:t>
      </w:r>
      <w:r w:rsidRPr="002C5672">
        <w:lastRenderedPageBreak/>
        <w:t xml:space="preserve">representing thus an environmental issue </w:t>
      </w:r>
      <w:r>
        <w:rPr>
          <w:lang w:val="en-US"/>
        </w:rPr>
        <w:t xml:space="preserve">to be </w:t>
      </w:r>
      <w:r w:rsidRPr="002C5672">
        <w:t>concer</w:t>
      </w:r>
      <w:proofErr w:type="spellStart"/>
      <w:r>
        <w:rPr>
          <w:lang w:val="en-US"/>
        </w:rPr>
        <w:t>ned</w:t>
      </w:r>
      <w:proofErr w:type="spellEnd"/>
      <w:r w:rsidRPr="002C5672">
        <w:t xml:space="preserve"> due to the damage (endpoint) approach. On the other hand, impact categories evaluated under the midpoint method provide environmental damage indicators at a level of cause-effect, between emissions/resources use and the endpoint level. </w:t>
      </w:r>
    </w:p>
    <w:p w14:paraId="508C63C6" w14:textId="34DC8D2E" w:rsidR="00EE10F3" w:rsidRDefault="00EE10F3" w:rsidP="00EE10F3"/>
    <w:p w14:paraId="65478A9A" w14:textId="151B3F39" w:rsidR="00EE10F3" w:rsidRDefault="002A1EF6" w:rsidP="00EE10F3">
      <w:r w:rsidRPr="002A1EF6">
        <w:t>In this work, the midpoint approach is adopted. This choice is based on the analysis' goal, which lies in revealing the environmental hot spots of an emerging recycling route for REEs to ultimately suggest potential paths toward improving environmental performance. This claims to assess the impacts at a level of cause-effect and not so much at an endpoint damage level. Additionally, endpoint models are not sufficiently mature to be straightly recommended by ILCD (European Commission, 2011</w:t>
      </w:r>
      <w:r w:rsidR="0008447C">
        <w:rPr>
          <w:lang w:val="en-US"/>
        </w:rPr>
        <w:t>b</w:t>
      </w:r>
      <w:r w:rsidRPr="002A1EF6">
        <w:t>). Indeed, Guinée et al. (2002) emphasize that endpoint models are still under development, and for that, are not comprehensive and have high uncertainty levels</w:t>
      </w:r>
      <w:r w:rsidR="00EE10F3" w:rsidRPr="009A215A">
        <w:t xml:space="preserve">. </w:t>
      </w:r>
    </w:p>
    <w:p w14:paraId="6C514DB0" w14:textId="77777777" w:rsidR="000507E6" w:rsidRDefault="000507E6" w:rsidP="00EE10F3">
      <w:pPr>
        <w:rPr>
          <w:lang w:val="en-US"/>
        </w:rPr>
      </w:pPr>
    </w:p>
    <w:p w14:paraId="6FD3DD75" w14:textId="6B431E0E" w:rsidR="00280DA9" w:rsidRPr="00E203CA" w:rsidRDefault="004C37A5" w:rsidP="00280DA9">
      <w:pPr>
        <w:pStyle w:val="ListParagraph"/>
        <w:numPr>
          <w:ilvl w:val="0"/>
          <w:numId w:val="27"/>
        </w:numPr>
        <w:rPr>
          <w:lang w:val="en-US"/>
        </w:rPr>
      </w:pPr>
      <w:r>
        <w:rPr>
          <w:lang w:val="en-US"/>
        </w:rPr>
        <w:t>Characterization</w:t>
      </w:r>
    </w:p>
    <w:p w14:paraId="5DF0718B" w14:textId="30B59505" w:rsidR="00E77603" w:rsidRDefault="0023518D" w:rsidP="004C37A5">
      <w:pPr>
        <w:rPr>
          <w:lang w:val="en-US"/>
        </w:rPr>
      </w:pPr>
      <w:r w:rsidRPr="0060089F">
        <w:rPr>
          <w:lang w:val="en-US"/>
        </w:rPr>
        <w:t xml:space="preserve">Characterization of a product system consists of </w:t>
      </w:r>
      <w:r w:rsidR="0060089F" w:rsidRPr="0060089F">
        <w:rPr>
          <w:lang w:val="en-US"/>
        </w:rPr>
        <w:t>generating impact category indicator result</w:t>
      </w:r>
      <w:r w:rsidR="0060089F">
        <w:rPr>
          <w:lang w:val="en-US"/>
        </w:rPr>
        <w:t>s</w:t>
      </w:r>
      <w:r w:rsidR="0060089F" w:rsidRPr="0060089F">
        <w:rPr>
          <w:lang w:val="en-US"/>
        </w:rPr>
        <w:t xml:space="preserve"> by multiplying</w:t>
      </w:r>
      <w:r w:rsidR="0060089F">
        <w:rPr>
          <w:lang w:val="en-US"/>
        </w:rPr>
        <w:t xml:space="preserve"> </w:t>
      </w:r>
      <w:r w:rsidR="0060089F" w:rsidRPr="0060089F">
        <w:t xml:space="preserve">the classified environmental </w:t>
      </w:r>
      <w:r w:rsidR="00E77603">
        <w:rPr>
          <w:lang w:val="en-US"/>
        </w:rPr>
        <w:t>interventions</w:t>
      </w:r>
      <w:r w:rsidR="0060089F" w:rsidRPr="0060089F">
        <w:t xml:space="preserve"> by </w:t>
      </w:r>
      <w:r w:rsidR="0060089F">
        <w:rPr>
          <w:lang w:val="en-US"/>
        </w:rPr>
        <w:t>the</w:t>
      </w:r>
      <w:r w:rsidR="00E77603">
        <w:rPr>
          <w:lang w:val="en-US"/>
        </w:rPr>
        <w:t xml:space="preserve">ir </w:t>
      </w:r>
      <w:r w:rsidR="0060089F">
        <w:rPr>
          <w:lang w:val="en-US"/>
        </w:rPr>
        <w:t xml:space="preserve">corresponding </w:t>
      </w:r>
      <w:r w:rsidR="0060089F" w:rsidRPr="0060089F">
        <w:t>CFs</w:t>
      </w:r>
      <w:r w:rsidR="00CB52F1">
        <w:rPr>
          <w:lang w:val="en-US"/>
        </w:rPr>
        <w:t>,</w:t>
      </w:r>
      <w:r w:rsidR="00E77603">
        <w:rPr>
          <w:lang w:val="en-US"/>
        </w:rPr>
        <w:t xml:space="preserve"> according to the characterization model. Then, </w:t>
      </w:r>
      <w:r>
        <w:rPr>
          <w:lang w:val="en-US"/>
        </w:rPr>
        <w:t>gathering the impact category results</w:t>
      </w:r>
      <w:r w:rsidR="00E77603">
        <w:rPr>
          <w:lang w:val="en-US"/>
        </w:rPr>
        <w:t xml:space="preserve"> </w:t>
      </w:r>
      <w:r>
        <w:rPr>
          <w:lang w:val="en-US"/>
        </w:rPr>
        <w:t>determine</w:t>
      </w:r>
      <w:r w:rsidR="00361195">
        <w:rPr>
          <w:lang w:val="en-US"/>
        </w:rPr>
        <w:t>s</w:t>
      </w:r>
      <w:r>
        <w:rPr>
          <w:lang w:val="en-US"/>
        </w:rPr>
        <w:t xml:space="preserve"> the environmental profile of the system. </w:t>
      </w:r>
    </w:p>
    <w:p w14:paraId="0E21289F" w14:textId="77777777" w:rsidR="00E77603" w:rsidRDefault="00E77603" w:rsidP="004C37A5">
      <w:pPr>
        <w:rPr>
          <w:lang w:val="en-US"/>
        </w:rPr>
      </w:pPr>
    </w:p>
    <w:p w14:paraId="7CE15BCF" w14:textId="0ABB72AC" w:rsidR="004C37A5" w:rsidRDefault="00CF4B0A" w:rsidP="004C37A5">
      <w:pPr>
        <w:rPr>
          <w:lang w:val="en-US"/>
        </w:rPr>
      </w:pPr>
      <w:r>
        <w:rPr>
          <w:lang w:val="en-US"/>
        </w:rPr>
        <w:t xml:space="preserve">The characterized impact results </w:t>
      </w:r>
      <w:r w:rsidR="000C4198">
        <w:rPr>
          <w:lang w:val="en-US"/>
        </w:rPr>
        <w:t>are</w:t>
      </w:r>
      <w:r w:rsidR="00DB3980">
        <w:rPr>
          <w:lang w:val="en-US"/>
        </w:rPr>
        <w:t xml:space="preserve"> </w:t>
      </w:r>
      <w:r>
        <w:rPr>
          <w:lang w:val="en-US"/>
        </w:rPr>
        <w:t>the basis to compare the environmental performance</w:t>
      </w:r>
      <w:r w:rsidR="00AB4D9D">
        <w:rPr>
          <w:lang w:val="en-US"/>
        </w:rPr>
        <w:t xml:space="preserve"> of the recycling route vs. the primary production</w:t>
      </w:r>
      <w:r w:rsidR="000C4198">
        <w:rPr>
          <w:lang w:val="en-US"/>
        </w:rPr>
        <w:t xml:space="preserve"> and to understand the contribution of individual </w:t>
      </w:r>
      <w:r w:rsidR="00B44409">
        <w:rPr>
          <w:lang w:val="en-US"/>
        </w:rPr>
        <w:t xml:space="preserve">unit </w:t>
      </w:r>
      <w:r w:rsidR="000C4198">
        <w:rPr>
          <w:lang w:val="en-US"/>
        </w:rPr>
        <w:t>processes to the category indicator result</w:t>
      </w:r>
      <w:r w:rsidR="00AB4D9D">
        <w:rPr>
          <w:lang w:val="en-US"/>
        </w:rPr>
        <w:t xml:space="preserve">. In </w:t>
      </w:r>
      <w:r w:rsidR="00B44409">
        <w:rPr>
          <w:lang w:val="en-US"/>
        </w:rPr>
        <w:t xml:space="preserve">section </w:t>
      </w:r>
      <w:r w:rsidR="00CB52F1">
        <w:rPr>
          <w:lang w:val="en-US"/>
        </w:rPr>
        <w:t xml:space="preserve">4 </w:t>
      </w:r>
      <w:r w:rsidR="00B44409">
        <w:rPr>
          <w:lang w:val="en-US"/>
        </w:rPr>
        <w:t xml:space="preserve">are </w:t>
      </w:r>
      <w:r w:rsidR="00AB4D9D">
        <w:rPr>
          <w:lang w:val="en-US"/>
        </w:rPr>
        <w:t>the environmental profile of the product system</w:t>
      </w:r>
      <w:r w:rsidR="00597A83">
        <w:rPr>
          <w:lang w:val="en-US"/>
        </w:rPr>
        <w:t xml:space="preserve">, </w:t>
      </w:r>
      <w:r w:rsidR="00B44409">
        <w:rPr>
          <w:lang w:val="en-US"/>
        </w:rPr>
        <w:t xml:space="preserve">the </w:t>
      </w:r>
      <w:r w:rsidR="00597A83">
        <w:rPr>
          <w:lang w:val="en-US"/>
        </w:rPr>
        <w:t>contribution analysis</w:t>
      </w:r>
      <w:r w:rsidR="00B44409">
        <w:rPr>
          <w:lang w:val="en-US"/>
        </w:rPr>
        <w:t>,</w:t>
      </w:r>
      <w:r w:rsidR="00597A83">
        <w:rPr>
          <w:lang w:val="en-US"/>
        </w:rPr>
        <w:t xml:space="preserve"> and </w:t>
      </w:r>
      <w:r w:rsidR="00B44409">
        <w:rPr>
          <w:lang w:val="en-US"/>
        </w:rPr>
        <w:t xml:space="preserve">the </w:t>
      </w:r>
      <w:r w:rsidR="00597A83">
        <w:rPr>
          <w:lang w:val="en-US"/>
        </w:rPr>
        <w:t>comparative analysis</w:t>
      </w:r>
      <w:r w:rsidR="00B44409">
        <w:rPr>
          <w:lang w:val="en-US"/>
        </w:rPr>
        <w:t xml:space="preserve"> outcomes. </w:t>
      </w:r>
    </w:p>
    <w:p w14:paraId="51B02228" w14:textId="6D1B45C6" w:rsidR="00AB4D9D" w:rsidRDefault="00AB4D9D" w:rsidP="004C37A5">
      <w:pPr>
        <w:rPr>
          <w:lang w:val="en-US"/>
        </w:rPr>
      </w:pPr>
    </w:p>
    <w:p w14:paraId="1E4FDBD7" w14:textId="64D44052" w:rsidR="00AB4D9D" w:rsidRPr="00E203CA" w:rsidRDefault="00AB4D9D" w:rsidP="00AB4D9D">
      <w:pPr>
        <w:pStyle w:val="ListParagraph"/>
        <w:numPr>
          <w:ilvl w:val="0"/>
          <w:numId w:val="27"/>
        </w:numPr>
        <w:rPr>
          <w:lang w:val="en-US"/>
        </w:rPr>
      </w:pPr>
      <w:r>
        <w:rPr>
          <w:lang w:val="en-US"/>
        </w:rPr>
        <w:t xml:space="preserve">Normalization </w:t>
      </w:r>
    </w:p>
    <w:p w14:paraId="45CFD2B6" w14:textId="1C885F39" w:rsidR="00BE1EBE" w:rsidRDefault="00BE1EBE" w:rsidP="00BE1EBE">
      <w:r>
        <w:rPr>
          <w:lang w:val="en-US"/>
        </w:rPr>
        <w:t xml:space="preserve">Normalization is applied to </w:t>
      </w:r>
      <w:r w:rsidRPr="007A050C">
        <w:t>compar</w:t>
      </w:r>
      <w:r>
        <w:rPr>
          <w:lang w:val="en-US"/>
        </w:rPr>
        <w:t>e</w:t>
      </w:r>
      <w:r w:rsidRPr="007A050C">
        <w:t xml:space="preserve"> the different categories among themselves. </w:t>
      </w:r>
      <w:r>
        <w:rPr>
          <w:lang w:val="en-US"/>
        </w:rPr>
        <w:t>This</w:t>
      </w:r>
      <w:r w:rsidRPr="007A050C">
        <w:t xml:space="preserve"> informs about remarkable peculiarities or inconsistencies in the product system when comparing impact categories.</w:t>
      </w:r>
    </w:p>
    <w:p w14:paraId="36B9DB09" w14:textId="77777777" w:rsidR="00C5751C" w:rsidRDefault="00C5751C" w:rsidP="00BE1EBE"/>
    <w:p w14:paraId="1FC0A433" w14:textId="2133969E" w:rsidR="007542AF" w:rsidRDefault="00BE1EBE" w:rsidP="008D22E5">
      <w:r w:rsidRPr="007A050C">
        <w:t xml:space="preserve">Normalization is applied related to the </w:t>
      </w:r>
      <w:r>
        <w:rPr>
          <w:lang w:val="en-US"/>
        </w:rPr>
        <w:t xml:space="preserve">2010 </w:t>
      </w:r>
      <w:r w:rsidRPr="007A050C">
        <w:t xml:space="preserve">EU-27 population person equivalent as a reference. Therefore, recognizing the magnitude of the impacts in the European context. In this way, the reference system is consistent with the analysis's geographical scope. The </w:t>
      </w:r>
      <w:r w:rsidRPr="00AB516C">
        <w:t xml:space="preserve">normalization factors </w:t>
      </w:r>
      <w:r w:rsidRPr="00AB516C">
        <w:lastRenderedPageBreak/>
        <w:t>(NFs)</w:t>
      </w:r>
      <w:r w:rsidRPr="007A050C">
        <w:t xml:space="preserve"> representing the </w:t>
      </w:r>
      <w:r>
        <w:rPr>
          <w:lang w:val="en-US"/>
        </w:rPr>
        <w:t xml:space="preserve">2010 </w:t>
      </w:r>
      <w:r w:rsidRPr="007A050C">
        <w:t xml:space="preserve">EU-27 population person equivalent's impacts are provided by ILCD </w:t>
      </w:r>
      <w:r>
        <w:fldChar w:fldCharType="begin" w:fldLock="1"/>
      </w:r>
      <w:r>
        <w:instrText>ADDIN CSL_CITATION {"citationItems":[{"id":"ITEM-1","itemData":{"DOI":"10.1007/s11367-015-0958-8","ISSN":"16147502","abstract":"Purpose: Assessing comprehensively the overall environmental impacts of a region remains a major challenge. Within life cycle assessment (LCA), this evaluation is performed calculating normalisation factors (NFs) at different scales. Normalisation represents an optional step of LCA according to ISO 14040/44 which may help in understanding the relative magnitude of the impact associated to a product when compared to a reference value. In order to enhance the robustness and comprehensiveness of NFs, this paper presents a methodology for building an extended domestic inventory of emission and resources extraction. The domestic inventory refers to emissions and extractions due to the processes located within a geographical region, Europe (EU 27), in 2010. A robust regional inventory is a fundamental element for supporting the calculation of global factors, often resulting form extrapolation and upscaling from regional ones. Methods: The NFs for EU 27 in 2010 are based on extensive data collection and the application of extrapolation strategies for data gaps filling. The inventory is based on domestic emissions into air, water and soil and on resource extracted in EU, adopting a production-based approach. A hierarchy is developed for selection of data sources based on their robustness and quality. Data gap filling is based on several proxy indicators, specific for each impact category, capitalising existing statistics on pressure indicators (e.g. estimating ionising radiation emissions based on data of electricity production from nuclear power plants). To calculate NFs, the inventory is characterised using the International reference Life Cycle Data System (ILCD) Handbook (EC-JRC 2011a) midpoint indicators. Results and discussion: The resulting NFs present several added values compared to earlier normalisation exercises based on domestic inventories, namely more complete inventory, based on wide variety of sources; more comprehensive coverage of the flows within each impact category; overall evaluation of the robustness of the final figures; and robustness evaluation of the data sources. Contribution analysis shows that few flows (NOx, SOx, NH4, etc.) are driving the impacts of several impact categories, and the choice of the data sources is particularly crucial, as this may lead to differences in the NFs. A qualitative uncertainty assessment is reported for each impact category. Besides, in order to test the robustness of the NFs, a sensitivity analysis on …","author":[{"dropping-particle":"","family":"Sala","given":"Serenella","non-dropping-particle":"","parse-names":false,"suffix":""},{"dropping-particle":"","family":"Benini","given":"Lorenzo","non-dropping-particle":"","parse-names":false,"suffix":""},{"dropping-particle":"","family":"Mancini","given":"Lucia","non-dropping-particle":"","parse-names":false,"suffix":""},{"dropping-particle":"","family":"Pant","given":"Rana","non-dropping-particle":"","parse-names":false,"suffix":""}],"container-title":"International Journal of Life Cycle Assessment","id":"ITEM-1","issue":"11","issued":{"date-parts":[["2015"]]},"page":"1568-1585","title":"Integrated assessment of environmental impact of Europe in 2010: data sources and extrapolation strategies for calculating normalisation factors","type":"article-journal","volume":"20"},"uris":["http://www.mendeley.com/documents/?uuid=e3eab5e8-c9d0-48d8-8280-3454f20000e3"]}],"mendeley":{"formattedCitation":"(Sala et al., 2015)","plainTextFormattedCitation":"(Sala et al., 2015)","previouslyFormattedCitation":"(Sala et al., 2015)"},"properties":{"noteIndex":0},"schema":"https://github.com/citation-style-language/schema/raw/master/csl-citation.json"}</w:instrText>
      </w:r>
      <w:r>
        <w:fldChar w:fldCharType="separate"/>
      </w:r>
      <w:r w:rsidRPr="00E81F5A">
        <w:rPr>
          <w:noProof/>
        </w:rPr>
        <w:t>(Sala et al., 2015)</w:t>
      </w:r>
      <w:r>
        <w:fldChar w:fldCharType="end"/>
      </w:r>
      <w:r w:rsidR="00C1035B">
        <w:rPr>
          <w:lang w:val="en-US"/>
        </w:rPr>
        <w:t xml:space="preserve"> and found in </w:t>
      </w:r>
      <w:r w:rsidR="001E7D55">
        <w:rPr>
          <w:lang w:val="en-US"/>
        </w:rPr>
        <w:fldChar w:fldCharType="begin"/>
      </w:r>
      <w:r w:rsidR="001E7D55">
        <w:rPr>
          <w:lang w:val="en-US"/>
        </w:rPr>
        <w:instrText xml:space="preserve"> REF _Ref74913400 \h </w:instrText>
      </w:r>
      <w:r w:rsidR="001E7D55">
        <w:rPr>
          <w:lang w:val="en-US"/>
        </w:rPr>
      </w:r>
      <w:r w:rsidR="001E7D55">
        <w:rPr>
          <w:lang w:val="en-US"/>
        </w:rPr>
        <w:fldChar w:fldCharType="separate"/>
      </w:r>
      <w:r w:rsidR="00DB195C">
        <w:t xml:space="preserve">Table </w:t>
      </w:r>
      <w:r w:rsidR="00DB195C">
        <w:rPr>
          <w:noProof/>
        </w:rPr>
        <w:t>E</w:t>
      </w:r>
      <w:r w:rsidR="00DB195C">
        <w:t>.</w:t>
      </w:r>
      <w:r w:rsidR="00DB195C">
        <w:rPr>
          <w:noProof/>
        </w:rPr>
        <w:t>2</w:t>
      </w:r>
      <w:r w:rsidR="001E7D55">
        <w:rPr>
          <w:lang w:val="en-US"/>
        </w:rPr>
        <w:fldChar w:fldCharType="end"/>
      </w:r>
      <w:r w:rsidR="001E7D55">
        <w:rPr>
          <w:lang w:val="en-US"/>
        </w:rPr>
        <w:t xml:space="preserve"> in </w:t>
      </w:r>
      <w:r w:rsidR="001E7D55">
        <w:rPr>
          <w:lang w:val="en-US"/>
        </w:rPr>
        <w:fldChar w:fldCharType="begin"/>
      </w:r>
      <w:r w:rsidR="001E7D55">
        <w:rPr>
          <w:lang w:val="en-US"/>
        </w:rPr>
        <w:instrText xml:space="preserve"> REF _Ref74913424 \w \h </w:instrText>
      </w:r>
      <w:r w:rsidR="001E7D55">
        <w:rPr>
          <w:lang w:val="en-US"/>
        </w:rPr>
      </w:r>
      <w:r w:rsidR="001E7D55">
        <w:rPr>
          <w:lang w:val="en-US"/>
        </w:rPr>
        <w:fldChar w:fldCharType="separate"/>
      </w:r>
      <w:r w:rsidR="001E7D55">
        <w:rPr>
          <w:lang w:val="en-US"/>
        </w:rPr>
        <w:t>appendix E</w:t>
      </w:r>
      <w:r w:rsidR="001E7D55">
        <w:rPr>
          <w:lang w:val="en-US"/>
        </w:rPr>
        <w:fldChar w:fldCharType="end"/>
      </w:r>
      <w:r w:rsidRPr="007A050C">
        <w:t xml:space="preserve">. </w:t>
      </w:r>
    </w:p>
    <w:p w14:paraId="2215472F" w14:textId="77777777" w:rsidR="00F27936" w:rsidRDefault="00F27936" w:rsidP="008D22E5"/>
    <w:p w14:paraId="6FD40DF3" w14:textId="5AF75C65" w:rsidR="00DF113E" w:rsidRPr="00C5751C" w:rsidRDefault="00BE1EBE" w:rsidP="008D22E5">
      <w:pPr>
        <w:rPr>
          <w:lang w:val="en-US"/>
        </w:rPr>
      </w:pPr>
      <w:r w:rsidRPr="007A050C">
        <w:t>The choice for using European NFs is an attempt to avoid over-or underestimation effects on the normalized impact categories' indicator results due to a mismatch with the ILCD</w:t>
      </w:r>
      <w:r w:rsidR="00771866">
        <w:t>’</w:t>
      </w:r>
      <w:r w:rsidR="00771866">
        <w:rPr>
          <w:lang w:val="en-US"/>
        </w:rPr>
        <w:t xml:space="preserve">s </w:t>
      </w:r>
      <w:r w:rsidRPr="007A050C">
        <w:t xml:space="preserve">LCIA methods. In this way, local effects modeled into the impact categories' CFs of the ILCD 2.0 2018 midpoint method are expected to align better with the NFs of the </w:t>
      </w:r>
      <w:r>
        <w:rPr>
          <w:lang w:val="en-US"/>
        </w:rPr>
        <w:t xml:space="preserve">2010 </w:t>
      </w:r>
      <w:r w:rsidRPr="007A050C">
        <w:t xml:space="preserve">EU-27 population person equivalent. However, it is important to note that applying normalization may increase the uncertainty of the whole assessment given the complexity to determine the NFs together with inconsistency and lack of data </w:t>
      </w:r>
      <w:r>
        <w:fldChar w:fldCharType="begin" w:fldLock="1"/>
      </w:r>
      <w:r>
        <w:instrText>ADDIN CSL_CITATION {"citationItems":[{"id":"ITEM-1","itemData":{"DOI":"10.1007/s11367-015-0958-8","ISSN":"16147502","abstract":"Purpose: Assessing comprehensively the overall environmental impacts of a region remains a major challenge. Within life cycle assessment (LCA), this evaluation is performed calculating normalisation factors (NFs) at different scales. Normalisation represents an optional step of LCA according to ISO 14040/44 which may help in understanding the relative magnitude of the impact associated to a product when compared to a reference value. In order to enhance the robustness and comprehensiveness of NFs, this paper presents a methodology for building an extended domestic inventory of emission and resources extraction. The domestic inventory refers to emissions and extractions due to the processes located within a geographical region, Europe (EU 27), in 2010. A robust regional inventory is a fundamental element for supporting the calculation of global factors, often resulting form extrapolation and upscaling from regional ones. Methods: The NFs for EU 27 in 2010 are based on extensive data collection and the application of extrapolation strategies for data gaps filling. The inventory is based on domestic emissions into air, water and soil and on resource extracted in EU, adopting a production-based approach. A hierarchy is developed for selection of data sources based on their robustness and quality. Data gap filling is based on several proxy indicators, specific for each impact category, capitalising existing statistics on pressure indicators (e.g. estimating ionising radiation emissions based on data of electricity production from nuclear power plants). To calculate NFs, the inventory is characterised using the International reference Life Cycle Data System (ILCD) Handbook (EC-JRC 2011a) midpoint indicators. Results and discussion: The resulting NFs present several added values compared to earlier normalisation exercises based on domestic inventories, namely more complete inventory, based on wide variety of sources; more comprehensive coverage of the flows within each impact category; overall evaluation of the robustness of the final figures; and robustness evaluation of the data sources. Contribution analysis shows that few flows (NOx, SOx, NH4, etc.) are driving the impacts of several impact categories, and the choice of the data sources is particularly crucial, as this may lead to differences in the NFs. A qualitative uncertainty assessment is reported for each impact category. Besides, in order to test the robustness of the NFs, a sensitivity analysis on …","author":[{"dropping-particle":"","family":"Sala","given":"Serenella","non-dropping-particle":"","parse-names":false,"suffix":""},{"dropping-particle":"","family":"Benini","given":"Lorenzo","non-dropping-particle":"","parse-names":false,"suffix":""},{"dropping-particle":"","family":"Mancini","given":"Lucia","non-dropping-particle":"","parse-names":false,"suffix":""},{"dropping-particle":"","family":"Pant","given":"Rana","non-dropping-particle":"","parse-names":false,"suffix":""}],"container-title":"International Journal of Life Cycle Assessment","id":"ITEM-1","issue":"11","issued":{"date-parts":[["2015"]]},"page":"1568-1585","title":"Integrated assessment of environmental impact of Europe in 2010: data sources and extrapolation strategies for calculating normalisation factors","type":"article-journal","volume":"20"},"uris":["http://www.mendeley.com/documents/?uuid=e3eab5e8-c9d0-48d8-8280-3454f20000e3"]}],"mendeley":{"formattedCitation":"(Sala et al., 2015)","plainTextFormattedCitation":"(Sala et al., 2015)","previouslyFormattedCitation":"(Sala et al., 2015)"},"properties":{"noteIndex":0},"schema":"https://github.com/citation-style-language/schema/raw/master/csl-citation.json"}</w:instrText>
      </w:r>
      <w:r>
        <w:fldChar w:fldCharType="separate"/>
      </w:r>
      <w:r w:rsidRPr="007F58E8">
        <w:rPr>
          <w:noProof/>
        </w:rPr>
        <w:t>(Sala et al., 2015)</w:t>
      </w:r>
      <w:r>
        <w:fldChar w:fldCharType="end"/>
      </w:r>
      <w:r w:rsidRPr="007A050C">
        <w:t>. Uncertainty and approximation are inherent to NFs calculations, as it also depends on other uncertain and approximated information, such as LCIAM's CFs</w:t>
      </w:r>
      <w:r w:rsidRPr="009E4C57">
        <w:t>.</w:t>
      </w:r>
    </w:p>
    <w:p w14:paraId="549158E1" w14:textId="6FF1DA62" w:rsidR="00D56808" w:rsidRDefault="00D56808" w:rsidP="009A215A"/>
    <w:p w14:paraId="2C53C2B6" w14:textId="32176190" w:rsidR="0080478B" w:rsidRDefault="0080478B" w:rsidP="001D72BB">
      <w:pPr>
        <w:pStyle w:val="Heading4"/>
      </w:pPr>
      <w:bookmarkStart w:id="64" w:name="_Toc76752280"/>
      <w:r>
        <w:t>Interpretation</w:t>
      </w:r>
      <w:bookmarkEnd w:id="64"/>
    </w:p>
    <w:p w14:paraId="4606B14C" w14:textId="09CC7E3D" w:rsidR="00E73E6A" w:rsidRDefault="00E73E6A" w:rsidP="00E73E6A"/>
    <w:p w14:paraId="66E6FC7A" w14:textId="76D81684" w:rsidR="00EC1CED" w:rsidRDefault="00F27936" w:rsidP="00E73E6A">
      <w:pPr>
        <w:rPr>
          <w:lang w:val="en-US"/>
        </w:rPr>
      </w:pPr>
      <w:r w:rsidRPr="00F27936">
        <w:rPr>
          <w:lang w:val="en-US"/>
        </w:rPr>
        <w:t>The LCA interpretation phase comprises a qualitative interpretation of the analysis and a quantitative interpretation of the results. The qualitative interpretation involves a completeness check and a consistency check. The quantitative interpretation is based on the results of a contribution analysis, a sensitivity analysis, and a comparative analysis.</w:t>
      </w:r>
    </w:p>
    <w:p w14:paraId="5AE4AD94" w14:textId="77777777" w:rsidR="00F27936" w:rsidRDefault="00F27936" w:rsidP="00E73E6A">
      <w:pPr>
        <w:rPr>
          <w:lang w:val="en-US"/>
        </w:rPr>
      </w:pPr>
    </w:p>
    <w:p w14:paraId="6456FCF6" w14:textId="6363F17A" w:rsidR="00EC1CED" w:rsidRDefault="00EC1CED" w:rsidP="00EC1CED">
      <w:pPr>
        <w:pStyle w:val="ListParagraph"/>
        <w:numPr>
          <w:ilvl w:val="0"/>
          <w:numId w:val="27"/>
        </w:numPr>
        <w:rPr>
          <w:lang w:val="en-US"/>
        </w:rPr>
      </w:pPr>
      <w:r>
        <w:rPr>
          <w:lang w:val="en-US"/>
        </w:rPr>
        <w:t>Completeness check</w:t>
      </w:r>
    </w:p>
    <w:p w14:paraId="0C33C6C4" w14:textId="07EF3DFF" w:rsidR="00EC1CED" w:rsidRDefault="00EC1CED" w:rsidP="00EC1CED">
      <w:pPr>
        <w:rPr>
          <w:lang w:val="en-US"/>
        </w:rPr>
      </w:pPr>
      <w:r>
        <w:t>This check evaluates all relevant information, data available (and its completeness) used in the analysis.</w:t>
      </w:r>
      <w:r w:rsidR="00B965F7">
        <w:rPr>
          <w:lang w:val="en-US"/>
        </w:rPr>
        <w:t xml:space="preserve"> In this study, </w:t>
      </w:r>
      <w:r w:rsidR="00FF44E1">
        <w:rPr>
          <w:lang w:val="en-US"/>
        </w:rPr>
        <w:t xml:space="preserve">the </w:t>
      </w:r>
      <w:r w:rsidR="00B965F7">
        <w:rPr>
          <w:lang w:val="en-US"/>
        </w:rPr>
        <w:t>completeness</w:t>
      </w:r>
      <w:r w:rsidR="00FF44E1">
        <w:rPr>
          <w:lang w:val="en-US"/>
        </w:rPr>
        <w:t xml:space="preserve"> check</w:t>
      </w:r>
      <w:r w:rsidR="00B965F7">
        <w:rPr>
          <w:lang w:val="en-US"/>
        </w:rPr>
        <w:t xml:space="preserve"> is </w:t>
      </w:r>
      <w:r w:rsidR="00FF44E1">
        <w:rPr>
          <w:lang w:val="en-US"/>
        </w:rPr>
        <w:t>performed</w:t>
      </w:r>
      <w:r w:rsidR="00B965F7">
        <w:rPr>
          <w:lang w:val="en-US"/>
        </w:rPr>
        <w:t xml:space="preserve"> by confronting the product system’s outcome with similar studies in </w:t>
      </w:r>
      <w:r w:rsidR="00885F0B">
        <w:rPr>
          <w:lang w:val="en-US"/>
        </w:rPr>
        <w:t xml:space="preserve">the </w:t>
      </w:r>
      <w:r w:rsidR="00B965F7">
        <w:rPr>
          <w:lang w:val="en-US"/>
        </w:rPr>
        <w:t>literature.</w:t>
      </w:r>
    </w:p>
    <w:p w14:paraId="39F01F49" w14:textId="77777777" w:rsidR="00B965F7" w:rsidRPr="00B965F7" w:rsidRDefault="00B965F7" w:rsidP="00EC1CED">
      <w:pPr>
        <w:rPr>
          <w:lang w:val="en-US"/>
        </w:rPr>
      </w:pPr>
    </w:p>
    <w:p w14:paraId="47C4369E" w14:textId="6E48D05F" w:rsidR="00EC1CED" w:rsidRDefault="00EC1CED" w:rsidP="00EC1CED">
      <w:pPr>
        <w:pStyle w:val="ListParagraph"/>
        <w:numPr>
          <w:ilvl w:val="0"/>
          <w:numId w:val="27"/>
        </w:numPr>
        <w:rPr>
          <w:lang w:val="en-US"/>
        </w:rPr>
      </w:pPr>
      <w:r>
        <w:rPr>
          <w:lang w:val="en-US"/>
        </w:rPr>
        <w:t>Consistency check</w:t>
      </w:r>
    </w:p>
    <w:p w14:paraId="7A6EBC3A" w14:textId="0FAA9CDF" w:rsidR="00EC1CED" w:rsidRPr="00693721" w:rsidRDefault="00EC1CED" w:rsidP="00EC1CED">
      <w:pPr>
        <w:rPr>
          <w:lang w:val="en-US"/>
        </w:rPr>
      </w:pPr>
      <w:r>
        <w:t>This check aims at determining whether the assumptions, methods, and data were consistent with the goal and scope.</w:t>
      </w:r>
      <w:r w:rsidR="00B965F7">
        <w:rPr>
          <w:lang w:val="en-US"/>
        </w:rPr>
        <w:t xml:space="preserve"> In this study,</w:t>
      </w:r>
      <w:r w:rsidR="00806E2D">
        <w:rPr>
          <w:lang w:val="en-US"/>
        </w:rPr>
        <w:t xml:space="preserve"> the consistency check is performed revisiting the</w:t>
      </w:r>
      <w:r w:rsidR="00693721">
        <w:rPr>
          <w:lang w:val="en-US"/>
        </w:rPr>
        <w:t xml:space="preserve"> m</w:t>
      </w:r>
      <w:r w:rsidR="00693721" w:rsidRPr="00693721">
        <w:t xml:space="preserve">odeling choices </w:t>
      </w:r>
      <w:r w:rsidR="00806E2D">
        <w:rPr>
          <w:lang w:val="en-US"/>
        </w:rPr>
        <w:t xml:space="preserve">and confirming that they are related to </w:t>
      </w:r>
      <w:r w:rsidR="00693721" w:rsidRPr="00693721">
        <w:t>Europe and metals</w:t>
      </w:r>
      <w:r w:rsidR="00806E2D">
        <w:rPr>
          <w:lang w:val="en-US"/>
        </w:rPr>
        <w:t xml:space="preserve">, agreeing with the goal and scope of the analysis. </w:t>
      </w:r>
    </w:p>
    <w:p w14:paraId="5C81A9DF" w14:textId="2674F762" w:rsidR="00B965F7" w:rsidRDefault="00B965F7" w:rsidP="00EC1CED">
      <w:pPr>
        <w:rPr>
          <w:lang w:val="en-US"/>
        </w:rPr>
      </w:pPr>
    </w:p>
    <w:p w14:paraId="70433C7F" w14:textId="77777777" w:rsidR="00CF069F" w:rsidRPr="00B965F7" w:rsidRDefault="00CF069F" w:rsidP="00EC1CED">
      <w:pPr>
        <w:rPr>
          <w:lang w:val="en-US"/>
        </w:rPr>
      </w:pPr>
    </w:p>
    <w:p w14:paraId="36B706C0" w14:textId="0AD31F13" w:rsidR="00EC1CED" w:rsidRDefault="00EC1CED" w:rsidP="00EC1CED">
      <w:pPr>
        <w:pStyle w:val="ListParagraph"/>
        <w:numPr>
          <w:ilvl w:val="0"/>
          <w:numId w:val="27"/>
        </w:numPr>
        <w:rPr>
          <w:lang w:val="en-US"/>
        </w:rPr>
      </w:pPr>
      <w:r>
        <w:rPr>
          <w:lang w:val="en-US"/>
        </w:rPr>
        <w:lastRenderedPageBreak/>
        <w:t>Contribution analysis</w:t>
      </w:r>
    </w:p>
    <w:p w14:paraId="41E81CCD" w14:textId="08444314" w:rsidR="00A048CE" w:rsidRDefault="00A048CE" w:rsidP="00A048CE">
      <w:r w:rsidRPr="00A048CE">
        <w:t>This analysis aims at identifying the processes that are environmental hot spots by calculating their overall contribution in terms of percentage (of a total category indicator result). In this study, the contribution analysis is performed by impact categories considering their characterization indicator results. In this way, uncovering the route's higher contributive process (</w:t>
      </w:r>
      <w:r w:rsidR="002562E9">
        <w:rPr>
          <w:lang w:val="en-US"/>
        </w:rPr>
        <w:t>e</w:t>
      </w:r>
      <w:r w:rsidRPr="00A048CE">
        <w:t>s) lights opportunities for redesigning the recycling route improving its environmental profile.</w:t>
      </w:r>
    </w:p>
    <w:p w14:paraId="3DCE17D4" w14:textId="77777777" w:rsidR="00CF069F" w:rsidRPr="003F65A1" w:rsidRDefault="00CF069F" w:rsidP="00A048CE"/>
    <w:p w14:paraId="36BE9B42" w14:textId="4F2769D6" w:rsidR="00EC1CED" w:rsidRDefault="00EC1CED" w:rsidP="00EC1CED">
      <w:pPr>
        <w:pStyle w:val="ListParagraph"/>
        <w:numPr>
          <w:ilvl w:val="0"/>
          <w:numId w:val="27"/>
        </w:numPr>
        <w:rPr>
          <w:lang w:val="en-US"/>
        </w:rPr>
      </w:pPr>
      <w:r>
        <w:rPr>
          <w:lang w:val="en-US"/>
        </w:rPr>
        <w:t>Sensitivity analysis</w:t>
      </w:r>
    </w:p>
    <w:p w14:paraId="3C3CE53F" w14:textId="14CBB973" w:rsidR="00307C11" w:rsidRDefault="00307C11" w:rsidP="00307C11">
      <w:r>
        <w:t>This analysis aims to check the sensitivity of the</w:t>
      </w:r>
      <w:r>
        <w:rPr>
          <w:lang w:val="en-US"/>
        </w:rPr>
        <w:t xml:space="preserve"> analysis</w:t>
      </w:r>
      <w:r>
        <w:t xml:space="preserve"> results to a change </w:t>
      </w:r>
      <w:r w:rsidR="00C47422">
        <w:rPr>
          <w:lang w:val="en-US"/>
        </w:rPr>
        <w:t>in</w:t>
      </w:r>
      <w:r>
        <w:t xml:space="preserve"> the </w:t>
      </w:r>
      <w:r w:rsidR="00603A6B">
        <w:rPr>
          <w:lang w:val="en-US"/>
        </w:rPr>
        <w:t>model</w:t>
      </w:r>
      <w:r>
        <w:t>.</w:t>
      </w:r>
      <w:r w:rsidR="006E4A62">
        <w:rPr>
          <w:lang w:val="en-US"/>
        </w:rPr>
        <w:t xml:space="preserve"> In this study,</w:t>
      </w:r>
      <w:r w:rsidR="00884524">
        <w:rPr>
          <w:lang w:val="en-US"/>
        </w:rPr>
        <w:t xml:space="preserve"> </w:t>
      </w:r>
      <w:r w:rsidR="006E4A62">
        <w:rPr>
          <w:lang w:val="en-US"/>
        </w:rPr>
        <w:t>sensitivity test</w:t>
      </w:r>
      <w:r w:rsidR="00884524">
        <w:rPr>
          <w:lang w:val="en-US"/>
        </w:rPr>
        <w:t>s</w:t>
      </w:r>
      <w:r w:rsidR="006E4A62">
        <w:rPr>
          <w:lang w:val="en-US"/>
        </w:rPr>
        <w:t xml:space="preserve"> </w:t>
      </w:r>
      <w:r w:rsidR="00884524">
        <w:rPr>
          <w:lang w:val="en-US"/>
        </w:rPr>
        <w:t xml:space="preserve">are </w:t>
      </w:r>
      <w:r w:rsidR="006E4A62">
        <w:rPr>
          <w:lang w:val="en-US"/>
        </w:rPr>
        <w:t xml:space="preserve">proposed </w:t>
      </w:r>
      <w:r w:rsidR="00AF4276">
        <w:rPr>
          <w:lang w:val="en-US"/>
        </w:rPr>
        <w:t>on</w:t>
      </w:r>
      <w:r w:rsidR="00324CF9">
        <w:rPr>
          <w:lang w:val="en-US"/>
        </w:rPr>
        <w:t xml:space="preserve"> an alternative way for dealing with multifunctionality due to</w:t>
      </w:r>
      <w:r w:rsidR="009B7376">
        <w:rPr>
          <w:lang w:val="en-US"/>
        </w:rPr>
        <w:t xml:space="preserve"> </w:t>
      </w:r>
      <w:r w:rsidR="006E4A62">
        <w:rPr>
          <w:lang w:val="en-US"/>
        </w:rPr>
        <w:t xml:space="preserve">the </w:t>
      </w:r>
      <w:r w:rsidR="003940E1">
        <w:rPr>
          <w:lang w:val="en-US"/>
        </w:rPr>
        <w:t>assumptions</w:t>
      </w:r>
      <w:r w:rsidR="00603A6B">
        <w:rPr>
          <w:lang w:val="en-US"/>
        </w:rPr>
        <w:t xml:space="preserve"> </w:t>
      </w:r>
      <w:r w:rsidR="008C3638">
        <w:rPr>
          <w:lang w:val="en-US"/>
        </w:rPr>
        <w:t xml:space="preserve">made </w:t>
      </w:r>
      <w:r w:rsidR="00324CF9">
        <w:rPr>
          <w:lang w:val="en-US"/>
        </w:rPr>
        <w:t>in</w:t>
      </w:r>
      <w:r w:rsidR="00603A6B">
        <w:rPr>
          <w:lang w:val="en-US"/>
        </w:rPr>
        <w:t xml:space="preserve"> the economic allocation</w:t>
      </w:r>
      <w:r w:rsidR="008C3638">
        <w:rPr>
          <w:lang w:val="en-US"/>
        </w:rPr>
        <w:t>;</w:t>
      </w:r>
      <w:r w:rsidR="00AF4276">
        <w:rPr>
          <w:lang w:val="en-US"/>
        </w:rPr>
        <w:t xml:space="preserve"> </w:t>
      </w:r>
      <w:r w:rsidR="008C3638">
        <w:rPr>
          <w:lang w:val="en-US"/>
        </w:rPr>
        <w:t xml:space="preserve">on </w:t>
      </w:r>
      <w:r w:rsidR="00AF4276">
        <w:rPr>
          <w:lang w:val="en-US"/>
        </w:rPr>
        <w:t>alternative price approach</w:t>
      </w:r>
      <w:r w:rsidR="000027A7">
        <w:rPr>
          <w:lang w:val="en-US"/>
        </w:rPr>
        <w:t>es</w:t>
      </w:r>
      <w:r w:rsidR="00AF4276">
        <w:rPr>
          <w:lang w:val="en-US"/>
        </w:rPr>
        <w:t xml:space="preserve"> </w:t>
      </w:r>
      <w:r w:rsidR="008C3638">
        <w:rPr>
          <w:lang w:val="en-US"/>
        </w:rPr>
        <w:t>for the economic allocation; and on</w:t>
      </w:r>
      <w:r w:rsidR="003512CD">
        <w:rPr>
          <w:lang w:val="en-US"/>
        </w:rPr>
        <w:t xml:space="preserve"> </w:t>
      </w:r>
      <w:r w:rsidR="00AF4276">
        <w:rPr>
          <w:lang w:val="en-US"/>
        </w:rPr>
        <w:t>an</w:t>
      </w:r>
      <w:r w:rsidR="003512CD">
        <w:rPr>
          <w:lang w:val="en-US"/>
        </w:rPr>
        <w:t xml:space="preserve"> alternative way to</w:t>
      </w:r>
      <w:r w:rsidR="00AF4276">
        <w:rPr>
          <w:lang w:val="en-US"/>
        </w:rPr>
        <w:t xml:space="preserve"> </w:t>
      </w:r>
      <w:r w:rsidR="00CA290E">
        <w:rPr>
          <w:lang w:val="en-US"/>
        </w:rPr>
        <w:t>model</w:t>
      </w:r>
      <w:r w:rsidR="00AF4276">
        <w:rPr>
          <w:lang w:val="en-US"/>
        </w:rPr>
        <w:t xml:space="preserve"> the </w:t>
      </w:r>
      <w:r w:rsidR="00CA290E">
        <w:rPr>
          <w:lang w:val="en-US"/>
        </w:rPr>
        <w:t xml:space="preserve">oxalic acid </w:t>
      </w:r>
      <w:r w:rsidR="008C3638">
        <w:rPr>
          <w:lang w:val="en-US"/>
        </w:rPr>
        <w:t xml:space="preserve">input </w:t>
      </w:r>
      <w:r w:rsidR="004E0D05">
        <w:rPr>
          <w:lang w:val="en-US"/>
        </w:rPr>
        <w:t>into</w:t>
      </w:r>
      <w:r w:rsidR="008C3638">
        <w:rPr>
          <w:lang w:val="en-US"/>
        </w:rPr>
        <w:t xml:space="preserve"> the system and </w:t>
      </w:r>
      <w:r w:rsidR="00EF0EAD">
        <w:rPr>
          <w:lang w:val="en-US"/>
        </w:rPr>
        <w:t>its</w:t>
      </w:r>
      <w:r w:rsidR="008C3638">
        <w:rPr>
          <w:lang w:val="en-US"/>
        </w:rPr>
        <w:t xml:space="preserve"> model</w:t>
      </w:r>
      <w:r w:rsidR="00EF0EAD">
        <w:rPr>
          <w:lang w:val="en-US"/>
        </w:rPr>
        <w:t>ing</w:t>
      </w:r>
      <w:r w:rsidR="008C3638">
        <w:rPr>
          <w:lang w:val="en-US"/>
        </w:rPr>
        <w:t xml:space="preserve">. </w:t>
      </w:r>
    </w:p>
    <w:p w14:paraId="36141A2C" w14:textId="77777777" w:rsidR="00307C11" w:rsidRPr="00307C11" w:rsidRDefault="00307C11" w:rsidP="00307C11"/>
    <w:p w14:paraId="58C6C17E" w14:textId="60C3085C" w:rsidR="00EC1CED" w:rsidRDefault="00EC1CED" w:rsidP="00EC1CED">
      <w:pPr>
        <w:pStyle w:val="ListParagraph"/>
        <w:numPr>
          <w:ilvl w:val="0"/>
          <w:numId w:val="27"/>
        </w:numPr>
        <w:rPr>
          <w:lang w:val="en-US"/>
        </w:rPr>
      </w:pPr>
      <w:r>
        <w:rPr>
          <w:lang w:val="en-US"/>
        </w:rPr>
        <w:t>Comparative analysis</w:t>
      </w:r>
    </w:p>
    <w:p w14:paraId="54DC7CAE" w14:textId="15F03455" w:rsidR="005409AF" w:rsidRDefault="00645BF4" w:rsidP="0054005D">
      <w:pPr>
        <w:rPr>
          <w:lang w:val="en-US"/>
        </w:rPr>
      </w:pPr>
      <w:r w:rsidRPr="00645BF4">
        <w:t>This analysis aims to present the environmental impacts of two alternative products for comparison. In this study, the comparison is between the incumbent technology for REO production (primary production in China) and the emerging technology (the recycling route). The comparison does not intend to provide an assertive declaration about which technology is the best but instead generating information to the problem-solution space</w:t>
      </w:r>
      <w:r>
        <w:rPr>
          <w:lang w:val="en-US"/>
        </w:rPr>
        <w:t>.</w:t>
      </w:r>
    </w:p>
    <w:p w14:paraId="3B144D63" w14:textId="77777777" w:rsidR="0054222F" w:rsidRPr="00645BF4" w:rsidRDefault="0054222F" w:rsidP="0054005D">
      <w:pPr>
        <w:rPr>
          <w:lang w:val="en-US"/>
        </w:rPr>
      </w:pPr>
    </w:p>
    <w:p w14:paraId="2A8ECA78" w14:textId="014D8D1C" w:rsidR="005409AF" w:rsidRDefault="005409AF" w:rsidP="005409AF">
      <w:pPr>
        <w:pStyle w:val="Heading1"/>
      </w:pPr>
      <w:bookmarkStart w:id="65" w:name="_Toc76752281"/>
      <w:r>
        <w:t>Results</w:t>
      </w:r>
      <w:bookmarkEnd w:id="65"/>
    </w:p>
    <w:p w14:paraId="172B0BD8" w14:textId="69721870" w:rsidR="000F502C" w:rsidRDefault="000F502C" w:rsidP="000F502C">
      <w:pPr>
        <w:pStyle w:val="Heading1"/>
        <w:numPr>
          <w:ilvl w:val="0"/>
          <w:numId w:val="0"/>
        </w:numPr>
        <w:ind w:left="432" w:hanging="432"/>
      </w:pPr>
    </w:p>
    <w:p w14:paraId="7B2707BD" w14:textId="6A0953CC" w:rsidR="000E46F6" w:rsidRDefault="000F502C" w:rsidP="000E46F6">
      <w:pPr>
        <w:pStyle w:val="Heading2"/>
      </w:pPr>
      <w:bookmarkStart w:id="66" w:name="_Toc76752282"/>
      <w:r>
        <w:t>Characterization results</w:t>
      </w:r>
      <w:bookmarkEnd w:id="66"/>
    </w:p>
    <w:p w14:paraId="02E09F17" w14:textId="77777777" w:rsidR="00404644" w:rsidRPr="009A215A" w:rsidRDefault="00404644" w:rsidP="00404644"/>
    <w:p w14:paraId="416751F5" w14:textId="10CA325E" w:rsidR="00D56808" w:rsidRDefault="00126C32" w:rsidP="009A215A">
      <w:pPr>
        <w:rPr>
          <w:lang w:val="en-US"/>
        </w:rPr>
      </w:pPr>
      <w:r w:rsidRPr="000507E6">
        <w:t>The complete set of category indicator results (the environmental profile) of the</w:t>
      </w:r>
      <w:r w:rsidRPr="000507E6">
        <w:rPr>
          <w:lang w:val="en-US"/>
        </w:rPr>
        <w:t xml:space="preserve"> </w:t>
      </w:r>
      <w:r w:rsidRPr="000507E6">
        <w:t xml:space="preserve">product system </w:t>
      </w:r>
      <w:r w:rsidRPr="000E46F6">
        <w:t xml:space="preserve">is </w:t>
      </w:r>
      <w:r w:rsidRPr="000E46F6">
        <w:rPr>
          <w:lang w:val="en-US"/>
        </w:rPr>
        <w:t>shown</w:t>
      </w:r>
      <w:r w:rsidRPr="000E46F6">
        <w:t xml:space="preserve"> in</w:t>
      </w:r>
      <w:r w:rsidR="00A01D51" w:rsidRPr="000E46F6">
        <w:rPr>
          <w:lang w:val="en-US"/>
        </w:rPr>
        <w:t xml:space="preserve"> </w:t>
      </w:r>
      <w:r w:rsidR="00A01D51" w:rsidRPr="00DB195C">
        <w:rPr>
          <w:lang w:val="en-US"/>
        </w:rPr>
        <w:fldChar w:fldCharType="begin"/>
      </w:r>
      <w:r w:rsidR="00A01D51" w:rsidRPr="00DB195C">
        <w:rPr>
          <w:lang w:val="en-US"/>
        </w:rPr>
        <w:instrText xml:space="preserve"> REF _Ref74763710 \h </w:instrText>
      </w:r>
      <w:r w:rsidR="0087464F" w:rsidRPr="00DB195C">
        <w:rPr>
          <w:lang w:val="en-US"/>
        </w:rPr>
        <w:instrText xml:space="preserve"> \* MERGEFORMAT </w:instrText>
      </w:r>
      <w:r w:rsidR="00A01D51" w:rsidRPr="00DB195C">
        <w:rPr>
          <w:lang w:val="en-US"/>
        </w:rPr>
      </w:r>
      <w:r w:rsidR="00A01D51" w:rsidRPr="00DB195C">
        <w:rPr>
          <w:lang w:val="en-US"/>
        </w:rPr>
        <w:fldChar w:fldCharType="separate"/>
      </w:r>
      <w:r w:rsidR="007C3D9D" w:rsidRPr="00DB195C">
        <w:t xml:space="preserve">Table </w:t>
      </w:r>
      <w:r w:rsidR="0030669C">
        <w:rPr>
          <w:noProof/>
          <w:lang w:val="en-US"/>
        </w:rPr>
        <w:t>4</w:t>
      </w:r>
      <w:r w:rsidR="007C3D9D" w:rsidRPr="00DB195C">
        <w:rPr>
          <w:noProof/>
        </w:rPr>
        <w:t>.</w:t>
      </w:r>
      <w:r w:rsidR="00A01D51" w:rsidRPr="00DB195C">
        <w:rPr>
          <w:lang w:val="en-US"/>
        </w:rPr>
        <w:fldChar w:fldCharType="end"/>
      </w:r>
      <w:r w:rsidR="007C3D9D" w:rsidRPr="00DB195C">
        <w:rPr>
          <w:lang w:val="en-US"/>
        </w:rPr>
        <w:t>1</w:t>
      </w:r>
      <w:r w:rsidRPr="00DB195C">
        <w:t>.</w:t>
      </w:r>
      <w:r w:rsidR="005A74B2" w:rsidRPr="000E46F6">
        <w:rPr>
          <w:lang w:val="en-US"/>
        </w:rPr>
        <w:t xml:space="preserve"> </w:t>
      </w:r>
    </w:p>
    <w:p w14:paraId="37FB06A8" w14:textId="77777777" w:rsidR="00683FDF" w:rsidRPr="000E46F6" w:rsidRDefault="00683FDF" w:rsidP="009A215A">
      <w:pPr>
        <w:rPr>
          <w:lang w:val="en-US"/>
        </w:rPr>
      </w:pPr>
    </w:p>
    <w:p w14:paraId="0841DD69" w14:textId="77DD5D21" w:rsidR="00A01D51" w:rsidRPr="000E46F6" w:rsidRDefault="00A01D51" w:rsidP="00A01D51">
      <w:pPr>
        <w:pStyle w:val="Caption"/>
        <w:keepNext/>
      </w:pPr>
      <w:bookmarkStart w:id="67" w:name="_Ref74763710"/>
      <w:bookmarkStart w:id="68" w:name="_Toc76730035"/>
      <w:r w:rsidRPr="000E46F6">
        <w:lastRenderedPageBreak/>
        <w:t xml:space="preserve">Table </w:t>
      </w:r>
      <w:r w:rsidR="0030669C">
        <w:rPr>
          <w:lang w:val="en-US"/>
        </w:rPr>
        <w:t>4</w:t>
      </w:r>
      <w:r w:rsidR="00C50A78" w:rsidRPr="000E46F6">
        <w:t>.</w:t>
      </w:r>
      <w:bookmarkEnd w:id="67"/>
      <w:r w:rsidR="007C3D9D">
        <w:rPr>
          <w:lang w:val="en-US"/>
        </w:rPr>
        <w:t>1</w:t>
      </w:r>
      <w:r w:rsidRPr="000E46F6">
        <w:rPr>
          <w:lang w:val="en-US"/>
        </w:rPr>
        <w:t xml:space="preserve"> Environmental profile of the product system. FU: 1 kg of REO from EOL HDDs’ </w:t>
      </w:r>
      <w:proofErr w:type="spellStart"/>
      <w:r w:rsidRPr="000E46F6">
        <w:rPr>
          <w:lang w:val="en-US"/>
        </w:rPr>
        <w:t>NdFeB</w:t>
      </w:r>
      <w:proofErr w:type="spellEnd"/>
      <w:r w:rsidRPr="000E46F6">
        <w:rPr>
          <w:lang w:val="en-US"/>
        </w:rPr>
        <w:t xml:space="preserve"> magnets separated from e-waste at the plant’s gate. Source: author’s table.</w:t>
      </w:r>
      <w:bookmarkEnd w:id="68"/>
    </w:p>
    <w:tbl>
      <w:tblPr>
        <w:tblStyle w:val="TableGrid"/>
        <w:tblW w:w="5000" w:type="pct"/>
        <w:tblCellMar>
          <w:left w:w="28" w:type="dxa"/>
          <w:right w:w="28" w:type="dxa"/>
        </w:tblCellMar>
        <w:tblLook w:val="04A0" w:firstRow="1" w:lastRow="0" w:firstColumn="1" w:lastColumn="0" w:noHBand="0" w:noVBand="1"/>
      </w:tblPr>
      <w:tblGrid>
        <w:gridCol w:w="6181"/>
        <w:gridCol w:w="2879"/>
      </w:tblGrid>
      <w:tr w:rsidR="005E304B" w:rsidRPr="0087464F" w14:paraId="56B2DFF4" w14:textId="77777777" w:rsidTr="00631093">
        <w:tc>
          <w:tcPr>
            <w:tcW w:w="3411" w:type="pct"/>
          </w:tcPr>
          <w:p w14:paraId="5A08E9D9" w14:textId="77777777" w:rsidR="005E304B" w:rsidRPr="00AB4D9D" w:rsidRDefault="005E304B" w:rsidP="00DB6C1A">
            <w:pPr>
              <w:rPr>
                <w:b/>
                <w:bCs/>
                <w:lang w:val="en-US"/>
              </w:rPr>
            </w:pPr>
            <w:r w:rsidRPr="00AB4D9D">
              <w:rPr>
                <w:b/>
                <w:bCs/>
                <w:lang w:val="en-US"/>
              </w:rPr>
              <w:t>Impact category</w:t>
            </w:r>
          </w:p>
        </w:tc>
        <w:tc>
          <w:tcPr>
            <w:tcW w:w="1589" w:type="pct"/>
          </w:tcPr>
          <w:p w14:paraId="23001F06" w14:textId="77777777" w:rsidR="005E304B" w:rsidRPr="00AB4D9D" w:rsidRDefault="005E304B" w:rsidP="00DB6C1A">
            <w:pPr>
              <w:rPr>
                <w:b/>
                <w:bCs/>
                <w:lang w:val="en-US"/>
              </w:rPr>
            </w:pPr>
            <w:r w:rsidRPr="00AB4D9D">
              <w:rPr>
                <w:b/>
                <w:bCs/>
                <w:lang w:val="en-US"/>
              </w:rPr>
              <w:t>Value</w:t>
            </w:r>
          </w:p>
        </w:tc>
      </w:tr>
      <w:tr w:rsidR="005E304B" w:rsidRPr="0087464F" w14:paraId="13A493CE" w14:textId="77777777" w:rsidTr="00631093">
        <w:tc>
          <w:tcPr>
            <w:tcW w:w="3411" w:type="pct"/>
          </w:tcPr>
          <w:p w14:paraId="27466504" w14:textId="77777777" w:rsidR="005E304B" w:rsidRPr="00AB4D9D" w:rsidRDefault="005E304B" w:rsidP="00DB6C1A">
            <w:pPr>
              <w:rPr>
                <w:i/>
                <w:iCs/>
                <w:lang w:val="en-US"/>
              </w:rPr>
            </w:pPr>
            <w:r w:rsidRPr="00AB4D9D">
              <w:rPr>
                <w:i/>
                <w:iCs/>
                <w:lang w:val="en-US"/>
              </w:rPr>
              <w:t>Indicator results</w:t>
            </w:r>
          </w:p>
        </w:tc>
        <w:tc>
          <w:tcPr>
            <w:tcW w:w="1589" w:type="pct"/>
          </w:tcPr>
          <w:p w14:paraId="529E07F8" w14:textId="77777777" w:rsidR="005E304B" w:rsidRPr="00AB4D9D" w:rsidRDefault="005E304B" w:rsidP="00DB6C1A"/>
        </w:tc>
      </w:tr>
      <w:tr w:rsidR="005E304B" w:rsidRPr="0087464F" w14:paraId="216C1B73" w14:textId="77777777" w:rsidTr="00631093">
        <w:tc>
          <w:tcPr>
            <w:tcW w:w="3411" w:type="pct"/>
          </w:tcPr>
          <w:p w14:paraId="2BC71017" w14:textId="77777777" w:rsidR="005E304B" w:rsidRPr="00AB4D9D" w:rsidRDefault="005E304B" w:rsidP="00DB6C1A">
            <w:pPr>
              <w:rPr>
                <w:lang w:val="en-US"/>
              </w:rPr>
            </w:pPr>
            <w:r w:rsidRPr="00AB4D9D">
              <w:rPr>
                <w:lang w:val="en-US"/>
              </w:rPr>
              <w:t>Climate change</w:t>
            </w:r>
          </w:p>
        </w:tc>
        <w:tc>
          <w:tcPr>
            <w:tcW w:w="1589" w:type="pct"/>
          </w:tcPr>
          <w:p w14:paraId="0EC11C6C" w14:textId="6E5E187F" w:rsidR="005E304B" w:rsidRPr="00AB4D9D" w:rsidRDefault="00D575D3" w:rsidP="00DB6C1A">
            <w:pPr>
              <w:rPr>
                <w:lang w:val="en-US"/>
              </w:rPr>
            </w:pPr>
            <w:r w:rsidRPr="00AB4D9D">
              <w:rPr>
                <w:lang w:val="en-US"/>
              </w:rPr>
              <w:t>7,87</w:t>
            </w:r>
            <w:r w:rsidR="005E304B" w:rsidRPr="00AB4D9D">
              <w:rPr>
                <w:lang w:val="en-US"/>
              </w:rPr>
              <w:t>E+0</w:t>
            </w:r>
            <w:r w:rsidRPr="00AB4D9D">
              <w:rPr>
                <w:lang w:val="en-US"/>
              </w:rPr>
              <w:t>1</w:t>
            </w:r>
            <w:r w:rsidR="005E304B" w:rsidRPr="00AB4D9D">
              <w:rPr>
                <w:lang w:val="en-US"/>
              </w:rPr>
              <w:t xml:space="preserve"> kg CO2</w:t>
            </w:r>
            <w:r w:rsidR="005E304B" w:rsidRPr="00AB4D9D">
              <w:rPr>
                <w:vertAlign w:val="subscript"/>
                <w:lang w:val="en-US"/>
              </w:rPr>
              <w:t xml:space="preserve"> </w:t>
            </w:r>
            <w:r w:rsidR="005E304B" w:rsidRPr="00AB4D9D">
              <w:rPr>
                <w:lang w:val="en-US"/>
              </w:rPr>
              <w:t>eq</w:t>
            </w:r>
          </w:p>
        </w:tc>
      </w:tr>
      <w:tr w:rsidR="005E304B" w:rsidRPr="0087464F" w14:paraId="4176F7A0" w14:textId="77777777" w:rsidTr="00631093">
        <w:tc>
          <w:tcPr>
            <w:tcW w:w="3411" w:type="pct"/>
          </w:tcPr>
          <w:p w14:paraId="4B65D7CE" w14:textId="77777777" w:rsidR="005E304B" w:rsidRPr="00AB4D9D" w:rsidRDefault="005E304B" w:rsidP="00DB6C1A">
            <w:pPr>
              <w:rPr>
                <w:lang w:val="en-US"/>
              </w:rPr>
            </w:pPr>
            <w:r w:rsidRPr="00AB4D9D">
              <w:rPr>
                <w:lang w:val="en-US"/>
              </w:rPr>
              <w:t>Freshwater and terrestrial acidification</w:t>
            </w:r>
          </w:p>
        </w:tc>
        <w:tc>
          <w:tcPr>
            <w:tcW w:w="1589" w:type="pct"/>
          </w:tcPr>
          <w:p w14:paraId="1D14C930" w14:textId="6620A626" w:rsidR="005E304B" w:rsidRPr="00AB4D9D" w:rsidRDefault="009C7301" w:rsidP="00DB6C1A">
            <w:pPr>
              <w:rPr>
                <w:lang w:val="en-US"/>
              </w:rPr>
            </w:pPr>
            <w:r w:rsidRPr="00AB4D9D">
              <w:rPr>
                <w:lang w:val="en-US"/>
              </w:rPr>
              <w:t>7,</w:t>
            </w:r>
            <w:r w:rsidR="00D575D3" w:rsidRPr="00AB4D9D">
              <w:rPr>
                <w:lang w:val="en-US"/>
              </w:rPr>
              <w:t>67</w:t>
            </w:r>
            <w:r w:rsidR="005E304B" w:rsidRPr="00AB4D9D">
              <w:rPr>
                <w:lang w:val="en-US"/>
              </w:rPr>
              <w:t>E</w:t>
            </w:r>
            <w:r w:rsidRPr="00AB4D9D">
              <w:rPr>
                <w:lang w:val="en-US"/>
              </w:rPr>
              <w:t>-</w:t>
            </w:r>
            <w:r w:rsidR="005E304B" w:rsidRPr="00AB4D9D">
              <w:rPr>
                <w:lang w:val="en-US"/>
              </w:rPr>
              <w:t>01 mol H+ eq</w:t>
            </w:r>
          </w:p>
        </w:tc>
      </w:tr>
      <w:tr w:rsidR="005E304B" w:rsidRPr="0087464F" w14:paraId="23A9F247" w14:textId="77777777" w:rsidTr="00631093">
        <w:tc>
          <w:tcPr>
            <w:tcW w:w="3411" w:type="pct"/>
          </w:tcPr>
          <w:p w14:paraId="0C069004" w14:textId="77777777" w:rsidR="005E304B" w:rsidRPr="00AB4D9D" w:rsidRDefault="005E304B" w:rsidP="00DB6C1A">
            <w:pPr>
              <w:rPr>
                <w:lang w:val="en-US"/>
              </w:rPr>
            </w:pPr>
            <w:r w:rsidRPr="00AB4D9D">
              <w:rPr>
                <w:lang w:val="en-US"/>
              </w:rPr>
              <w:t>Freshwater ecotoxicity</w:t>
            </w:r>
          </w:p>
        </w:tc>
        <w:tc>
          <w:tcPr>
            <w:tcW w:w="1589" w:type="pct"/>
          </w:tcPr>
          <w:p w14:paraId="72CFA997" w14:textId="720F06F4" w:rsidR="005E304B" w:rsidRPr="00AB4D9D" w:rsidRDefault="009C7301" w:rsidP="00DB6C1A">
            <w:pPr>
              <w:rPr>
                <w:lang w:val="en-US"/>
              </w:rPr>
            </w:pPr>
            <w:r w:rsidRPr="00AB4D9D">
              <w:rPr>
                <w:lang w:val="en-US"/>
              </w:rPr>
              <w:t>3,</w:t>
            </w:r>
            <w:r w:rsidR="00D575D3" w:rsidRPr="00AB4D9D">
              <w:rPr>
                <w:lang w:val="en-US"/>
              </w:rPr>
              <w:t>17</w:t>
            </w:r>
            <w:r w:rsidR="005E304B" w:rsidRPr="00AB4D9D">
              <w:rPr>
                <w:lang w:val="en-US"/>
              </w:rPr>
              <w:t>E+0</w:t>
            </w:r>
            <w:r w:rsidR="00D575D3" w:rsidRPr="00AB4D9D">
              <w:rPr>
                <w:lang w:val="en-US"/>
              </w:rPr>
              <w:t>1</w:t>
            </w:r>
            <w:r w:rsidR="005E304B" w:rsidRPr="00AB4D9D">
              <w:rPr>
                <w:lang w:val="en-US"/>
              </w:rPr>
              <w:t xml:space="preserve"> CTU</w:t>
            </w:r>
          </w:p>
        </w:tc>
      </w:tr>
      <w:tr w:rsidR="005E304B" w:rsidRPr="0087464F" w14:paraId="172BC642" w14:textId="77777777" w:rsidTr="00631093">
        <w:tc>
          <w:tcPr>
            <w:tcW w:w="3411" w:type="pct"/>
          </w:tcPr>
          <w:p w14:paraId="49C06156" w14:textId="77777777" w:rsidR="005E304B" w:rsidRPr="00AB4D9D" w:rsidRDefault="005E304B" w:rsidP="00DB6C1A">
            <w:pPr>
              <w:rPr>
                <w:lang w:val="en-US"/>
              </w:rPr>
            </w:pPr>
            <w:r w:rsidRPr="00AB4D9D">
              <w:rPr>
                <w:lang w:val="en-US"/>
              </w:rPr>
              <w:t>Freshwater eutrophication</w:t>
            </w:r>
          </w:p>
        </w:tc>
        <w:tc>
          <w:tcPr>
            <w:tcW w:w="1589" w:type="pct"/>
          </w:tcPr>
          <w:p w14:paraId="74630E62" w14:textId="22229AFF" w:rsidR="005E304B" w:rsidRPr="00AB4D9D" w:rsidRDefault="009C7301" w:rsidP="00DB6C1A">
            <w:pPr>
              <w:rPr>
                <w:lang w:val="en-US"/>
              </w:rPr>
            </w:pPr>
            <w:r w:rsidRPr="00AB4D9D">
              <w:rPr>
                <w:lang w:val="en-US"/>
              </w:rPr>
              <w:t>1,</w:t>
            </w:r>
            <w:r w:rsidR="00D575D3" w:rsidRPr="00AB4D9D">
              <w:rPr>
                <w:lang w:val="en-US"/>
              </w:rPr>
              <w:t>45</w:t>
            </w:r>
            <w:r w:rsidR="005E304B" w:rsidRPr="00AB4D9D">
              <w:rPr>
                <w:lang w:val="en-US"/>
              </w:rPr>
              <w:t>E-0</w:t>
            </w:r>
            <w:r w:rsidRPr="00AB4D9D">
              <w:rPr>
                <w:lang w:val="en-US"/>
              </w:rPr>
              <w:t>2</w:t>
            </w:r>
            <w:r w:rsidR="005E304B" w:rsidRPr="00AB4D9D">
              <w:rPr>
                <w:lang w:val="en-US"/>
              </w:rPr>
              <w:t xml:space="preserve"> kg P eq</w:t>
            </w:r>
          </w:p>
        </w:tc>
      </w:tr>
      <w:tr w:rsidR="005E304B" w:rsidRPr="0087464F" w14:paraId="2F6B53BB" w14:textId="77777777" w:rsidTr="00631093">
        <w:tc>
          <w:tcPr>
            <w:tcW w:w="3411" w:type="pct"/>
          </w:tcPr>
          <w:p w14:paraId="056180D0" w14:textId="77777777" w:rsidR="005E304B" w:rsidRPr="00AB4D9D" w:rsidRDefault="005E304B" w:rsidP="00DB6C1A">
            <w:pPr>
              <w:rPr>
                <w:lang w:val="en-US"/>
              </w:rPr>
            </w:pPr>
            <w:r w:rsidRPr="00AB4D9D">
              <w:rPr>
                <w:lang w:val="en-US"/>
              </w:rPr>
              <w:t>Marine eutrophication</w:t>
            </w:r>
          </w:p>
        </w:tc>
        <w:tc>
          <w:tcPr>
            <w:tcW w:w="1589" w:type="pct"/>
          </w:tcPr>
          <w:p w14:paraId="08974CD6" w14:textId="304C776A" w:rsidR="005E304B" w:rsidRPr="00AB4D9D" w:rsidRDefault="009C7301" w:rsidP="00DB6C1A">
            <w:pPr>
              <w:rPr>
                <w:lang w:val="en-US"/>
              </w:rPr>
            </w:pPr>
            <w:r w:rsidRPr="00AB4D9D">
              <w:rPr>
                <w:lang w:val="en-US"/>
              </w:rPr>
              <w:t>2,29</w:t>
            </w:r>
            <w:r w:rsidR="005E304B" w:rsidRPr="00AB4D9D">
              <w:rPr>
                <w:lang w:val="en-US"/>
              </w:rPr>
              <w:t>E-01 kg N eq</w:t>
            </w:r>
          </w:p>
        </w:tc>
      </w:tr>
      <w:tr w:rsidR="005E304B" w:rsidRPr="0087464F" w14:paraId="16B97D33" w14:textId="77777777" w:rsidTr="00631093">
        <w:tc>
          <w:tcPr>
            <w:tcW w:w="3411" w:type="pct"/>
          </w:tcPr>
          <w:p w14:paraId="43780A4B" w14:textId="77777777" w:rsidR="005E304B" w:rsidRPr="00AB4D9D" w:rsidRDefault="005E304B" w:rsidP="00DB6C1A">
            <w:pPr>
              <w:rPr>
                <w:lang w:val="en-US"/>
              </w:rPr>
            </w:pPr>
            <w:r w:rsidRPr="00AB4D9D">
              <w:rPr>
                <w:lang w:val="en-US"/>
              </w:rPr>
              <w:t>Terrestrial eutrophication</w:t>
            </w:r>
          </w:p>
        </w:tc>
        <w:tc>
          <w:tcPr>
            <w:tcW w:w="1589" w:type="pct"/>
          </w:tcPr>
          <w:p w14:paraId="6F2FC585" w14:textId="6214B5DC" w:rsidR="005E304B" w:rsidRPr="00AB4D9D" w:rsidRDefault="009C7301" w:rsidP="00DB6C1A">
            <w:pPr>
              <w:rPr>
                <w:lang w:val="en-US"/>
              </w:rPr>
            </w:pPr>
            <w:r w:rsidRPr="00AB4D9D">
              <w:rPr>
                <w:lang w:val="en-US"/>
              </w:rPr>
              <w:t>2,</w:t>
            </w:r>
            <w:r w:rsidR="00D575D3" w:rsidRPr="00AB4D9D">
              <w:rPr>
                <w:lang w:val="en-US"/>
              </w:rPr>
              <w:t>61</w:t>
            </w:r>
            <w:r w:rsidR="005E304B" w:rsidRPr="00AB4D9D">
              <w:rPr>
                <w:lang w:val="en-US"/>
              </w:rPr>
              <w:t>E+00 mol N eq</w:t>
            </w:r>
          </w:p>
        </w:tc>
      </w:tr>
      <w:tr w:rsidR="005E304B" w:rsidRPr="0087464F" w14:paraId="23CDEAEA" w14:textId="77777777" w:rsidTr="00631093">
        <w:tc>
          <w:tcPr>
            <w:tcW w:w="3411" w:type="pct"/>
          </w:tcPr>
          <w:p w14:paraId="6504C6FF" w14:textId="77777777" w:rsidR="005E304B" w:rsidRPr="00AB4D9D" w:rsidRDefault="005E304B" w:rsidP="00DB6C1A">
            <w:pPr>
              <w:rPr>
                <w:lang w:val="en-US"/>
              </w:rPr>
            </w:pPr>
            <w:r w:rsidRPr="00AB4D9D">
              <w:rPr>
                <w:lang w:val="en-US"/>
              </w:rPr>
              <w:t>Human health carcinogenic effects</w:t>
            </w:r>
          </w:p>
        </w:tc>
        <w:tc>
          <w:tcPr>
            <w:tcW w:w="1589" w:type="pct"/>
          </w:tcPr>
          <w:p w14:paraId="03530AB1" w14:textId="121C758F" w:rsidR="005E304B" w:rsidRPr="00AB4D9D" w:rsidRDefault="00D575D3" w:rsidP="00DB6C1A">
            <w:pPr>
              <w:rPr>
                <w:lang w:val="en-US"/>
              </w:rPr>
            </w:pPr>
            <w:r w:rsidRPr="00AB4D9D">
              <w:rPr>
                <w:lang w:val="en-US"/>
              </w:rPr>
              <w:t>5</w:t>
            </w:r>
            <w:r w:rsidR="005E304B" w:rsidRPr="00AB4D9D">
              <w:rPr>
                <w:lang w:val="en-US"/>
              </w:rPr>
              <w:t>,2</w:t>
            </w:r>
            <w:r w:rsidR="001D61E5" w:rsidRPr="00AB4D9D">
              <w:rPr>
                <w:lang w:val="en-US"/>
              </w:rPr>
              <w:t>0</w:t>
            </w:r>
            <w:r w:rsidR="005E304B" w:rsidRPr="00AB4D9D">
              <w:rPr>
                <w:lang w:val="en-US"/>
              </w:rPr>
              <w:t>E-0</w:t>
            </w:r>
            <w:r w:rsidRPr="00AB4D9D">
              <w:rPr>
                <w:lang w:val="en-US"/>
              </w:rPr>
              <w:t>7</w:t>
            </w:r>
            <w:r w:rsidR="005E304B" w:rsidRPr="00AB4D9D">
              <w:rPr>
                <w:lang w:val="en-US"/>
              </w:rPr>
              <w:t xml:space="preserve"> </w:t>
            </w:r>
            <w:proofErr w:type="spellStart"/>
            <w:r w:rsidR="005E304B" w:rsidRPr="00AB4D9D">
              <w:rPr>
                <w:lang w:val="en-US"/>
              </w:rPr>
              <w:t>CTUh</w:t>
            </w:r>
            <w:proofErr w:type="spellEnd"/>
          </w:p>
        </w:tc>
      </w:tr>
      <w:tr w:rsidR="005E304B" w:rsidRPr="0087464F" w14:paraId="7394BFBD" w14:textId="77777777" w:rsidTr="00631093">
        <w:tc>
          <w:tcPr>
            <w:tcW w:w="3411" w:type="pct"/>
          </w:tcPr>
          <w:p w14:paraId="2DB9D8D8" w14:textId="77777777" w:rsidR="005E304B" w:rsidRPr="00AB4D9D" w:rsidRDefault="005E304B" w:rsidP="00DB6C1A">
            <w:r w:rsidRPr="00AB4D9D">
              <w:rPr>
                <w:lang w:val="en-US"/>
              </w:rPr>
              <w:t>Human health non-carcinogenic effects</w:t>
            </w:r>
          </w:p>
        </w:tc>
        <w:tc>
          <w:tcPr>
            <w:tcW w:w="1589" w:type="pct"/>
          </w:tcPr>
          <w:p w14:paraId="4DC0AC09" w14:textId="64483F2F" w:rsidR="005E304B" w:rsidRPr="00AB4D9D" w:rsidRDefault="001D61E5" w:rsidP="00DB6C1A">
            <w:pPr>
              <w:rPr>
                <w:lang w:val="en-US"/>
              </w:rPr>
            </w:pPr>
            <w:r w:rsidRPr="00AB4D9D">
              <w:rPr>
                <w:lang w:val="en-US"/>
              </w:rPr>
              <w:t>5,</w:t>
            </w:r>
            <w:r w:rsidR="00D575D3" w:rsidRPr="00AB4D9D">
              <w:rPr>
                <w:lang w:val="en-US"/>
              </w:rPr>
              <w:t>31</w:t>
            </w:r>
            <w:r w:rsidR="005E304B" w:rsidRPr="00AB4D9D">
              <w:rPr>
                <w:lang w:val="en-US"/>
              </w:rPr>
              <w:t>E-0</w:t>
            </w:r>
            <w:r w:rsidR="00D575D3" w:rsidRPr="00AB4D9D">
              <w:rPr>
                <w:lang w:val="en-US"/>
              </w:rPr>
              <w:t>6</w:t>
            </w:r>
            <w:r w:rsidR="005E304B" w:rsidRPr="00AB4D9D">
              <w:rPr>
                <w:lang w:val="en-US"/>
              </w:rPr>
              <w:t xml:space="preserve"> </w:t>
            </w:r>
            <w:proofErr w:type="spellStart"/>
            <w:r w:rsidR="005E304B" w:rsidRPr="00AB4D9D">
              <w:rPr>
                <w:lang w:val="en-US"/>
              </w:rPr>
              <w:t>CTUh</w:t>
            </w:r>
            <w:proofErr w:type="spellEnd"/>
          </w:p>
        </w:tc>
      </w:tr>
      <w:tr w:rsidR="005E304B" w:rsidRPr="0087464F" w14:paraId="41241429" w14:textId="77777777" w:rsidTr="00631093">
        <w:tc>
          <w:tcPr>
            <w:tcW w:w="3411" w:type="pct"/>
          </w:tcPr>
          <w:p w14:paraId="2C8CBA23" w14:textId="77777777" w:rsidR="005E304B" w:rsidRPr="00AB4D9D" w:rsidRDefault="005E304B" w:rsidP="00DB6C1A">
            <w:pPr>
              <w:rPr>
                <w:lang w:val="en-US"/>
              </w:rPr>
            </w:pPr>
            <w:r w:rsidRPr="00AB4D9D">
              <w:rPr>
                <w:lang w:val="en-US"/>
              </w:rPr>
              <w:t>Ozone layer depletion</w:t>
            </w:r>
          </w:p>
        </w:tc>
        <w:tc>
          <w:tcPr>
            <w:tcW w:w="1589" w:type="pct"/>
          </w:tcPr>
          <w:p w14:paraId="2DCD8996" w14:textId="00E15B28" w:rsidR="005E304B" w:rsidRPr="00AB4D9D" w:rsidRDefault="00D575D3" w:rsidP="00DB6C1A">
            <w:pPr>
              <w:rPr>
                <w:lang w:val="en-US"/>
              </w:rPr>
            </w:pPr>
            <w:r w:rsidRPr="00AB4D9D">
              <w:rPr>
                <w:lang w:val="en-US"/>
              </w:rPr>
              <w:t>8</w:t>
            </w:r>
            <w:r w:rsidR="005E304B" w:rsidRPr="00AB4D9D">
              <w:rPr>
                <w:lang w:val="en-US"/>
              </w:rPr>
              <w:t>,</w:t>
            </w:r>
            <w:r w:rsidR="001D61E5" w:rsidRPr="00AB4D9D">
              <w:rPr>
                <w:lang w:val="en-US"/>
              </w:rPr>
              <w:t>0</w:t>
            </w:r>
            <w:r w:rsidRPr="00AB4D9D">
              <w:rPr>
                <w:lang w:val="en-US"/>
              </w:rPr>
              <w:t>5</w:t>
            </w:r>
            <w:r w:rsidR="005E304B" w:rsidRPr="00AB4D9D">
              <w:rPr>
                <w:lang w:val="en-US"/>
              </w:rPr>
              <w:t>E-0</w:t>
            </w:r>
            <w:r w:rsidRPr="00AB4D9D">
              <w:rPr>
                <w:lang w:val="en-US"/>
              </w:rPr>
              <w:t>6</w:t>
            </w:r>
            <w:r w:rsidR="005E304B" w:rsidRPr="00AB4D9D">
              <w:rPr>
                <w:lang w:val="en-US"/>
              </w:rPr>
              <w:t xml:space="preserve"> kg CFC-11</w:t>
            </w:r>
          </w:p>
        </w:tc>
      </w:tr>
      <w:tr w:rsidR="005E304B" w:rsidRPr="0087464F" w14:paraId="49298445" w14:textId="77777777" w:rsidTr="00631093">
        <w:tc>
          <w:tcPr>
            <w:tcW w:w="3411" w:type="pct"/>
          </w:tcPr>
          <w:p w14:paraId="20264C7A" w14:textId="77777777" w:rsidR="005E304B" w:rsidRPr="00AB4D9D" w:rsidRDefault="005E304B" w:rsidP="00DB6C1A">
            <w:pPr>
              <w:rPr>
                <w:lang w:val="en-US"/>
              </w:rPr>
            </w:pPr>
            <w:r w:rsidRPr="00AB4D9D">
              <w:rPr>
                <w:lang w:val="en-US"/>
              </w:rPr>
              <w:t>Photochemical ozone creation</w:t>
            </w:r>
          </w:p>
        </w:tc>
        <w:tc>
          <w:tcPr>
            <w:tcW w:w="1589" w:type="pct"/>
          </w:tcPr>
          <w:p w14:paraId="7850A727" w14:textId="2AA8BAD4" w:rsidR="005E304B" w:rsidRPr="00AB4D9D" w:rsidRDefault="001D61E5" w:rsidP="00DB6C1A">
            <w:pPr>
              <w:rPr>
                <w:lang w:val="en-US"/>
              </w:rPr>
            </w:pPr>
            <w:r w:rsidRPr="00AB4D9D">
              <w:rPr>
                <w:lang w:val="en-US"/>
              </w:rPr>
              <w:t>6</w:t>
            </w:r>
            <w:r w:rsidR="005E304B" w:rsidRPr="00AB4D9D">
              <w:rPr>
                <w:lang w:val="en-US"/>
              </w:rPr>
              <w:t>,</w:t>
            </w:r>
            <w:r w:rsidR="00D575D3" w:rsidRPr="00AB4D9D">
              <w:rPr>
                <w:lang w:val="en-US"/>
              </w:rPr>
              <w:t>4</w:t>
            </w:r>
            <w:r w:rsidRPr="00AB4D9D">
              <w:rPr>
                <w:lang w:val="en-US"/>
              </w:rPr>
              <w:t>3</w:t>
            </w:r>
            <w:r w:rsidR="005E304B" w:rsidRPr="00AB4D9D">
              <w:rPr>
                <w:lang w:val="en-US"/>
              </w:rPr>
              <w:t>E-01 kg NMVOC-</w:t>
            </w:r>
          </w:p>
        </w:tc>
      </w:tr>
      <w:tr w:rsidR="00BD4A1F" w:rsidRPr="0087464F" w14:paraId="4387679F" w14:textId="77777777" w:rsidTr="00631093">
        <w:tc>
          <w:tcPr>
            <w:tcW w:w="3411" w:type="pct"/>
          </w:tcPr>
          <w:p w14:paraId="0D32BDB7" w14:textId="2B409295" w:rsidR="00BD4A1F" w:rsidRPr="00AB4D9D" w:rsidRDefault="00BD4A1F" w:rsidP="00DB6C1A">
            <w:pPr>
              <w:rPr>
                <w:i/>
                <w:iCs/>
                <w:lang w:val="en-US"/>
              </w:rPr>
            </w:pPr>
            <w:r w:rsidRPr="00AB4D9D">
              <w:rPr>
                <w:i/>
                <w:iCs/>
                <w:lang w:val="en-US"/>
              </w:rPr>
              <w:t>Economic outflows not followed to system boundary</w:t>
            </w:r>
          </w:p>
        </w:tc>
        <w:tc>
          <w:tcPr>
            <w:tcW w:w="1589" w:type="pct"/>
          </w:tcPr>
          <w:p w14:paraId="6EA4CE33" w14:textId="77777777" w:rsidR="00BD4A1F" w:rsidRPr="00AB4D9D" w:rsidRDefault="00BD4A1F" w:rsidP="00DB6C1A">
            <w:pPr>
              <w:rPr>
                <w:lang w:val="en-US"/>
              </w:rPr>
            </w:pPr>
          </w:p>
        </w:tc>
      </w:tr>
      <w:tr w:rsidR="00BD4A1F" w:rsidRPr="0087464F" w14:paraId="22D1D58D" w14:textId="77777777" w:rsidTr="00631093">
        <w:tc>
          <w:tcPr>
            <w:tcW w:w="3411" w:type="pct"/>
          </w:tcPr>
          <w:p w14:paraId="3C9F2A96" w14:textId="5C6F6417" w:rsidR="00BD4A1F" w:rsidRPr="00AB4D9D" w:rsidRDefault="00BD4A1F" w:rsidP="00DB6C1A">
            <w:pPr>
              <w:rPr>
                <w:lang w:val="en-US"/>
              </w:rPr>
            </w:pPr>
            <w:r w:rsidRPr="00AB4D9D">
              <w:rPr>
                <w:lang w:val="en-US"/>
              </w:rPr>
              <w:t>Basket of coarse size fractions</w:t>
            </w:r>
          </w:p>
        </w:tc>
        <w:tc>
          <w:tcPr>
            <w:tcW w:w="1589" w:type="pct"/>
          </w:tcPr>
          <w:p w14:paraId="41317E94" w14:textId="114A2569" w:rsidR="00BD4A1F" w:rsidRPr="00AB4D9D" w:rsidRDefault="00D575D3" w:rsidP="00DB6C1A">
            <w:pPr>
              <w:rPr>
                <w:lang w:val="en-US"/>
              </w:rPr>
            </w:pPr>
            <w:r w:rsidRPr="00AB4D9D">
              <w:rPr>
                <w:lang w:val="en-US"/>
              </w:rPr>
              <w:t>2</w:t>
            </w:r>
            <w:r w:rsidR="0057370A" w:rsidRPr="00AB4D9D">
              <w:rPr>
                <w:lang w:val="en-US"/>
              </w:rPr>
              <w:t>,</w:t>
            </w:r>
            <w:r w:rsidRPr="00AB4D9D">
              <w:rPr>
                <w:lang w:val="en-US"/>
              </w:rPr>
              <w:t>01</w:t>
            </w:r>
            <w:r w:rsidR="0057370A" w:rsidRPr="00AB4D9D">
              <w:rPr>
                <w:lang w:val="en-US"/>
              </w:rPr>
              <w:t>E+0</w:t>
            </w:r>
            <w:r w:rsidRPr="00AB4D9D">
              <w:rPr>
                <w:lang w:val="en-US"/>
              </w:rPr>
              <w:t>5</w:t>
            </w:r>
            <w:r w:rsidR="0057370A" w:rsidRPr="00AB4D9D">
              <w:rPr>
                <w:lang w:val="en-US"/>
              </w:rPr>
              <w:t xml:space="preserve"> kg</w:t>
            </w:r>
          </w:p>
        </w:tc>
      </w:tr>
      <w:tr w:rsidR="00BD4A1F" w:rsidRPr="0087464F" w14:paraId="05418D20" w14:textId="77777777" w:rsidTr="00631093">
        <w:tc>
          <w:tcPr>
            <w:tcW w:w="3411" w:type="pct"/>
          </w:tcPr>
          <w:p w14:paraId="66FA3745" w14:textId="2E54C5E5" w:rsidR="00BD4A1F" w:rsidRPr="00AB4D9D" w:rsidRDefault="00BD4A1F" w:rsidP="00DB6C1A">
            <w:pPr>
              <w:rPr>
                <w:lang w:val="en-US"/>
              </w:rPr>
            </w:pPr>
            <w:r w:rsidRPr="00AB4D9D">
              <w:rPr>
                <w:lang w:val="en-US"/>
              </w:rPr>
              <w:t>Basket of non-magnetic material</w:t>
            </w:r>
            <w:r w:rsidR="0057370A" w:rsidRPr="00AB4D9D">
              <w:rPr>
                <w:lang w:val="en-US"/>
              </w:rPr>
              <w:t>s</w:t>
            </w:r>
          </w:p>
        </w:tc>
        <w:tc>
          <w:tcPr>
            <w:tcW w:w="1589" w:type="pct"/>
          </w:tcPr>
          <w:p w14:paraId="282742FC" w14:textId="4B40E2C5" w:rsidR="00BD4A1F" w:rsidRPr="00AB4D9D" w:rsidRDefault="00D575D3" w:rsidP="00DB6C1A">
            <w:pPr>
              <w:rPr>
                <w:lang w:val="en-US"/>
              </w:rPr>
            </w:pPr>
            <w:r w:rsidRPr="00AB4D9D">
              <w:rPr>
                <w:lang w:val="en-US"/>
              </w:rPr>
              <w:t>2</w:t>
            </w:r>
            <w:r w:rsidR="00CA5A1E" w:rsidRPr="00AB4D9D">
              <w:rPr>
                <w:lang w:val="en-US"/>
              </w:rPr>
              <w:t>,</w:t>
            </w:r>
            <w:r w:rsidRPr="00AB4D9D">
              <w:rPr>
                <w:lang w:val="en-US"/>
              </w:rPr>
              <w:t>95</w:t>
            </w:r>
            <w:r w:rsidR="00CA5A1E" w:rsidRPr="00AB4D9D">
              <w:rPr>
                <w:lang w:val="en-US"/>
              </w:rPr>
              <w:t>E+0</w:t>
            </w:r>
            <w:r w:rsidRPr="00AB4D9D">
              <w:rPr>
                <w:lang w:val="en-US"/>
              </w:rPr>
              <w:t>3</w:t>
            </w:r>
            <w:r w:rsidR="00CA5A1E" w:rsidRPr="00AB4D9D">
              <w:rPr>
                <w:lang w:val="en-US"/>
              </w:rPr>
              <w:t xml:space="preserve"> kg</w:t>
            </w:r>
          </w:p>
        </w:tc>
      </w:tr>
      <w:tr w:rsidR="00BD4A1F" w:rsidRPr="0087464F" w14:paraId="557C9CC1" w14:textId="77777777" w:rsidTr="00631093">
        <w:tc>
          <w:tcPr>
            <w:tcW w:w="3411" w:type="pct"/>
          </w:tcPr>
          <w:p w14:paraId="3ECFB45B" w14:textId="6F2C29F6" w:rsidR="00BD4A1F" w:rsidRPr="00AB4D9D" w:rsidRDefault="00BD4A1F" w:rsidP="00DB6C1A">
            <w:pPr>
              <w:rPr>
                <w:lang w:val="en-US"/>
              </w:rPr>
            </w:pPr>
            <w:r w:rsidRPr="00AB4D9D">
              <w:rPr>
                <w:lang w:val="en-US"/>
              </w:rPr>
              <w:t>Cake</w:t>
            </w:r>
          </w:p>
        </w:tc>
        <w:tc>
          <w:tcPr>
            <w:tcW w:w="1589" w:type="pct"/>
          </w:tcPr>
          <w:p w14:paraId="4146D595" w14:textId="2D9E0076" w:rsidR="00BD4A1F" w:rsidRPr="00AB4D9D" w:rsidRDefault="00D575D3" w:rsidP="00DB6C1A">
            <w:pPr>
              <w:rPr>
                <w:lang w:val="en-US"/>
              </w:rPr>
            </w:pPr>
            <w:r w:rsidRPr="00AB4D9D">
              <w:rPr>
                <w:lang w:val="en-US"/>
              </w:rPr>
              <w:t>4</w:t>
            </w:r>
            <w:r w:rsidR="00CA5A1E" w:rsidRPr="00AB4D9D">
              <w:rPr>
                <w:lang w:val="en-US"/>
              </w:rPr>
              <w:t>,</w:t>
            </w:r>
            <w:r w:rsidRPr="00AB4D9D">
              <w:rPr>
                <w:lang w:val="en-US"/>
              </w:rPr>
              <w:t>55</w:t>
            </w:r>
            <w:r w:rsidR="00CA5A1E" w:rsidRPr="00AB4D9D">
              <w:rPr>
                <w:lang w:val="en-US"/>
              </w:rPr>
              <w:t>E</w:t>
            </w:r>
            <w:r w:rsidR="00E551B1" w:rsidRPr="00AB4D9D">
              <w:rPr>
                <w:lang w:val="en-US"/>
              </w:rPr>
              <w:t>+</w:t>
            </w:r>
            <w:r w:rsidR="00CA5A1E" w:rsidRPr="00AB4D9D">
              <w:rPr>
                <w:lang w:val="en-US"/>
              </w:rPr>
              <w:t>0</w:t>
            </w:r>
            <w:r w:rsidRPr="00AB4D9D">
              <w:rPr>
                <w:lang w:val="en-US"/>
              </w:rPr>
              <w:t>3</w:t>
            </w:r>
            <w:r w:rsidR="00CA5A1E" w:rsidRPr="00AB4D9D">
              <w:rPr>
                <w:lang w:val="en-US"/>
              </w:rPr>
              <w:t xml:space="preserve"> kg</w:t>
            </w:r>
          </w:p>
        </w:tc>
      </w:tr>
    </w:tbl>
    <w:p w14:paraId="33BFF77A" w14:textId="77777777" w:rsidR="00D56808" w:rsidRPr="0087464F" w:rsidRDefault="00D56808" w:rsidP="009A215A">
      <w:pPr>
        <w:rPr>
          <w:strike/>
        </w:rPr>
      </w:pPr>
    </w:p>
    <w:p w14:paraId="6CBE9BED" w14:textId="7E43F0FF" w:rsidR="007A19FC" w:rsidRDefault="00D56808" w:rsidP="009A215A">
      <w:pPr>
        <w:pStyle w:val="Heading2"/>
      </w:pPr>
      <w:bookmarkStart w:id="69" w:name="_Ref74852419"/>
      <w:bookmarkStart w:id="70" w:name="_Toc76752283"/>
      <w:r w:rsidRPr="009A215A">
        <w:t>Normalization</w:t>
      </w:r>
      <w:bookmarkEnd w:id="69"/>
      <w:r w:rsidR="000E46F6">
        <w:t xml:space="preserve"> results</w:t>
      </w:r>
      <w:bookmarkEnd w:id="70"/>
    </w:p>
    <w:p w14:paraId="0F8156F6" w14:textId="77777777" w:rsidR="00404644" w:rsidRPr="000E46F6" w:rsidRDefault="00404644" w:rsidP="00404644"/>
    <w:p w14:paraId="21D41359" w14:textId="0D6D789C" w:rsidR="00F7307E" w:rsidRDefault="00D56808" w:rsidP="009A215A">
      <w:r w:rsidRPr="000E46F6">
        <w:t xml:space="preserve">The normalized indicator results for the impact categories are </w:t>
      </w:r>
      <w:r w:rsidR="00A20453" w:rsidRPr="00DB195C">
        <w:rPr>
          <w:lang w:val="en-US"/>
        </w:rPr>
        <w:t>depicted in</w:t>
      </w:r>
      <w:r w:rsidR="00A52A67" w:rsidRPr="00DB195C">
        <w:rPr>
          <w:lang w:val="en-US"/>
        </w:rPr>
        <w:t xml:space="preserve"> </w:t>
      </w:r>
      <w:r w:rsidR="00A52A67" w:rsidRPr="00DB195C">
        <w:rPr>
          <w:lang w:val="en-US"/>
        </w:rPr>
        <w:fldChar w:fldCharType="begin"/>
      </w:r>
      <w:r w:rsidR="00A52A67" w:rsidRPr="00DB195C">
        <w:rPr>
          <w:lang w:val="en-US"/>
        </w:rPr>
        <w:instrText xml:space="preserve"> REF _Ref74763815 \h </w:instrText>
      </w:r>
      <w:r w:rsidR="00E27A3F" w:rsidRPr="00DB195C">
        <w:rPr>
          <w:lang w:val="en-US"/>
        </w:rPr>
        <w:instrText xml:space="preserve"> \* MERGEFORMAT </w:instrText>
      </w:r>
      <w:r w:rsidR="00A52A67" w:rsidRPr="00DB195C">
        <w:rPr>
          <w:lang w:val="en-US"/>
        </w:rPr>
      </w:r>
      <w:r w:rsidR="00A52A67" w:rsidRPr="00DB195C">
        <w:rPr>
          <w:lang w:val="en-US"/>
        </w:rPr>
        <w:fldChar w:fldCharType="separate"/>
      </w:r>
      <w:r w:rsidR="00480721" w:rsidRPr="00DB195C">
        <w:t xml:space="preserve">Figure </w:t>
      </w:r>
      <w:r w:rsidR="0030669C">
        <w:rPr>
          <w:noProof/>
          <w:lang w:val="en-US"/>
        </w:rPr>
        <w:t>4</w:t>
      </w:r>
      <w:r w:rsidR="00480721" w:rsidRPr="00DB195C">
        <w:rPr>
          <w:noProof/>
        </w:rPr>
        <w:t>.</w:t>
      </w:r>
      <w:r w:rsidR="00A52A67" w:rsidRPr="00DB195C">
        <w:rPr>
          <w:lang w:val="en-US"/>
        </w:rPr>
        <w:fldChar w:fldCharType="end"/>
      </w:r>
      <w:r w:rsidR="00480721" w:rsidRPr="00DB195C">
        <w:rPr>
          <w:lang w:val="en-US"/>
        </w:rPr>
        <w:t>1</w:t>
      </w:r>
      <w:r w:rsidRPr="00DB195C">
        <w:t>:</w:t>
      </w:r>
    </w:p>
    <w:p w14:paraId="4C15F9E5" w14:textId="77777777" w:rsidR="00C233CC" w:rsidRPr="000E46F6" w:rsidRDefault="00C233CC" w:rsidP="009A215A"/>
    <w:p w14:paraId="58968A66" w14:textId="2757E21E" w:rsidR="00A52A67" w:rsidRPr="00C233CC" w:rsidRDefault="00C233CC" w:rsidP="00C233CC">
      <w:r>
        <w:rPr>
          <w:noProof/>
        </w:rPr>
        <w:lastRenderedPageBreak/>
        <w:drawing>
          <wp:inline distT="0" distB="0" distL="0" distR="0" wp14:anchorId="60C8A271" wp14:editId="674F5E78">
            <wp:extent cx="6044400" cy="2880000"/>
            <wp:effectExtent l="0" t="0" r="1270" b="31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4400" cy="2880000"/>
                    </a:xfrm>
                    <a:prstGeom prst="rect">
                      <a:avLst/>
                    </a:prstGeom>
                  </pic:spPr>
                </pic:pic>
              </a:graphicData>
            </a:graphic>
          </wp:inline>
        </w:drawing>
      </w:r>
    </w:p>
    <w:p w14:paraId="48584EB5" w14:textId="66641B61" w:rsidR="003F65A1" w:rsidRPr="000E46F6" w:rsidRDefault="00A52A67" w:rsidP="00843EDF">
      <w:pPr>
        <w:pStyle w:val="Caption"/>
        <w:rPr>
          <w:lang w:val="en-US"/>
        </w:rPr>
      </w:pPr>
      <w:bookmarkStart w:id="71" w:name="_Ref74763815"/>
      <w:bookmarkStart w:id="72" w:name="_Toc76729608"/>
      <w:r w:rsidRPr="000E46F6">
        <w:t xml:space="preserve">Figure </w:t>
      </w:r>
      <w:r w:rsidR="0030669C">
        <w:rPr>
          <w:lang w:val="en-US"/>
        </w:rPr>
        <w:t>4</w:t>
      </w:r>
      <w:r w:rsidR="001150DB" w:rsidRPr="000E46F6">
        <w:t>.</w:t>
      </w:r>
      <w:bookmarkEnd w:id="71"/>
      <w:r w:rsidR="00480721">
        <w:rPr>
          <w:lang w:val="en-US"/>
        </w:rPr>
        <w:t>1</w:t>
      </w:r>
      <w:r w:rsidRPr="000E46F6">
        <w:rPr>
          <w:lang w:val="en-US"/>
        </w:rPr>
        <w:t xml:space="preserve"> Normalized environmental profile of product system, reference system EU-27 population person equivalent (measurement unit, year). FU: 1 kg of REO from EOL HDDs’ </w:t>
      </w:r>
      <w:proofErr w:type="spellStart"/>
      <w:r w:rsidRPr="000E46F6">
        <w:rPr>
          <w:lang w:val="en-US"/>
        </w:rPr>
        <w:t>NdFeB</w:t>
      </w:r>
      <w:proofErr w:type="spellEnd"/>
      <w:r w:rsidRPr="000E46F6">
        <w:rPr>
          <w:lang w:val="en-US"/>
        </w:rPr>
        <w:t xml:space="preserve"> magnets separated from e-waste at the plant’s gate. Source: author’s image.</w:t>
      </w:r>
      <w:bookmarkEnd w:id="72"/>
    </w:p>
    <w:p w14:paraId="23CF79B3" w14:textId="5E0F3342" w:rsidR="00A62074" w:rsidRPr="009A215A" w:rsidRDefault="00A62074" w:rsidP="000E46F6">
      <w:pPr>
        <w:pStyle w:val="Heading2"/>
      </w:pPr>
      <w:bookmarkStart w:id="73" w:name="_Toc76752284"/>
      <w:r w:rsidRPr="009A215A">
        <w:t>Completeness check</w:t>
      </w:r>
      <w:bookmarkEnd w:id="73"/>
      <w:r w:rsidRPr="009A215A">
        <w:t xml:space="preserve"> </w:t>
      </w:r>
    </w:p>
    <w:p w14:paraId="50A0979A" w14:textId="77777777" w:rsidR="0084527A" w:rsidRDefault="0084527A" w:rsidP="0084527A"/>
    <w:p w14:paraId="3BE4DC91" w14:textId="26922D20" w:rsidR="0084527A" w:rsidRPr="000E46F6" w:rsidRDefault="0084527A" w:rsidP="0084527A">
      <w:r w:rsidRPr="000E46F6">
        <w:t>The modeling of the projected industrial</w:t>
      </w:r>
      <w:r w:rsidR="000E0678">
        <w:rPr>
          <w:lang w:val="en-US"/>
        </w:rPr>
        <w:t>-</w:t>
      </w:r>
      <w:r w:rsidRPr="000E46F6">
        <w:t xml:space="preserve">scale system </w:t>
      </w:r>
      <w:proofErr w:type="spellStart"/>
      <w:r w:rsidR="00BB4CD5">
        <w:rPr>
          <w:lang w:val="en-US"/>
        </w:rPr>
        <w:t>i</w:t>
      </w:r>
      <w:proofErr w:type="spellEnd"/>
      <w:r w:rsidRPr="000E46F6">
        <w:t>s endeavored to be as complete as possible besides the low technology readiness level and the non-actual implementation of the recycling route of this work. To the best of the author's knowledge, the unit processes include all relevant interventions reported in the literature and by experts. Satisfactory data quality is assured by sourcing it from peer-reviewed literature and expert consultation. For data not found by these means, mass balance assure</w:t>
      </w:r>
      <w:r w:rsidR="00BB4CD5">
        <w:rPr>
          <w:lang w:val="en-US"/>
        </w:rPr>
        <w:t>s</w:t>
      </w:r>
      <w:r w:rsidRPr="000E46F6">
        <w:t xml:space="preserve"> completeness. The final system condition is compared with similar studies in literature and deemed representative. </w:t>
      </w:r>
    </w:p>
    <w:p w14:paraId="55EE768C" w14:textId="77777777" w:rsidR="0084527A" w:rsidRPr="000E46F6" w:rsidRDefault="0084527A" w:rsidP="0084527A"/>
    <w:p w14:paraId="1D844B87" w14:textId="7963EC8C" w:rsidR="00A62074" w:rsidRPr="000E46F6" w:rsidRDefault="0084527A" w:rsidP="0084527A">
      <w:r w:rsidRPr="000E46F6">
        <w:t xml:space="preserve">The cut-off flow of non-fragmented HDDs, addressed </w:t>
      </w:r>
      <w:r w:rsidRPr="00615C3C">
        <w:t>in section</w:t>
      </w:r>
      <w:r w:rsidR="00F37611" w:rsidRPr="00615C3C">
        <w:rPr>
          <w:lang w:val="en-US"/>
        </w:rPr>
        <w:t xml:space="preserve"> </w:t>
      </w:r>
      <w:r w:rsidR="00F37611" w:rsidRPr="00615C3C">
        <w:fldChar w:fldCharType="begin"/>
      </w:r>
      <w:r w:rsidR="00F37611" w:rsidRPr="00615C3C">
        <w:instrText xml:space="preserve"> REF _Ref74913631 \w \h </w:instrText>
      </w:r>
      <w:r w:rsidR="00E27A3F" w:rsidRPr="00615C3C">
        <w:instrText xml:space="preserve"> \* MERGEFORMAT </w:instrText>
      </w:r>
      <w:r w:rsidR="00F37611" w:rsidRPr="00615C3C">
        <w:fldChar w:fldCharType="separate"/>
      </w:r>
      <w:r w:rsidR="0030669C">
        <w:rPr>
          <w:lang w:val="en-US"/>
        </w:rPr>
        <w:t>3</w:t>
      </w:r>
      <w:r w:rsidR="00615C3C" w:rsidRPr="00615C3C">
        <w:t>.</w:t>
      </w:r>
      <w:r w:rsidR="00EB73F5">
        <w:rPr>
          <w:lang w:val="en-US"/>
        </w:rPr>
        <w:t>2.3.3.1</w:t>
      </w:r>
      <w:r w:rsidR="00F37611" w:rsidRPr="00615C3C">
        <w:fldChar w:fldCharType="end"/>
      </w:r>
      <w:r w:rsidR="00EB73F5" w:rsidRPr="00615C3C">
        <w:t xml:space="preserve"> </w:t>
      </w:r>
      <w:r w:rsidRPr="00615C3C">
        <w:t>,</w:t>
      </w:r>
      <w:r w:rsidRPr="000E46F6">
        <w:t xml:space="preserve"> does not affect the system's completeness because this flow will be inserted back into the recycling chain in the next run </w:t>
      </w:r>
      <w:r w:rsidR="000E0678">
        <w:rPr>
          <w:lang w:val="en-US"/>
        </w:rPr>
        <w:t>(t</w:t>
      </w:r>
      <w:r w:rsidRPr="000E46F6">
        <w:t>he process is envis</w:t>
      </w:r>
      <w:proofErr w:type="spellStart"/>
      <w:r w:rsidR="005F174C">
        <w:rPr>
          <w:lang w:val="en-US"/>
        </w:rPr>
        <w:t>ioned</w:t>
      </w:r>
      <w:proofErr w:type="spellEnd"/>
      <w:r w:rsidRPr="000E46F6">
        <w:t xml:space="preserve"> as continuous</w:t>
      </w:r>
      <w:r w:rsidR="000E0678">
        <w:rPr>
          <w:lang w:val="en-US"/>
        </w:rPr>
        <w:t>)</w:t>
      </w:r>
      <w:r w:rsidRPr="000E46F6">
        <w:t>.</w:t>
      </w:r>
    </w:p>
    <w:p w14:paraId="3E633336" w14:textId="77777777" w:rsidR="0084527A" w:rsidRPr="009A215A" w:rsidRDefault="0084527A" w:rsidP="0084527A"/>
    <w:p w14:paraId="4F5B032E" w14:textId="7A95052C" w:rsidR="0006255F" w:rsidRDefault="00A62074" w:rsidP="0006255F">
      <w:pPr>
        <w:pStyle w:val="Heading2"/>
      </w:pPr>
      <w:bookmarkStart w:id="74" w:name="_Toc76752285"/>
      <w:r w:rsidRPr="009A215A">
        <w:lastRenderedPageBreak/>
        <w:t>Consistency check</w:t>
      </w:r>
      <w:bookmarkEnd w:id="74"/>
    </w:p>
    <w:p w14:paraId="41F45F72" w14:textId="77777777" w:rsidR="000E46F6" w:rsidRDefault="000E46F6" w:rsidP="000E46F6">
      <w:pPr>
        <w:pStyle w:val="Heading2"/>
        <w:numPr>
          <w:ilvl w:val="0"/>
          <w:numId w:val="0"/>
        </w:numPr>
      </w:pPr>
    </w:p>
    <w:p w14:paraId="1DEBDFDA" w14:textId="3784122B" w:rsidR="0006255F" w:rsidRDefault="008C5674" w:rsidP="0006255F">
      <w:r w:rsidRPr="008C5674">
        <w:t>As mentioned before in this report, the projected upscaled product system is a hybrid. Most data for the pretreatment phase of the route derives from pilot experiments carried in the VALOMAG project. In contrast, for the rest of the phases, data derives from literature and expert consultation. Therefore, for the pretreatment phase, the detailed report about the process delivers accurate data. Whereas, for the rest of the phases, no similar accuracy is found in the literature. Due to this fact, data manipulation has assumptions based on literature, and it is carefully handled to consistently hold the mass balance, conciliating inputs and outputs among unit processes and observing the goal and scope of the analysis. Overall, the assumptions made and the difference in data quality are not a severe problem for consistency.</w:t>
      </w:r>
    </w:p>
    <w:p w14:paraId="60B9DBD4" w14:textId="77777777" w:rsidR="008C5674" w:rsidRPr="000E46F6" w:rsidRDefault="008C5674" w:rsidP="0006255F"/>
    <w:p w14:paraId="6CDA465F" w14:textId="3996DEC4" w:rsidR="008B0EF5" w:rsidRDefault="0006255F" w:rsidP="000D4421">
      <w:r w:rsidRPr="000E46F6">
        <w:t xml:space="preserve">The LCIA method and impact categories </w:t>
      </w:r>
      <w:r w:rsidR="00BB4CD5">
        <w:rPr>
          <w:lang w:val="en-US"/>
        </w:rPr>
        <w:t>are</w:t>
      </w:r>
      <w:r w:rsidRPr="000E46F6">
        <w:t xml:space="preserve"> chosen consistently with the goal and scope of the analysis. Modeling choices recommended for Europe and metals </w:t>
      </w:r>
      <w:r w:rsidR="00BB4CD5">
        <w:rPr>
          <w:lang w:val="en-US"/>
        </w:rPr>
        <w:t>are</w:t>
      </w:r>
      <w:r w:rsidRPr="000E46F6">
        <w:t xml:space="preserve"> prioritized.</w:t>
      </w:r>
    </w:p>
    <w:p w14:paraId="6BECCCAF" w14:textId="77777777" w:rsidR="000D4421" w:rsidRPr="009A215A" w:rsidRDefault="000D4421" w:rsidP="000D4421"/>
    <w:p w14:paraId="7FF058B5" w14:textId="593E8182" w:rsidR="00A62074" w:rsidRDefault="00A62074" w:rsidP="000E46F6">
      <w:pPr>
        <w:pStyle w:val="Heading2"/>
      </w:pPr>
      <w:bookmarkStart w:id="75" w:name="_Toc76752286"/>
      <w:r w:rsidRPr="009A215A">
        <w:t>Contribution analysis</w:t>
      </w:r>
      <w:bookmarkEnd w:id="75"/>
    </w:p>
    <w:p w14:paraId="1E938DD4" w14:textId="35314CAD" w:rsidR="005A0171" w:rsidRPr="005A0171" w:rsidRDefault="005A0171" w:rsidP="00F92ED7">
      <w:pPr>
        <w:pStyle w:val="Heading5"/>
        <w:numPr>
          <w:ilvl w:val="0"/>
          <w:numId w:val="0"/>
        </w:numPr>
      </w:pPr>
    </w:p>
    <w:p w14:paraId="45B909BD" w14:textId="3C01C396" w:rsidR="00CD5806" w:rsidRPr="00C16BF8" w:rsidRDefault="00DC3703" w:rsidP="00CD5806">
      <w:r w:rsidRPr="00DC3703">
        <w:rPr>
          <w:lang w:val="en-US"/>
        </w:rPr>
        <w:t>The contribution of the foreground processes is accessed to identify the major (s) environmentally burdensome per impact category. Then, for that (those) chain's unit process (es), a contribution analysis aims to identify the upstream process that most contributes to the burden. Additionally, the environmental flows' contribution to each impact category is in</w:t>
      </w:r>
      <w:r>
        <w:rPr>
          <w:lang w:val="en-US"/>
        </w:rPr>
        <w:t xml:space="preserve"> </w:t>
      </w:r>
      <w:r w:rsidR="00914BCA" w:rsidRPr="00C16BF8">
        <w:rPr>
          <w:lang w:val="en-US"/>
        </w:rPr>
        <w:fldChar w:fldCharType="begin"/>
      </w:r>
      <w:r w:rsidR="00914BCA" w:rsidRPr="00C16BF8">
        <w:rPr>
          <w:lang w:val="en-US"/>
        </w:rPr>
        <w:instrText xml:space="preserve"> REF _Ref75264443 \w \h </w:instrText>
      </w:r>
      <w:r w:rsidR="003F4E66" w:rsidRPr="00C16BF8">
        <w:rPr>
          <w:lang w:val="en-US"/>
        </w:rPr>
        <w:instrText xml:space="preserve"> \* MERGEFORMAT </w:instrText>
      </w:r>
      <w:r w:rsidR="00914BCA" w:rsidRPr="00C16BF8">
        <w:rPr>
          <w:lang w:val="en-US"/>
        </w:rPr>
      </w:r>
      <w:r w:rsidR="00914BCA" w:rsidRPr="00C16BF8">
        <w:rPr>
          <w:lang w:val="en-US"/>
        </w:rPr>
        <w:fldChar w:fldCharType="separate"/>
      </w:r>
      <w:r w:rsidR="00914BCA" w:rsidRPr="00C16BF8">
        <w:rPr>
          <w:lang w:val="en-US"/>
        </w:rPr>
        <w:t>appendix D</w:t>
      </w:r>
      <w:r w:rsidR="00914BCA" w:rsidRPr="00C16BF8">
        <w:rPr>
          <w:lang w:val="en-US"/>
        </w:rPr>
        <w:fldChar w:fldCharType="end"/>
      </w:r>
      <w:r w:rsidR="00CD5806" w:rsidRPr="00C16BF8">
        <w:t xml:space="preserve">. </w:t>
      </w:r>
    </w:p>
    <w:p w14:paraId="6271DB4D" w14:textId="77777777" w:rsidR="00CD5806" w:rsidRDefault="00CD5806" w:rsidP="00CD5806"/>
    <w:p w14:paraId="079C3E79" w14:textId="75E8B293" w:rsidR="00231650" w:rsidRDefault="00062303" w:rsidP="00CD5806">
      <w:r w:rsidRPr="00C16BF8">
        <w:fldChar w:fldCharType="begin"/>
      </w:r>
      <w:r w:rsidRPr="00C16BF8">
        <w:instrText xml:space="preserve"> REF _Ref74763938 \h </w:instrText>
      </w:r>
      <w:r w:rsidRPr="00C16BF8">
        <w:fldChar w:fldCharType="separate"/>
      </w:r>
      <w:r w:rsidR="002335A4" w:rsidRPr="00C16BF8">
        <w:t xml:space="preserve">Figure </w:t>
      </w:r>
      <w:r w:rsidR="0030669C">
        <w:rPr>
          <w:lang w:val="en-US"/>
        </w:rPr>
        <w:t>4</w:t>
      </w:r>
      <w:r w:rsidR="002335A4" w:rsidRPr="00C16BF8">
        <w:t>.</w:t>
      </w:r>
      <w:r w:rsidRPr="00C16BF8">
        <w:fldChar w:fldCharType="end"/>
      </w:r>
      <w:r w:rsidR="002335A4">
        <w:rPr>
          <w:lang w:val="en-US"/>
        </w:rPr>
        <w:t>2</w:t>
      </w:r>
      <w:r w:rsidRPr="00C16BF8">
        <w:rPr>
          <w:lang w:val="en-US"/>
        </w:rPr>
        <w:t xml:space="preserve"> </w:t>
      </w:r>
      <w:r w:rsidR="00CD5806" w:rsidRPr="00C16BF8">
        <w:t>illustrates the normalized contribution analysis of the route's foreground unit processes, per impact category. Normalization is related to the impact category indicator result.</w:t>
      </w:r>
    </w:p>
    <w:p w14:paraId="4920A024" w14:textId="77777777" w:rsidR="002D1AC3" w:rsidRPr="00C16BF8" w:rsidRDefault="002D1AC3" w:rsidP="00CD5806">
      <w:pPr>
        <w:rPr>
          <w:lang w:val="en-US"/>
        </w:rPr>
      </w:pPr>
    </w:p>
    <w:p w14:paraId="5865E515" w14:textId="273D3662" w:rsidR="00062303" w:rsidRPr="00DB5532" w:rsidRDefault="008626D6" w:rsidP="002D1AC3">
      <w:pPr>
        <w:rPr>
          <w:lang w:val="en-US"/>
        </w:rPr>
      </w:pPr>
      <w:r>
        <w:rPr>
          <w:noProof/>
          <w:lang w:val="en-US"/>
        </w:rPr>
        <w:lastRenderedPageBreak/>
        <w:drawing>
          <wp:inline distT="0" distB="0" distL="0" distR="0" wp14:anchorId="725C19CD" wp14:editId="282B0324">
            <wp:extent cx="5943600" cy="32400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40000"/>
                    </a:xfrm>
                    <a:prstGeom prst="rect">
                      <a:avLst/>
                    </a:prstGeom>
                  </pic:spPr>
                </pic:pic>
              </a:graphicData>
            </a:graphic>
          </wp:inline>
        </w:drawing>
      </w:r>
    </w:p>
    <w:p w14:paraId="78E93095" w14:textId="3CC98A7C" w:rsidR="000340FD" w:rsidRDefault="00062303" w:rsidP="00C16BF8">
      <w:pPr>
        <w:pStyle w:val="Caption"/>
        <w:rPr>
          <w:lang w:val="en-US"/>
        </w:rPr>
      </w:pPr>
      <w:bookmarkStart w:id="76" w:name="_Ref74763938"/>
      <w:bookmarkStart w:id="77" w:name="_Toc76729609"/>
      <w:r w:rsidRPr="00C16BF8">
        <w:t xml:space="preserve">Figure </w:t>
      </w:r>
      <w:r w:rsidR="00334674">
        <w:rPr>
          <w:lang w:val="en-US"/>
        </w:rPr>
        <w:t>4</w:t>
      </w:r>
      <w:r w:rsidR="001150DB" w:rsidRPr="00C16BF8">
        <w:t>.</w:t>
      </w:r>
      <w:bookmarkEnd w:id="76"/>
      <w:r w:rsidR="002335A4">
        <w:rPr>
          <w:lang w:val="en-US"/>
        </w:rPr>
        <w:t>2</w:t>
      </w:r>
      <w:r w:rsidRPr="00C16BF8">
        <w:rPr>
          <w:lang w:val="en-US"/>
        </w:rPr>
        <w:t xml:space="preserve"> Contribution analysis of foreground processes. FU: 1 kg of REO from EOL HDDs’ </w:t>
      </w:r>
      <w:proofErr w:type="spellStart"/>
      <w:r w:rsidRPr="00C16BF8">
        <w:rPr>
          <w:lang w:val="en-US"/>
        </w:rPr>
        <w:t>NdFeB</w:t>
      </w:r>
      <w:proofErr w:type="spellEnd"/>
      <w:r w:rsidRPr="00C16BF8">
        <w:rPr>
          <w:lang w:val="en-US"/>
        </w:rPr>
        <w:t xml:space="preserve"> magnets separated from e-waste at the plant’s gate. Source: author’s image.</w:t>
      </w:r>
      <w:bookmarkEnd w:id="77"/>
    </w:p>
    <w:p w14:paraId="513F1CA1" w14:textId="668636A4" w:rsidR="00CD5806" w:rsidRPr="00C16BF8" w:rsidRDefault="002E0A37" w:rsidP="00CD5806">
      <w:pPr>
        <w:rPr>
          <w:lang w:val="en-US"/>
        </w:rPr>
      </w:pPr>
      <w:r w:rsidRPr="002E0A37">
        <w:rPr>
          <w:lang w:val="en-US"/>
        </w:rPr>
        <w:t>From the figure above, it is possible to conclude that the RE recovery unit process highly contributes to all impact categories. It</w:t>
      </w:r>
      <w:r w:rsidR="009167D3">
        <w:rPr>
          <w:lang w:val="en-US"/>
        </w:rPr>
        <w:t xml:space="preserve"> </w:t>
      </w:r>
      <w:r w:rsidRPr="002E0A37">
        <w:rPr>
          <w:lang w:val="en-US"/>
        </w:rPr>
        <w:t>quarrel</w:t>
      </w:r>
      <w:r w:rsidR="009167D3">
        <w:rPr>
          <w:lang w:val="en-US"/>
        </w:rPr>
        <w:t>s</w:t>
      </w:r>
      <w:r w:rsidRPr="002E0A37">
        <w:rPr>
          <w:lang w:val="en-US"/>
        </w:rPr>
        <w:t xml:space="preserve"> with the fragmentation unit process in categories such as freshwater ecotoxicity, human health carcinogenic effects, and human health non-carcinogenic effects. A contribution analysis to </w:t>
      </w:r>
      <w:r w:rsidR="009167D3">
        <w:rPr>
          <w:lang w:val="en-US"/>
        </w:rPr>
        <w:t>both</w:t>
      </w:r>
      <w:r w:rsidRPr="002E0A37">
        <w:rPr>
          <w:lang w:val="en-US"/>
        </w:rPr>
        <w:t xml:space="preserve"> processes is followed to identify what process (es) makes them burdensome</w:t>
      </w:r>
      <w:r>
        <w:rPr>
          <w:lang w:val="en-US"/>
        </w:rPr>
        <w:t>.</w:t>
      </w:r>
      <w:r w:rsidR="00E47C9F">
        <w:rPr>
          <w:lang w:val="en-US"/>
        </w:rPr>
        <w:t xml:space="preserve"> </w:t>
      </w:r>
    </w:p>
    <w:p w14:paraId="7D3A28DF" w14:textId="77777777" w:rsidR="00CD5806" w:rsidRPr="00C16BF8" w:rsidRDefault="00CD5806" w:rsidP="00CD5806">
      <w:pPr>
        <w:rPr>
          <w:lang w:val="en-US"/>
        </w:rPr>
      </w:pPr>
    </w:p>
    <w:p w14:paraId="654FA6C4" w14:textId="17896E9E" w:rsidR="00CD5806" w:rsidRDefault="00451875" w:rsidP="00CD5806">
      <w:pPr>
        <w:rPr>
          <w:lang w:val="en-US"/>
        </w:rPr>
      </w:pPr>
      <w:r>
        <w:rPr>
          <w:lang w:val="en-US"/>
        </w:rPr>
        <w:t>The</w:t>
      </w:r>
      <w:r w:rsidR="00CD5806" w:rsidRPr="00C16BF8">
        <w:rPr>
          <w:lang w:val="en-US"/>
        </w:rPr>
        <w:t xml:space="preserve"> individual contribution analysis </w:t>
      </w:r>
      <w:r w:rsidR="00E47C9F">
        <w:rPr>
          <w:lang w:val="en-US"/>
        </w:rPr>
        <w:t>to</w:t>
      </w:r>
      <w:r w:rsidR="00CD5806" w:rsidRPr="00C16BF8">
        <w:rPr>
          <w:lang w:val="en-US"/>
        </w:rPr>
        <w:t xml:space="preserve"> the RE recovery processes, per impact category, is shown in </w:t>
      </w:r>
      <w:r w:rsidR="00DC405F" w:rsidRPr="004E6CE3">
        <w:rPr>
          <w:lang w:val="en-US"/>
        </w:rPr>
        <w:fldChar w:fldCharType="begin"/>
      </w:r>
      <w:r w:rsidR="00DC405F" w:rsidRPr="004E6CE3">
        <w:rPr>
          <w:lang w:val="en-US"/>
        </w:rPr>
        <w:instrText xml:space="preserve"> REF _Ref74764022 \h </w:instrText>
      </w:r>
      <w:r w:rsidR="00704C29" w:rsidRPr="004E6CE3">
        <w:rPr>
          <w:lang w:val="en-US"/>
        </w:rPr>
        <w:instrText xml:space="preserve"> \* MERGEFORMAT </w:instrText>
      </w:r>
      <w:r w:rsidR="00DC405F" w:rsidRPr="004E6CE3">
        <w:rPr>
          <w:lang w:val="en-US"/>
        </w:rPr>
      </w:r>
      <w:r w:rsidR="00DC405F" w:rsidRPr="004E6CE3">
        <w:rPr>
          <w:lang w:val="en-US"/>
        </w:rPr>
        <w:fldChar w:fldCharType="separate"/>
      </w:r>
      <w:r w:rsidR="00D760E5" w:rsidRPr="004E6CE3">
        <w:t xml:space="preserve">Figure </w:t>
      </w:r>
      <w:r w:rsidR="00334674">
        <w:rPr>
          <w:noProof/>
          <w:lang w:val="en-US"/>
        </w:rPr>
        <w:t>4</w:t>
      </w:r>
      <w:r w:rsidR="00D760E5" w:rsidRPr="004E6CE3">
        <w:rPr>
          <w:noProof/>
          <w:lang w:val="en-US"/>
        </w:rPr>
        <w:t>.</w:t>
      </w:r>
      <w:r w:rsidR="00DC405F" w:rsidRPr="004E6CE3">
        <w:rPr>
          <w:lang w:val="en-US"/>
        </w:rPr>
        <w:fldChar w:fldCharType="end"/>
      </w:r>
      <w:r w:rsidR="00D760E5" w:rsidRPr="004E6CE3">
        <w:rPr>
          <w:lang w:val="en-US"/>
        </w:rPr>
        <w:t>3</w:t>
      </w:r>
      <w:r w:rsidR="00CD5806" w:rsidRPr="004E6CE3">
        <w:rPr>
          <w:lang w:val="en-US"/>
        </w:rPr>
        <w:t>.</w:t>
      </w:r>
      <w:r w:rsidR="00CD5806" w:rsidRPr="00C16BF8">
        <w:rPr>
          <w:lang w:val="en-US"/>
        </w:rPr>
        <w:t xml:space="preserve"> The values are relative to the total category indicator result of the unit process.</w:t>
      </w:r>
    </w:p>
    <w:p w14:paraId="3B4CD732" w14:textId="77777777" w:rsidR="00334598" w:rsidRPr="00C16BF8" w:rsidRDefault="00334598" w:rsidP="00CD5806">
      <w:pPr>
        <w:rPr>
          <w:lang w:val="en-US"/>
        </w:rPr>
      </w:pPr>
    </w:p>
    <w:p w14:paraId="0A378E9F" w14:textId="52C81807" w:rsidR="00DC405F" w:rsidRPr="00F154E4" w:rsidRDefault="00334598" w:rsidP="00334598">
      <w:pPr>
        <w:rPr>
          <w:lang w:val="en-US"/>
        </w:rPr>
      </w:pPr>
      <w:r>
        <w:rPr>
          <w:noProof/>
          <w:lang w:val="en-US"/>
        </w:rPr>
        <w:lastRenderedPageBreak/>
        <w:drawing>
          <wp:inline distT="0" distB="0" distL="0" distR="0" wp14:anchorId="71FB4665" wp14:editId="67A489C0">
            <wp:extent cx="5760000" cy="3643200"/>
            <wp:effectExtent l="0" t="0" r="6350" b="190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3643200"/>
                    </a:xfrm>
                    <a:prstGeom prst="rect">
                      <a:avLst/>
                    </a:prstGeom>
                  </pic:spPr>
                </pic:pic>
              </a:graphicData>
            </a:graphic>
          </wp:inline>
        </w:drawing>
      </w:r>
    </w:p>
    <w:p w14:paraId="2567E81C" w14:textId="6CF4FD70" w:rsidR="009003C8" w:rsidRDefault="00DC405F" w:rsidP="00B25037">
      <w:pPr>
        <w:pStyle w:val="Caption"/>
        <w:rPr>
          <w:lang w:val="en-US"/>
        </w:rPr>
      </w:pPr>
      <w:bookmarkStart w:id="78" w:name="_Ref74764022"/>
      <w:bookmarkStart w:id="79" w:name="_Toc76729610"/>
      <w:r w:rsidRPr="00C16BF8">
        <w:t xml:space="preserve">Figure </w:t>
      </w:r>
      <w:r w:rsidR="00334674">
        <w:rPr>
          <w:lang w:val="en-US"/>
        </w:rPr>
        <w:t>4</w:t>
      </w:r>
      <w:r w:rsidR="00D760E5">
        <w:rPr>
          <w:lang w:val="en-US"/>
        </w:rPr>
        <w:t>.</w:t>
      </w:r>
      <w:bookmarkEnd w:id="78"/>
      <w:r w:rsidR="00D760E5">
        <w:rPr>
          <w:lang w:val="en-US"/>
        </w:rPr>
        <w:t>3</w:t>
      </w:r>
      <w:r w:rsidRPr="00C16BF8">
        <w:rPr>
          <w:lang w:val="en-US"/>
        </w:rPr>
        <w:t xml:space="preserve"> Contribution analysis of RE recovery unit process. FU: 1 kg of REO from EOL HDDs’ </w:t>
      </w:r>
      <w:proofErr w:type="spellStart"/>
      <w:r w:rsidRPr="00C16BF8">
        <w:rPr>
          <w:lang w:val="en-US"/>
        </w:rPr>
        <w:t>NdFeB</w:t>
      </w:r>
      <w:proofErr w:type="spellEnd"/>
      <w:r w:rsidRPr="00C16BF8">
        <w:rPr>
          <w:lang w:val="en-US"/>
        </w:rPr>
        <w:t xml:space="preserve"> magnets separated from e-waste at the plant’s gate. Source: author’s image.</w:t>
      </w:r>
      <w:bookmarkEnd w:id="79"/>
    </w:p>
    <w:p w14:paraId="67A29306" w14:textId="062F68E1" w:rsidR="003E702C" w:rsidRDefault="003E702C" w:rsidP="003E702C">
      <w:pPr>
        <w:rPr>
          <w:lang w:val="en-US"/>
        </w:rPr>
      </w:pPr>
      <w:r w:rsidRPr="0071649E">
        <w:rPr>
          <w:lang w:val="en-US"/>
        </w:rPr>
        <w:fldChar w:fldCharType="begin"/>
      </w:r>
      <w:r w:rsidRPr="0071649E">
        <w:rPr>
          <w:lang w:val="en-US"/>
        </w:rPr>
        <w:instrText xml:space="preserve"> REF _Ref74764022 \h </w:instrText>
      </w:r>
      <w:r w:rsidR="00704C29" w:rsidRPr="0071649E">
        <w:rPr>
          <w:lang w:val="en-US"/>
        </w:rPr>
        <w:instrText xml:space="preserve"> \* MERGEFORMAT </w:instrText>
      </w:r>
      <w:r w:rsidRPr="0071649E">
        <w:rPr>
          <w:lang w:val="en-US"/>
        </w:rPr>
      </w:r>
      <w:r w:rsidRPr="0071649E">
        <w:rPr>
          <w:lang w:val="en-US"/>
        </w:rPr>
        <w:fldChar w:fldCharType="separate"/>
      </w:r>
      <w:r w:rsidR="00D760E5" w:rsidRPr="0071649E">
        <w:t xml:space="preserve">Figure </w:t>
      </w:r>
      <w:r w:rsidR="00334674">
        <w:rPr>
          <w:noProof/>
          <w:lang w:val="en-US"/>
        </w:rPr>
        <w:t>4</w:t>
      </w:r>
      <w:r w:rsidR="00D760E5" w:rsidRPr="0071649E">
        <w:rPr>
          <w:noProof/>
        </w:rPr>
        <w:t>.</w:t>
      </w:r>
      <w:r w:rsidRPr="0071649E">
        <w:rPr>
          <w:lang w:val="en-US"/>
        </w:rPr>
        <w:fldChar w:fldCharType="end"/>
      </w:r>
      <w:r w:rsidR="00D760E5" w:rsidRPr="0071649E">
        <w:rPr>
          <w:lang w:val="en-US"/>
        </w:rPr>
        <w:t>3</w:t>
      </w:r>
      <w:r w:rsidRPr="00C16BF8">
        <w:rPr>
          <w:lang w:val="en-US"/>
        </w:rPr>
        <w:t xml:space="preserve"> reveals that the filtrate solution (output of the filtration 1 unit process) and oxalic acid are the major burden c</w:t>
      </w:r>
      <w:r w:rsidR="00E4481A">
        <w:rPr>
          <w:lang w:val="en-US"/>
        </w:rPr>
        <w:t>ontributors</w:t>
      </w:r>
      <w:r w:rsidRPr="00C16BF8">
        <w:rPr>
          <w:lang w:val="en-US"/>
        </w:rPr>
        <w:t xml:space="preserve"> for all impact categories. The filtrate solution is ultimately the leachate (output of the leaching unit process) without part of the</w:t>
      </w:r>
      <w:r w:rsidR="00704C29">
        <w:rPr>
          <w:lang w:val="en-US"/>
        </w:rPr>
        <w:t xml:space="preserve"> </w:t>
      </w:r>
      <w:r w:rsidRPr="00C16BF8">
        <w:rPr>
          <w:lang w:val="en-US"/>
        </w:rPr>
        <w:t>iron content</w:t>
      </w:r>
      <w:r w:rsidR="00704C29">
        <w:rPr>
          <w:lang w:val="en-US"/>
        </w:rPr>
        <w:t xml:space="preserve"> of the magnetic powder</w:t>
      </w:r>
      <w:r w:rsidRPr="00C16BF8">
        <w:rPr>
          <w:lang w:val="en-US"/>
        </w:rPr>
        <w:t xml:space="preserve">. Thus, a contribution analysis </w:t>
      </w:r>
      <w:r w:rsidR="00E4481A">
        <w:rPr>
          <w:lang w:val="en-US"/>
        </w:rPr>
        <w:t>to</w:t>
      </w:r>
      <w:r w:rsidRPr="00C16BF8">
        <w:rPr>
          <w:lang w:val="en-US"/>
        </w:rPr>
        <w:t xml:space="preserve"> the leaching unit process is accessed, and </w:t>
      </w:r>
      <w:r w:rsidR="008F0B66">
        <w:rPr>
          <w:lang w:val="en-US"/>
        </w:rPr>
        <w:t xml:space="preserve">the </w:t>
      </w:r>
      <w:r w:rsidRPr="00C16BF8">
        <w:rPr>
          <w:lang w:val="en-US"/>
        </w:rPr>
        <w:t xml:space="preserve">results are in </w:t>
      </w:r>
      <w:r w:rsidRPr="00C16BF8">
        <w:rPr>
          <w:lang w:val="en-US"/>
        </w:rPr>
        <w:fldChar w:fldCharType="begin"/>
      </w:r>
      <w:r w:rsidRPr="00C16BF8">
        <w:rPr>
          <w:lang w:val="en-US"/>
        </w:rPr>
        <w:instrText xml:space="preserve"> REF _Ref74764100 \h </w:instrText>
      </w:r>
      <w:r w:rsidRPr="00C16BF8">
        <w:rPr>
          <w:lang w:val="en-US"/>
        </w:rPr>
      </w:r>
      <w:r w:rsidRPr="00C16BF8">
        <w:rPr>
          <w:lang w:val="en-US"/>
        </w:rPr>
        <w:fldChar w:fldCharType="separate"/>
      </w:r>
      <w:r w:rsidRPr="00C16BF8">
        <w:t xml:space="preserve">Figure </w:t>
      </w:r>
      <w:r w:rsidR="00334674">
        <w:rPr>
          <w:noProof/>
          <w:lang w:val="en-US"/>
        </w:rPr>
        <w:t>4</w:t>
      </w:r>
      <w:r w:rsidR="00AF75CB">
        <w:rPr>
          <w:noProof/>
          <w:lang w:val="en-US"/>
        </w:rPr>
        <w:t>.4</w:t>
      </w:r>
      <w:r w:rsidRPr="00C16BF8">
        <w:rPr>
          <w:lang w:val="en-US"/>
        </w:rPr>
        <w:fldChar w:fldCharType="end"/>
      </w:r>
      <w:r w:rsidRPr="00C16BF8">
        <w:rPr>
          <w:lang w:val="en-US"/>
        </w:rPr>
        <w:t>. The values are relative to the total category indicator result of the unit process</w:t>
      </w:r>
      <w:r w:rsidR="00704C29">
        <w:rPr>
          <w:lang w:val="en-US"/>
        </w:rPr>
        <w:t>.</w:t>
      </w:r>
    </w:p>
    <w:p w14:paraId="0AFA4D75" w14:textId="3F7A39A0" w:rsidR="0069481A" w:rsidRDefault="0069481A" w:rsidP="003E702C">
      <w:pPr>
        <w:rPr>
          <w:lang w:val="en-US"/>
        </w:rPr>
      </w:pPr>
    </w:p>
    <w:p w14:paraId="09381A2C" w14:textId="2267AFEE" w:rsidR="0069481A" w:rsidRPr="007B1A46" w:rsidRDefault="00C233CC" w:rsidP="0069481A">
      <w:pPr>
        <w:rPr>
          <w:lang w:val="en-US"/>
        </w:rPr>
      </w:pPr>
      <w:r>
        <w:rPr>
          <w:noProof/>
          <w:lang w:val="en-US"/>
        </w:rPr>
        <w:lastRenderedPageBreak/>
        <w:drawing>
          <wp:inline distT="0" distB="0" distL="0" distR="0" wp14:anchorId="7ED505D7" wp14:editId="294FD226">
            <wp:extent cx="6026400" cy="3060000"/>
            <wp:effectExtent l="0" t="0" r="0" b="127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6400" cy="3060000"/>
                    </a:xfrm>
                    <a:prstGeom prst="rect">
                      <a:avLst/>
                    </a:prstGeom>
                  </pic:spPr>
                </pic:pic>
              </a:graphicData>
            </a:graphic>
          </wp:inline>
        </w:drawing>
      </w:r>
    </w:p>
    <w:p w14:paraId="5E3EB57E" w14:textId="4508AB98" w:rsidR="0069481A" w:rsidRPr="00676E5C" w:rsidRDefault="0069481A" w:rsidP="00676E5C">
      <w:pPr>
        <w:pStyle w:val="Caption"/>
      </w:pPr>
      <w:bookmarkStart w:id="80" w:name="_Ref74764100"/>
      <w:bookmarkStart w:id="81" w:name="_Toc76729611"/>
      <w:r w:rsidRPr="00C16BF8">
        <w:t xml:space="preserve">Figure </w:t>
      </w:r>
      <w:r w:rsidR="00917D2B">
        <w:rPr>
          <w:lang w:val="en-US"/>
        </w:rPr>
        <w:t>4</w:t>
      </w:r>
      <w:r w:rsidRPr="00C16BF8">
        <w:t>.</w:t>
      </w:r>
      <w:bookmarkEnd w:id="80"/>
      <w:r w:rsidR="003949A7">
        <w:rPr>
          <w:lang w:val="en-US"/>
        </w:rPr>
        <w:t>4</w:t>
      </w:r>
      <w:r w:rsidRPr="00C16BF8">
        <w:rPr>
          <w:lang w:val="en-US"/>
        </w:rPr>
        <w:t xml:space="preserve"> Contribution analysis of Leaching unit process. FU: 1 kg of REO from EOL HDDs’ </w:t>
      </w:r>
      <w:proofErr w:type="spellStart"/>
      <w:r w:rsidRPr="00C16BF8">
        <w:rPr>
          <w:lang w:val="en-US"/>
        </w:rPr>
        <w:t>NdFeB</w:t>
      </w:r>
      <w:proofErr w:type="spellEnd"/>
      <w:r w:rsidRPr="00C16BF8">
        <w:rPr>
          <w:lang w:val="en-US"/>
        </w:rPr>
        <w:t xml:space="preserve"> magnets separated from e-waste at the plant’s gate. Source: author’s image.</w:t>
      </w:r>
      <w:bookmarkEnd w:id="81"/>
    </w:p>
    <w:p w14:paraId="033BAE56" w14:textId="5AFB191D" w:rsidR="0069481A" w:rsidRDefault="00474A86" w:rsidP="0069481A">
      <w:pPr>
        <w:rPr>
          <w:lang w:val="en-US"/>
        </w:rPr>
      </w:pPr>
      <w:r w:rsidRPr="00474A86">
        <w:rPr>
          <w:lang w:val="en-US"/>
        </w:rPr>
        <w:t xml:space="preserve">Figure </w:t>
      </w:r>
      <w:r w:rsidR="00917D2B">
        <w:rPr>
          <w:lang w:val="en-US"/>
        </w:rPr>
        <w:t>4</w:t>
      </w:r>
      <w:r w:rsidRPr="00474A86">
        <w:rPr>
          <w:lang w:val="en-US"/>
        </w:rPr>
        <w:t>.</w:t>
      </w:r>
      <w:r w:rsidR="003949A7">
        <w:rPr>
          <w:lang w:val="en-US"/>
        </w:rPr>
        <w:t>4</w:t>
      </w:r>
      <w:r w:rsidRPr="00474A86">
        <w:rPr>
          <w:lang w:val="en-US"/>
        </w:rPr>
        <w:t xml:space="preserve"> reveals that the recovered acetic acid (output of RE recovery unit process) is the burden</w:t>
      </w:r>
      <w:r w:rsidR="00822149">
        <w:rPr>
          <w:lang w:val="en-US"/>
        </w:rPr>
        <w:t>some</w:t>
      </w:r>
      <w:r w:rsidRPr="00474A86">
        <w:rPr>
          <w:lang w:val="en-US"/>
        </w:rPr>
        <w:t xml:space="preserve"> process to all impact categories. Acknowledging that the recovered acetic acid is the product of the reaction between the filtrate solution and the oxalic acid in the RE recovery process</w:t>
      </w:r>
      <w:r w:rsidR="00822149">
        <w:rPr>
          <w:lang w:val="en-US"/>
        </w:rPr>
        <w:t>,</w:t>
      </w:r>
      <w:r w:rsidRPr="00474A86">
        <w:rPr>
          <w:lang w:val="en-US"/>
        </w:rPr>
        <w:t xml:space="preserve"> and that the filtrate solution is itself, ultimately, the output of the leaching process (containing the recovered acetic acid), attention needs to be given to the oxalic acid. Thus, oxalic acid is a hot spot in the route.</w:t>
      </w:r>
    </w:p>
    <w:p w14:paraId="6C5E88F1" w14:textId="77777777" w:rsidR="00474A86" w:rsidRPr="00C16BF8" w:rsidRDefault="00474A86" w:rsidP="0069481A">
      <w:pPr>
        <w:rPr>
          <w:lang w:val="en-US"/>
        </w:rPr>
      </w:pPr>
    </w:p>
    <w:p w14:paraId="13480B66" w14:textId="6B186A1F" w:rsidR="005F27E5" w:rsidRDefault="0069481A" w:rsidP="0069481A">
      <w:pPr>
        <w:rPr>
          <w:lang w:val="en-US"/>
        </w:rPr>
      </w:pPr>
      <w:r w:rsidRPr="00C16BF8">
        <w:rPr>
          <w:lang w:val="en-US"/>
        </w:rPr>
        <w:t xml:space="preserve">In fact, a contribution analysis </w:t>
      </w:r>
      <w:r w:rsidR="0081515E">
        <w:rPr>
          <w:lang w:val="en-US"/>
        </w:rPr>
        <w:t>to</w:t>
      </w:r>
      <w:r w:rsidRPr="00C16BF8">
        <w:rPr>
          <w:lang w:val="en-US"/>
        </w:rPr>
        <w:t xml:space="preserve"> the RE recovery process involving upstream processes from inner tiers </w:t>
      </w:r>
      <w:r w:rsidR="006958A6">
        <w:rPr>
          <w:lang w:val="en-US"/>
        </w:rPr>
        <w:t xml:space="preserve">shown in </w:t>
      </w:r>
      <w:r w:rsidR="007906C6" w:rsidRPr="003F4D64">
        <w:rPr>
          <w:lang w:val="en-US"/>
        </w:rPr>
        <w:t>T</w:t>
      </w:r>
      <w:r w:rsidR="006958A6" w:rsidRPr="003F4D64">
        <w:rPr>
          <w:lang w:val="en-US"/>
        </w:rPr>
        <w:t xml:space="preserve">able </w:t>
      </w:r>
      <w:r w:rsidR="00917D2B">
        <w:rPr>
          <w:lang w:val="en-US"/>
        </w:rPr>
        <w:t>4</w:t>
      </w:r>
      <w:r w:rsidR="007906C6" w:rsidRPr="003F4D64">
        <w:rPr>
          <w:lang w:val="en-US"/>
        </w:rPr>
        <w:t>.2</w:t>
      </w:r>
      <w:r w:rsidR="006958A6">
        <w:rPr>
          <w:lang w:val="en-US"/>
        </w:rPr>
        <w:t xml:space="preserve"> </w:t>
      </w:r>
      <w:r w:rsidRPr="00C16BF8">
        <w:rPr>
          <w:lang w:val="en-US"/>
        </w:rPr>
        <w:t xml:space="preserve">highlights the oxalic acid as the major contributor </w:t>
      </w:r>
      <w:r w:rsidR="0081515E">
        <w:rPr>
          <w:lang w:val="en-US"/>
        </w:rPr>
        <w:t>to</w:t>
      </w:r>
      <w:r w:rsidRPr="00C16BF8">
        <w:rPr>
          <w:lang w:val="en-US"/>
        </w:rPr>
        <w:t xml:space="preserve"> the impact categories: freshwater and terrestrial acidification, marine eutrophication, terrestrial eutrophication, and photochemical ozone creation. </w:t>
      </w:r>
    </w:p>
    <w:p w14:paraId="16865241" w14:textId="3A0E3565" w:rsidR="001D72BB" w:rsidRDefault="001D72BB" w:rsidP="0069481A">
      <w:pPr>
        <w:rPr>
          <w:lang w:val="en-US"/>
        </w:rPr>
      </w:pPr>
    </w:p>
    <w:p w14:paraId="4E233CDB" w14:textId="38E27D3E" w:rsidR="001D72BB" w:rsidRDefault="001D72BB" w:rsidP="0069481A">
      <w:pPr>
        <w:rPr>
          <w:lang w:val="en-US"/>
        </w:rPr>
      </w:pPr>
    </w:p>
    <w:p w14:paraId="63EB8BA3" w14:textId="5E58DD6E" w:rsidR="001D72BB" w:rsidRDefault="001D72BB" w:rsidP="0069481A">
      <w:pPr>
        <w:rPr>
          <w:lang w:val="en-US"/>
        </w:rPr>
      </w:pPr>
    </w:p>
    <w:p w14:paraId="1233B069" w14:textId="77777777" w:rsidR="001D72BB" w:rsidRDefault="001D72BB" w:rsidP="0069481A">
      <w:pPr>
        <w:rPr>
          <w:lang w:val="en-US"/>
        </w:rPr>
      </w:pPr>
    </w:p>
    <w:p w14:paraId="25017AF8" w14:textId="77777777" w:rsidR="005F27E5" w:rsidRDefault="005F27E5" w:rsidP="0069481A">
      <w:pPr>
        <w:rPr>
          <w:lang w:val="en-US"/>
        </w:rPr>
      </w:pPr>
    </w:p>
    <w:p w14:paraId="4DB69334" w14:textId="321DF22A" w:rsidR="006958A6" w:rsidRDefault="007906C6" w:rsidP="006958A6">
      <w:pPr>
        <w:pStyle w:val="Caption"/>
        <w:rPr>
          <w:lang w:val="en-US"/>
        </w:rPr>
      </w:pPr>
      <w:r>
        <w:rPr>
          <w:lang w:val="en-US"/>
        </w:rPr>
        <w:lastRenderedPageBreak/>
        <w:t xml:space="preserve">Table </w:t>
      </w:r>
      <w:r w:rsidR="00917D2B">
        <w:rPr>
          <w:lang w:val="en-US"/>
        </w:rPr>
        <w:t>4</w:t>
      </w:r>
      <w:r>
        <w:rPr>
          <w:lang w:val="en-US"/>
        </w:rPr>
        <w:t xml:space="preserve">.2 </w:t>
      </w:r>
      <w:r w:rsidR="006958A6">
        <w:rPr>
          <w:lang w:val="en-US"/>
        </w:rPr>
        <w:t xml:space="preserve">Most upstream process </w:t>
      </w:r>
      <w:r w:rsidR="005F27E5">
        <w:rPr>
          <w:lang w:val="en-US"/>
        </w:rPr>
        <w:t xml:space="preserve">and environmental flow contributing </w:t>
      </w:r>
      <w:r w:rsidR="006958A6">
        <w:rPr>
          <w:lang w:val="en-US"/>
        </w:rPr>
        <w:t>to the RE recovery unit process, per impact category.</w:t>
      </w:r>
      <w:r w:rsidR="00CB4EB7">
        <w:rPr>
          <w:lang w:val="en-US"/>
        </w:rPr>
        <w:t xml:space="preserve"> Source: author’s table.</w:t>
      </w:r>
    </w:p>
    <w:tbl>
      <w:tblPr>
        <w:tblStyle w:val="TableGrid"/>
        <w:tblW w:w="5000" w:type="pct"/>
        <w:tblCellMar>
          <w:left w:w="28" w:type="dxa"/>
          <w:right w:w="28" w:type="dxa"/>
        </w:tblCellMar>
        <w:tblLook w:val="04A0" w:firstRow="1" w:lastRow="0" w:firstColumn="1" w:lastColumn="0" w:noHBand="0" w:noVBand="1"/>
      </w:tblPr>
      <w:tblGrid>
        <w:gridCol w:w="2325"/>
        <w:gridCol w:w="4035"/>
        <w:gridCol w:w="2700"/>
      </w:tblGrid>
      <w:tr w:rsidR="006958A6" w14:paraId="7B461188" w14:textId="77777777" w:rsidTr="00E60293">
        <w:tc>
          <w:tcPr>
            <w:tcW w:w="1283" w:type="pct"/>
          </w:tcPr>
          <w:p w14:paraId="703A0116" w14:textId="77777777" w:rsidR="006958A6" w:rsidRPr="000D3E3F" w:rsidRDefault="006958A6" w:rsidP="00E60293">
            <w:pPr>
              <w:jc w:val="center"/>
              <w:rPr>
                <w:b/>
                <w:bCs/>
                <w:lang w:val="en-US"/>
              </w:rPr>
            </w:pPr>
            <w:r w:rsidRPr="000D3E3F">
              <w:rPr>
                <w:b/>
                <w:bCs/>
                <w:lang w:val="en-US"/>
              </w:rPr>
              <w:t>Impact category</w:t>
            </w:r>
          </w:p>
        </w:tc>
        <w:tc>
          <w:tcPr>
            <w:tcW w:w="2227" w:type="pct"/>
          </w:tcPr>
          <w:p w14:paraId="7C48A8F7" w14:textId="77777777" w:rsidR="006958A6" w:rsidRPr="000D3E3F" w:rsidRDefault="006958A6" w:rsidP="00E60293">
            <w:pPr>
              <w:jc w:val="center"/>
              <w:rPr>
                <w:b/>
                <w:bCs/>
                <w:lang w:val="en-US"/>
              </w:rPr>
            </w:pPr>
            <w:r w:rsidRPr="000D3E3F">
              <w:rPr>
                <w:b/>
                <w:bCs/>
                <w:lang w:val="en-US"/>
              </w:rPr>
              <w:t>Most contributive upstream process</w:t>
            </w:r>
          </w:p>
        </w:tc>
        <w:tc>
          <w:tcPr>
            <w:tcW w:w="1490" w:type="pct"/>
          </w:tcPr>
          <w:p w14:paraId="0A87153A" w14:textId="77777777" w:rsidR="006958A6" w:rsidRPr="000D3E3F" w:rsidRDefault="006958A6" w:rsidP="00E60293">
            <w:pPr>
              <w:jc w:val="center"/>
              <w:rPr>
                <w:b/>
                <w:bCs/>
                <w:lang w:val="en-US"/>
              </w:rPr>
            </w:pPr>
            <w:r>
              <w:rPr>
                <w:b/>
                <w:bCs/>
                <w:lang w:val="en-US"/>
              </w:rPr>
              <w:t>Most contributive environmental flow</w:t>
            </w:r>
          </w:p>
        </w:tc>
      </w:tr>
      <w:tr w:rsidR="006958A6" w14:paraId="094D98D2" w14:textId="77777777" w:rsidTr="00E60293">
        <w:tc>
          <w:tcPr>
            <w:tcW w:w="1283" w:type="pct"/>
          </w:tcPr>
          <w:p w14:paraId="4A1B88D7" w14:textId="77777777" w:rsidR="006958A6" w:rsidRDefault="006958A6" w:rsidP="00E60293">
            <w:pPr>
              <w:jc w:val="left"/>
              <w:rPr>
                <w:lang w:val="en-US"/>
              </w:rPr>
            </w:pPr>
            <w:r>
              <w:rPr>
                <w:lang w:val="en-US"/>
              </w:rPr>
              <w:t>Climate change</w:t>
            </w:r>
          </w:p>
        </w:tc>
        <w:tc>
          <w:tcPr>
            <w:tcW w:w="2227" w:type="pct"/>
          </w:tcPr>
          <w:p w14:paraId="1D5D7274" w14:textId="77777777" w:rsidR="006958A6" w:rsidRDefault="006958A6" w:rsidP="00E60293">
            <w:pPr>
              <w:jc w:val="left"/>
              <w:rPr>
                <w:lang w:val="en-US"/>
              </w:rPr>
            </w:pPr>
            <w:r>
              <w:rPr>
                <w:lang w:val="en-US"/>
              </w:rPr>
              <w:t>Nitric acid production, product in 50% solution state [</w:t>
            </w:r>
            <w:proofErr w:type="spellStart"/>
            <w:r>
              <w:rPr>
                <w:lang w:val="en-US"/>
              </w:rPr>
              <w:t>RoW</w:t>
            </w:r>
            <w:proofErr w:type="spellEnd"/>
            <w:r>
              <w:rPr>
                <w:lang w:val="en-US"/>
              </w:rPr>
              <w:t>]</w:t>
            </w:r>
          </w:p>
        </w:tc>
        <w:tc>
          <w:tcPr>
            <w:tcW w:w="1490" w:type="pct"/>
          </w:tcPr>
          <w:p w14:paraId="24FC9785" w14:textId="77777777" w:rsidR="006958A6" w:rsidRDefault="006958A6" w:rsidP="00E60293">
            <w:pPr>
              <w:jc w:val="left"/>
              <w:rPr>
                <w:lang w:val="en-US"/>
              </w:rPr>
            </w:pPr>
            <w:r>
              <w:rPr>
                <w:lang w:val="en-US"/>
              </w:rPr>
              <w:t xml:space="preserve">Carbon dioxide </w:t>
            </w:r>
            <w:r>
              <w:t>('air', 'urban air close to ground')</w:t>
            </w:r>
          </w:p>
        </w:tc>
      </w:tr>
      <w:tr w:rsidR="006958A6" w14:paraId="1BA78CEF" w14:textId="77777777" w:rsidTr="00E60293">
        <w:tc>
          <w:tcPr>
            <w:tcW w:w="1283" w:type="pct"/>
          </w:tcPr>
          <w:p w14:paraId="00EC590E" w14:textId="77777777" w:rsidR="006958A6" w:rsidRDefault="006958A6" w:rsidP="00E60293">
            <w:pPr>
              <w:jc w:val="left"/>
              <w:rPr>
                <w:lang w:val="en-US"/>
              </w:rPr>
            </w:pPr>
            <w:r>
              <w:rPr>
                <w:lang w:val="en-US"/>
              </w:rPr>
              <w:t>Freshwater and terrestrial acidification</w:t>
            </w:r>
          </w:p>
        </w:tc>
        <w:tc>
          <w:tcPr>
            <w:tcW w:w="2227" w:type="pct"/>
          </w:tcPr>
          <w:p w14:paraId="06211A5F" w14:textId="77777777" w:rsidR="006958A6" w:rsidRDefault="006958A6" w:rsidP="00E60293">
            <w:pPr>
              <w:jc w:val="left"/>
              <w:rPr>
                <w:lang w:val="en-US"/>
              </w:rPr>
            </w:pPr>
            <w:r w:rsidRPr="004A3737">
              <w:rPr>
                <w:lang w:val="en-US"/>
              </w:rPr>
              <w:t>oxalic acid production</w:t>
            </w:r>
            <w:r>
              <w:rPr>
                <w:lang w:val="en-US"/>
              </w:rPr>
              <w:t xml:space="preserve"> [CN]</w:t>
            </w:r>
          </w:p>
        </w:tc>
        <w:tc>
          <w:tcPr>
            <w:tcW w:w="1490" w:type="pct"/>
          </w:tcPr>
          <w:p w14:paraId="3EFD6F67" w14:textId="77777777" w:rsidR="006958A6" w:rsidRDefault="006958A6" w:rsidP="00E60293">
            <w:pPr>
              <w:jc w:val="left"/>
              <w:rPr>
                <w:lang w:val="en-US"/>
              </w:rPr>
            </w:pPr>
            <w:r>
              <w:rPr>
                <w:lang w:val="en-US"/>
              </w:rPr>
              <w:t xml:space="preserve">Nitrogen oxides </w:t>
            </w:r>
            <w:r w:rsidRPr="00E455F9">
              <w:rPr>
                <w:lang w:val="en-US"/>
              </w:rPr>
              <w:t>('air',)</w:t>
            </w:r>
          </w:p>
        </w:tc>
      </w:tr>
      <w:tr w:rsidR="006958A6" w14:paraId="0A6B2F3A" w14:textId="77777777" w:rsidTr="00E60293">
        <w:tc>
          <w:tcPr>
            <w:tcW w:w="1283" w:type="pct"/>
          </w:tcPr>
          <w:p w14:paraId="05D65E22" w14:textId="77777777" w:rsidR="006958A6" w:rsidRDefault="006958A6" w:rsidP="00E60293">
            <w:pPr>
              <w:jc w:val="left"/>
              <w:rPr>
                <w:lang w:val="en-US"/>
              </w:rPr>
            </w:pPr>
            <w:r>
              <w:rPr>
                <w:lang w:val="en-US"/>
              </w:rPr>
              <w:t>Freshwater ecotoxicity</w:t>
            </w:r>
          </w:p>
        </w:tc>
        <w:tc>
          <w:tcPr>
            <w:tcW w:w="2227" w:type="pct"/>
          </w:tcPr>
          <w:p w14:paraId="0BE5DF66" w14:textId="77777777" w:rsidR="006958A6" w:rsidRDefault="006958A6" w:rsidP="00E60293">
            <w:pPr>
              <w:jc w:val="left"/>
              <w:rPr>
                <w:lang w:val="en-US"/>
              </w:rPr>
            </w:pPr>
            <w:r>
              <w:rPr>
                <w:lang w:val="en-US"/>
              </w:rPr>
              <w:t>f</w:t>
            </w:r>
            <w:r w:rsidRPr="004A3737">
              <w:rPr>
                <w:lang w:val="en-US"/>
              </w:rPr>
              <w:t>ragmentation</w:t>
            </w:r>
            <w:r>
              <w:rPr>
                <w:lang w:val="en-US"/>
              </w:rPr>
              <w:t xml:space="preserve"> [FR]</w:t>
            </w:r>
          </w:p>
        </w:tc>
        <w:tc>
          <w:tcPr>
            <w:tcW w:w="1490" w:type="pct"/>
          </w:tcPr>
          <w:p w14:paraId="0CB80381" w14:textId="77777777" w:rsidR="006958A6" w:rsidRDefault="006958A6" w:rsidP="00E60293">
            <w:pPr>
              <w:jc w:val="left"/>
              <w:rPr>
                <w:lang w:val="en-US"/>
              </w:rPr>
            </w:pPr>
            <w:r>
              <w:rPr>
                <w:lang w:val="en-US"/>
              </w:rPr>
              <w:t xml:space="preserve">Copper </w:t>
            </w:r>
            <w:r>
              <w:t>('air', 'urban air close to ground')</w:t>
            </w:r>
          </w:p>
        </w:tc>
      </w:tr>
      <w:tr w:rsidR="006958A6" w14:paraId="76F73FF3" w14:textId="77777777" w:rsidTr="00E60293">
        <w:tc>
          <w:tcPr>
            <w:tcW w:w="1283" w:type="pct"/>
          </w:tcPr>
          <w:p w14:paraId="4CFF82DC" w14:textId="77777777" w:rsidR="006958A6" w:rsidRDefault="006958A6" w:rsidP="00E60293">
            <w:pPr>
              <w:jc w:val="left"/>
              <w:rPr>
                <w:lang w:val="en-US"/>
              </w:rPr>
            </w:pPr>
            <w:r>
              <w:rPr>
                <w:lang w:val="en-US"/>
              </w:rPr>
              <w:t>Freshwater eutrophication</w:t>
            </w:r>
          </w:p>
        </w:tc>
        <w:tc>
          <w:tcPr>
            <w:tcW w:w="2227" w:type="pct"/>
          </w:tcPr>
          <w:p w14:paraId="014C1402" w14:textId="77777777" w:rsidR="006958A6" w:rsidRDefault="006958A6" w:rsidP="00E60293">
            <w:pPr>
              <w:jc w:val="left"/>
              <w:rPr>
                <w:lang w:val="en-US"/>
              </w:rPr>
            </w:pPr>
            <w:r w:rsidRPr="00BB434E">
              <w:rPr>
                <w:lang w:val="en-US"/>
              </w:rPr>
              <w:t>treatment of spoil from hard coal mining, in surface landfill</w:t>
            </w:r>
            <w:r>
              <w:rPr>
                <w:lang w:val="en-US"/>
              </w:rPr>
              <w:t xml:space="preserve"> [GLO]</w:t>
            </w:r>
          </w:p>
        </w:tc>
        <w:tc>
          <w:tcPr>
            <w:tcW w:w="1490" w:type="pct"/>
          </w:tcPr>
          <w:p w14:paraId="5EA83B49" w14:textId="77777777" w:rsidR="006958A6" w:rsidRDefault="006958A6" w:rsidP="00E60293">
            <w:pPr>
              <w:jc w:val="left"/>
              <w:rPr>
                <w:lang w:val="en-US"/>
              </w:rPr>
            </w:pPr>
            <w:r>
              <w:rPr>
                <w:lang w:val="en-US"/>
              </w:rPr>
              <w:t xml:space="preserve">Phosphate </w:t>
            </w:r>
            <w:r w:rsidRPr="00E455F9">
              <w:t>('water', 'ground-, long-term')</w:t>
            </w:r>
          </w:p>
        </w:tc>
      </w:tr>
      <w:tr w:rsidR="006958A6" w14:paraId="5FEA8831" w14:textId="77777777" w:rsidTr="00E60293">
        <w:tc>
          <w:tcPr>
            <w:tcW w:w="1283" w:type="pct"/>
          </w:tcPr>
          <w:p w14:paraId="065D502E" w14:textId="77777777" w:rsidR="006958A6" w:rsidRDefault="006958A6" w:rsidP="00E60293">
            <w:pPr>
              <w:jc w:val="left"/>
              <w:rPr>
                <w:lang w:val="en-US"/>
              </w:rPr>
            </w:pPr>
            <w:r>
              <w:rPr>
                <w:lang w:val="en-US"/>
              </w:rPr>
              <w:t>Marine eutrophication</w:t>
            </w:r>
          </w:p>
        </w:tc>
        <w:tc>
          <w:tcPr>
            <w:tcW w:w="2227" w:type="pct"/>
          </w:tcPr>
          <w:p w14:paraId="44D9B4C6" w14:textId="77777777" w:rsidR="006958A6" w:rsidRDefault="006958A6" w:rsidP="00E60293">
            <w:pPr>
              <w:jc w:val="left"/>
              <w:rPr>
                <w:lang w:val="en-US"/>
              </w:rPr>
            </w:pPr>
            <w:r w:rsidRPr="00BB434E">
              <w:rPr>
                <w:lang w:val="en-US"/>
              </w:rPr>
              <w:t>oxalic acid production</w:t>
            </w:r>
            <w:r>
              <w:rPr>
                <w:lang w:val="en-US"/>
              </w:rPr>
              <w:t xml:space="preserve"> [CN]</w:t>
            </w:r>
          </w:p>
        </w:tc>
        <w:tc>
          <w:tcPr>
            <w:tcW w:w="1490" w:type="pct"/>
          </w:tcPr>
          <w:p w14:paraId="6EF8F561" w14:textId="77777777" w:rsidR="006958A6" w:rsidRDefault="006958A6" w:rsidP="00E60293">
            <w:pPr>
              <w:jc w:val="left"/>
              <w:rPr>
                <w:lang w:val="en-US"/>
              </w:rPr>
            </w:pPr>
            <w:r>
              <w:rPr>
                <w:lang w:val="en-US"/>
              </w:rPr>
              <w:t xml:space="preserve">Nitrogen oxides </w:t>
            </w:r>
            <w:r w:rsidRPr="00E455F9">
              <w:rPr>
                <w:lang w:val="en-US"/>
              </w:rPr>
              <w:t>('air',)</w:t>
            </w:r>
          </w:p>
        </w:tc>
      </w:tr>
      <w:tr w:rsidR="006958A6" w14:paraId="2795DF16" w14:textId="77777777" w:rsidTr="00E60293">
        <w:tc>
          <w:tcPr>
            <w:tcW w:w="1283" w:type="pct"/>
          </w:tcPr>
          <w:p w14:paraId="4377A6AD" w14:textId="77777777" w:rsidR="006958A6" w:rsidRDefault="006958A6" w:rsidP="00E60293">
            <w:pPr>
              <w:jc w:val="left"/>
              <w:rPr>
                <w:lang w:val="en-US"/>
              </w:rPr>
            </w:pPr>
            <w:r>
              <w:rPr>
                <w:lang w:val="en-US"/>
              </w:rPr>
              <w:t>Terrestrial eutrophication</w:t>
            </w:r>
          </w:p>
        </w:tc>
        <w:tc>
          <w:tcPr>
            <w:tcW w:w="2227" w:type="pct"/>
          </w:tcPr>
          <w:p w14:paraId="604223BF" w14:textId="77777777" w:rsidR="006958A6" w:rsidRDefault="006958A6" w:rsidP="00E60293">
            <w:pPr>
              <w:jc w:val="left"/>
              <w:rPr>
                <w:lang w:val="en-US"/>
              </w:rPr>
            </w:pPr>
            <w:r w:rsidRPr="00BB434E">
              <w:rPr>
                <w:lang w:val="en-US"/>
              </w:rPr>
              <w:t>oxalic acid production</w:t>
            </w:r>
            <w:r>
              <w:rPr>
                <w:lang w:val="en-US"/>
              </w:rPr>
              <w:t xml:space="preserve"> [CN]</w:t>
            </w:r>
          </w:p>
        </w:tc>
        <w:tc>
          <w:tcPr>
            <w:tcW w:w="1490" w:type="pct"/>
          </w:tcPr>
          <w:p w14:paraId="64623B9D" w14:textId="77777777" w:rsidR="006958A6" w:rsidRDefault="006958A6" w:rsidP="00E60293">
            <w:pPr>
              <w:jc w:val="left"/>
              <w:rPr>
                <w:lang w:val="en-US"/>
              </w:rPr>
            </w:pPr>
            <w:r>
              <w:rPr>
                <w:lang w:val="en-US"/>
              </w:rPr>
              <w:t xml:space="preserve">Nitrogen oxides </w:t>
            </w:r>
            <w:r w:rsidRPr="00E455F9">
              <w:rPr>
                <w:lang w:val="en-US"/>
              </w:rPr>
              <w:t>('air',)</w:t>
            </w:r>
          </w:p>
        </w:tc>
      </w:tr>
      <w:tr w:rsidR="006958A6" w14:paraId="1B0FD543" w14:textId="77777777" w:rsidTr="00E60293">
        <w:tc>
          <w:tcPr>
            <w:tcW w:w="1283" w:type="pct"/>
          </w:tcPr>
          <w:p w14:paraId="3B9C1BCB" w14:textId="77777777" w:rsidR="006958A6" w:rsidRDefault="006958A6" w:rsidP="00E60293">
            <w:pPr>
              <w:jc w:val="left"/>
              <w:rPr>
                <w:lang w:val="en-US"/>
              </w:rPr>
            </w:pPr>
            <w:r>
              <w:rPr>
                <w:lang w:val="en-US"/>
              </w:rPr>
              <w:t>Human health carcinogenic effects</w:t>
            </w:r>
          </w:p>
        </w:tc>
        <w:tc>
          <w:tcPr>
            <w:tcW w:w="2227" w:type="pct"/>
          </w:tcPr>
          <w:p w14:paraId="6EE31B8D" w14:textId="77777777" w:rsidR="006958A6" w:rsidRDefault="006958A6" w:rsidP="00E60293">
            <w:pPr>
              <w:jc w:val="left"/>
              <w:rPr>
                <w:lang w:val="en-US"/>
              </w:rPr>
            </w:pPr>
            <w:r w:rsidRPr="00BB434E">
              <w:rPr>
                <w:lang w:val="en-US"/>
              </w:rPr>
              <w:t>treatment of fly ash and scrubber sludge, hazardous waste incineration</w:t>
            </w:r>
            <w:r>
              <w:rPr>
                <w:lang w:val="en-US"/>
              </w:rPr>
              <w:t xml:space="preserve"> [</w:t>
            </w:r>
            <w:r w:rsidRPr="00BB434E">
              <w:rPr>
                <w:lang w:val="en-US"/>
              </w:rPr>
              <w:t>Europe without Switzerland</w:t>
            </w:r>
            <w:r>
              <w:rPr>
                <w:lang w:val="en-US"/>
              </w:rPr>
              <w:t>]</w:t>
            </w:r>
          </w:p>
        </w:tc>
        <w:tc>
          <w:tcPr>
            <w:tcW w:w="1490" w:type="pct"/>
          </w:tcPr>
          <w:p w14:paraId="19A4E424" w14:textId="77777777" w:rsidR="006958A6" w:rsidRPr="00E455F9" w:rsidRDefault="006958A6" w:rsidP="00E60293">
            <w:pPr>
              <w:jc w:val="left"/>
              <w:rPr>
                <w:lang w:val="en-US"/>
              </w:rPr>
            </w:pPr>
            <w:r>
              <w:t>Chromium VI ('water', 'surface water')</w:t>
            </w:r>
          </w:p>
          <w:p w14:paraId="65D0EC8D" w14:textId="77777777" w:rsidR="006958A6" w:rsidRDefault="006958A6" w:rsidP="00E60293">
            <w:pPr>
              <w:jc w:val="left"/>
              <w:rPr>
                <w:lang w:val="en-US"/>
              </w:rPr>
            </w:pPr>
          </w:p>
        </w:tc>
      </w:tr>
      <w:tr w:rsidR="006958A6" w14:paraId="64033C77" w14:textId="77777777" w:rsidTr="00E60293">
        <w:tc>
          <w:tcPr>
            <w:tcW w:w="1283" w:type="pct"/>
          </w:tcPr>
          <w:p w14:paraId="49751E5E" w14:textId="77777777" w:rsidR="006958A6" w:rsidRDefault="006958A6" w:rsidP="00E60293">
            <w:pPr>
              <w:jc w:val="left"/>
              <w:rPr>
                <w:lang w:val="en-US"/>
              </w:rPr>
            </w:pPr>
            <w:r>
              <w:rPr>
                <w:lang w:val="en-US"/>
              </w:rPr>
              <w:t>Human health non-carcinogenic effects</w:t>
            </w:r>
          </w:p>
        </w:tc>
        <w:tc>
          <w:tcPr>
            <w:tcW w:w="2227" w:type="pct"/>
          </w:tcPr>
          <w:p w14:paraId="2D1ACA60" w14:textId="77777777" w:rsidR="006958A6" w:rsidRDefault="006958A6" w:rsidP="00E60293">
            <w:pPr>
              <w:jc w:val="left"/>
              <w:rPr>
                <w:lang w:val="en-US"/>
              </w:rPr>
            </w:pPr>
            <w:r>
              <w:rPr>
                <w:lang w:val="en-US"/>
              </w:rPr>
              <w:t>f</w:t>
            </w:r>
            <w:r w:rsidRPr="00BB434E">
              <w:rPr>
                <w:lang w:val="en-US"/>
              </w:rPr>
              <w:t>ragmentation</w:t>
            </w:r>
            <w:r>
              <w:rPr>
                <w:lang w:val="en-US"/>
              </w:rPr>
              <w:t xml:space="preserve"> [FR]</w:t>
            </w:r>
          </w:p>
        </w:tc>
        <w:tc>
          <w:tcPr>
            <w:tcW w:w="1490" w:type="pct"/>
          </w:tcPr>
          <w:p w14:paraId="77D290A0" w14:textId="77777777" w:rsidR="006958A6" w:rsidRPr="00C4407B" w:rsidRDefault="006958A6" w:rsidP="00E60293">
            <w:pPr>
              <w:jc w:val="left"/>
              <w:rPr>
                <w:lang w:val="en-US"/>
              </w:rPr>
            </w:pPr>
            <w:r>
              <w:rPr>
                <w:lang w:val="en-US"/>
              </w:rPr>
              <w:t xml:space="preserve">Zinc </w:t>
            </w:r>
            <w:r>
              <w:t>('air', 'urban air close to ground')</w:t>
            </w:r>
          </w:p>
        </w:tc>
      </w:tr>
      <w:tr w:rsidR="006958A6" w14:paraId="2ACE8629" w14:textId="77777777" w:rsidTr="00E60293">
        <w:tc>
          <w:tcPr>
            <w:tcW w:w="1283" w:type="pct"/>
          </w:tcPr>
          <w:p w14:paraId="6B338243" w14:textId="77777777" w:rsidR="006958A6" w:rsidRDefault="006958A6" w:rsidP="00E60293">
            <w:pPr>
              <w:jc w:val="left"/>
              <w:rPr>
                <w:lang w:val="en-US"/>
              </w:rPr>
            </w:pPr>
            <w:r>
              <w:rPr>
                <w:lang w:val="en-US"/>
              </w:rPr>
              <w:t>Ozone layer depletion</w:t>
            </w:r>
          </w:p>
        </w:tc>
        <w:tc>
          <w:tcPr>
            <w:tcW w:w="2227" w:type="pct"/>
          </w:tcPr>
          <w:p w14:paraId="321926CC" w14:textId="77777777" w:rsidR="006958A6" w:rsidRDefault="006958A6" w:rsidP="00E60293">
            <w:pPr>
              <w:jc w:val="left"/>
              <w:rPr>
                <w:lang w:val="en-US"/>
              </w:rPr>
            </w:pPr>
            <w:r w:rsidRPr="00BB434E">
              <w:rPr>
                <w:lang w:val="en-US"/>
              </w:rPr>
              <w:t xml:space="preserve">petroleum and gas production, </w:t>
            </w:r>
            <w:proofErr w:type="gramStart"/>
            <w:r w:rsidRPr="00BB434E">
              <w:rPr>
                <w:lang w:val="en-US"/>
              </w:rPr>
              <w:t>on-shore</w:t>
            </w:r>
            <w:proofErr w:type="gramEnd"/>
            <w:r>
              <w:rPr>
                <w:lang w:val="en-US"/>
              </w:rPr>
              <w:t xml:space="preserve"> [</w:t>
            </w:r>
            <w:proofErr w:type="spellStart"/>
            <w:r>
              <w:rPr>
                <w:lang w:val="en-US"/>
              </w:rPr>
              <w:t>RoW</w:t>
            </w:r>
            <w:proofErr w:type="spellEnd"/>
            <w:r>
              <w:rPr>
                <w:lang w:val="en-US"/>
              </w:rPr>
              <w:t>]</w:t>
            </w:r>
          </w:p>
        </w:tc>
        <w:tc>
          <w:tcPr>
            <w:tcW w:w="1490" w:type="pct"/>
          </w:tcPr>
          <w:p w14:paraId="09F22DAA" w14:textId="77777777" w:rsidR="006958A6" w:rsidRPr="00C4407B" w:rsidRDefault="006958A6" w:rsidP="00E60293">
            <w:pPr>
              <w:jc w:val="left"/>
              <w:rPr>
                <w:lang w:val="en-US"/>
              </w:rPr>
            </w:pPr>
            <w:r w:rsidRPr="00E455F9">
              <w:rPr>
                <w:lang w:val="en-US"/>
              </w:rPr>
              <w:t xml:space="preserve">Methane, </w:t>
            </w:r>
            <w:proofErr w:type="spellStart"/>
            <w:r w:rsidRPr="00E455F9">
              <w:rPr>
                <w:lang w:val="en-US"/>
              </w:rPr>
              <w:t>bromotrifluoro</w:t>
            </w:r>
            <w:proofErr w:type="spellEnd"/>
            <w:r w:rsidRPr="00E455F9">
              <w:rPr>
                <w:lang w:val="en-US"/>
              </w:rPr>
              <w:t>-, Halon 1301</w:t>
            </w:r>
            <w:r>
              <w:rPr>
                <w:lang w:val="en-US"/>
              </w:rPr>
              <w:t xml:space="preserve"> </w:t>
            </w:r>
            <w:r>
              <w:t>('air', 'non-urban air or from high stacks')</w:t>
            </w:r>
          </w:p>
        </w:tc>
      </w:tr>
      <w:tr w:rsidR="006958A6" w14:paraId="29D13251" w14:textId="77777777" w:rsidTr="00E60293">
        <w:tc>
          <w:tcPr>
            <w:tcW w:w="1283" w:type="pct"/>
          </w:tcPr>
          <w:p w14:paraId="4FFD9D99" w14:textId="77777777" w:rsidR="006958A6" w:rsidRDefault="006958A6" w:rsidP="00E60293">
            <w:pPr>
              <w:jc w:val="left"/>
              <w:rPr>
                <w:lang w:val="en-US"/>
              </w:rPr>
            </w:pPr>
            <w:r>
              <w:rPr>
                <w:lang w:val="en-US"/>
              </w:rPr>
              <w:t>Photochemical ozone creation</w:t>
            </w:r>
          </w:p>
        </w:tc>
        <w:tc>
          <w:tcPr>
            <w:tcW w:w="2227" w:type="pct"/>
          </w:tcPr>
          <w:p w14:paraId="4F93D418" w14:textId="77777777" w:rsidR="006958A6" w:rsidRDefault="006958A6" w:rsidP="00E60293">
            <w:pPr>
              <w:jc w:val="left"/>
              <w:rPr>
                <w:lang w:val="en-US"/>
              </w:rPr>
            </w:pPr>
            <w:r w:rsidRPr="00BB434E">
              <w:rPr>
                <w:lang w:val="en-US"/>
              </w:rPr>
              <w:t>oxalic acid production</w:t>
            </w:r>
            <w:r>
              <w:rPr>
                <w:lang w:val="en-US"/>
              </w:rPr>
              <w:t xml:space="preserve"> [CN]</w:t>
            </w:r>
          </w:p>
        </w:tc>
        <w:tc>
          <w:tcPr>
            <w:tcW w:w="1490" w:type="pct"/>
          </w:tcPr>
          <w:p w14:paraId="753C6A91" w14:textId="77777777" w:rsidR="006958A6" w:rsidRDefault="006958A6" w:rsidP="00E60293">
            <w:pPr>
              <w:jc w:val="left"/>
              <w:rPr>
                <w:lang w:val="en-US"/>
              </w:rPr>
            </w:pPr>
            <w:r>
              <w:rPr>
                <w:lang w:val="en-US"/>
              </w:rPr>
              <w:t xml:space="preserve">Nitrogen oxides </w:t>
            </w:r>
            <w:r w:rsidRPr="00E455F9">
              <w:rPr>
                <w:lang w:val="en-US"/>
              </w:rPr>
              <w:t>('air',)</w:t>
            </w:r>
          </w:p>
        </w:tc>
      </w:tr>
    </w:tbl>
    <w:p w14:paraId="721B0757" w14:textId="77777777" w:rsidR="00B86DEB" w:rsidRDefault="00B86DEB" w:rsidP="0069481A">
      <w:pPr>
        <w:rPr>
          <w:lang w:val="en-US"/>
        </w:rPr>
      </w:pPr>
    </w:p>
    <w:p w14:paraId="219E0B3B" w14:textId="32344EFF" w:rsidR="00414C1A" w:rsidRDefault="00CB4EB7" w:rsidP="00E47C9F">
      <w:pPr>
        <w:rPr>
          <w:lang w:val="en-US"/>
        </w:rPr>
      </w:pPr>
      <w:r w:rsidRPr="00262675">
        <w:rPr>
          <w:lang w:val="en-US"/>
        </w:rPr>
        <w:t xml:space="preserve">From </w:t>
      </w:r>
      <w:r w:rsidR="00262675" w:rsidRPr="00262675">
        <w:rPr>
          <w:lang w:val="en-US"/>
        </w:rPr>
        <w:t>T</w:t>
      </w:r>
      <w:r w:rsidR="00414C1A" w:rsidRPr="00262675">
        <w:rPr>
          <w:lang w:val="en-US"/>
        </w:rPr>
        <w:t xml:space="preserve">able </w:t>
      </w:r>
      <w:r w:rsidR="00917D2B">
        <w:rPr>
          <w:lang w:val="en-US"/>
        </w:rPr>
        <w:t>4</w:t>
      </w:r>
      <w:r w:rsidR="00262675" w:rsidRPr="00262675">
        <w:rPr>
          <w:lang w:val="en-US"/>
        </w:rPr>
        <w:t>.2</w:t>
      </w:r>
      <w:r w:rsidR="002B40DA" w:rsidRPr="00262675">
        <w:rPr>
          <w:lang w:val="en-US"/>
        </w:rPr>
        <w:t>,</w:t>
      </w:r>
      <w:r w:rsidR="00414C1A" w:rsidRPr="00262675">
        <w:rPr>
          <w:lang w:val="en-US"/>
        </w:rPr>
        <w:t xml:space="preserve"> </w:t>
      </w:r>
      <w:r w:rsidRPr="00262675">
        <w:rPr>
          <w:lang w:val="en-US"/>
        </w:rPr>
        <w:t>f</w:t>
      </w:r>
      <w:r w:rsidR="00414C1A" w:rsidRPr="00262675">
        <w:rPr>
          <w:lang w:val="en-US"/>
        </w:rPr>
        <w:t>ocusing</w:t>
      </w:r>
      <w:r w:rsidR="00414C1A" w:rsidRPr="000E74CA">
        <w:rPr>
          <w:lang w:val="en-US"/>
        </w:rPr>
        <w:t xml:space="preserve"> on the impact categories not directly influenced by the oxalic acid, there </w:t>
      </w:r>
      <w:r w:rsidR="00EB7B5B">
        <w:rPr>
          <w:lang w:val="en-US"/>
        </w:rPr>
        <w:t>are</w:t>
      </w:r>
      <w:r w:rsidR="00414C1A" w:rsidRPr="000E74CA">
        <w:rPr>
          <w:lang w:val="en-US"/>
        </w:rPr>
        <w:t xml:space="preserve"> climate change, freshwater ecotoxicity, freshwater eutrophication, human health carcinogenic effects, human health non-carcinogenic effects, and ozone layer depletion.</w:t>
      </w:r>
      <w:r w:rsidR="00414C1A">
        <w:rPr>
          <w:lang w:val="en-US"/>
        </w:rPr>
        <w:t xml:space="preserve"> </w:t>
      </w:r>
      <w:r w:rsidR="00414C1A" w:rsidRPr="000E74CA">
        <w:rPr>
          <w:lang w:val="en-US"/>
        </w:rPr>
        <w:t xml:space="preserve">In climate change, “nitric acid production” is the most contributive process with its carbon dioxide emission. Nitric acid is a raw material to produce oxalic acid. In freshwater ecotoxicity, “fragmentation” is the most contributive with its emission of copper. In freshwater </w:t>
      </w:r>
      <w:r w:rsidR="00414C1A" w:rsidRPr="000E74CA">
        <w:rPr>
          <w:lang w:val="en-US"/>
        </w:rPr>
        <w:lastRenderedPageBreak/>
        <w:t xml:space="preserve">eutrophication, the “treatment of spoil from hard coal mining, in surface landfill” contributes the most with its phosphate emission. The coal is used in the incineration (waste treatment) of the dust captured in the </w:t>
      </w:r>
      <w:r w:rsidR="00414C1A">
        <w:rPr>
          <w:lang w:val="en-US"/>
        </w:rPr>
        <w:t>f</w:t>
      </w:r>
      <w:r w:rsidR="00414C1A" w:rsidRPr="000E74CA">
        <w:rPr>
          <w:lang w:val="en-US"/>
        </w:rPr>
        <w:t xml:space="preserve">ragmentation process. In human health carcinogenic effects, the “treatment of fly ash and scrubber sludge, hazardous waste incineration” contributes the most with its chromium VI emissions. This waste treatment is used for the dust captured in the </w:t>
      </w:r>
      <w:r w:rsidR="00414C1A">
        <w:rPr>
          <w:lang w:val="en-US"/>
        </w:rPr>
        <w:t>f</w:t>
      </w:r>
      <w:r w:rsidR="00414C1A" w:rsidRPr="000E74CA">
        <w:rPr>
          <w:lang w:val="en-US"/>
        </w:rPr>
        <w:t>ragmentation process. In human health non-carcinogenic effects “fragmentation” is the most contributive process with its zinc emissions. In ozone layer depletion, “petroleum and gas production, on-shore” is the major contributor with its methane emission. Petroleum is a raw material to produce carbon monoxide in the production process for acetic acid.</w:t>
      </w:r>
    </w:p>
    <w:p w14:paraId="71C7C6DC" w14:textId="77777777" w:rsidR="00414C1A" w:rsidRDefault="00414C1A" w:rsidP="00E47C9F">
      <w:pPr>
        <w:rPr>
          <w:lang w:val="en-US"/>
        </w:rPr>
      </w:pPr>
    </w:p>
    <w:p w14:paraId="47719C79" w14:textId="4B150F1B" w:rsidR="00E47C9F" w:rsidRPr="00C16BF8" w:rsidRDefault="003E702C" w:rsidP="00E47C9F">
      <w:pPr>
        <w:rPr>
          <w:lang w:val="en-US"/>
        </w:rPr>
      </w:pPr>
      <w:r>
        <w:rPr>
          <w:lang w:val="en-US"/>
        </w:rPr>
        <w:t>The</w:t>
      </w:r>
      <w:r w:rsidR="00E47C9F" w:rsidRPr="00C16BF8">
        <w:rPr>
          <w:lang w:val="en-US"/>
        </w:rPr>
        <w:t xml:space="preserve"> individual contribution analysis </w:t>
      </w:r>
      <w:r>
        <w:rPr>
          <w:lang w:val="en-US"/>
        </w:rPr>
        <w:t>to</w:t>
      </w:r>
      <w:r w:rsidR="00E47C9F" w:rsidRPr="00C16BF8">
        <w:rPr>
          <w:lang w:val="en-US"/>
        </w:rPr>
        <w:t xml:space="preserve"> </w:t>
      </w:r>
      <w:r>
        <w:rPr>
          <w:lang w:val="en-US"/>
        </w:rPr>
        <w:t xml:space="preserve">the </w:t>
      </w:r>
      <w:r w:rsidR="00E47C9F" w:rsidRPr="00C16BF8">
        <w:rPr>
          <w:lang w:val="en-US"/>
        </w:rPr>
        <w:t xml:space="preserve">fragmentation processes, per impact category, is </w:t>
      </w:r>
      <w:r w:rsidR="00E47C9F" w:rsidRPr="0076071F">
        <w:rPr>
          <w:lang w:val="en-US"/>
        </w:rPr>
        <w:t xml:space="preserve">shown in </w:t>
      </w:r>
      <w:r w:rsidR="00E47C9F" w:rsidRPr="0076071F">
        <w:rPr>
          <w:lang w:val="en-US"/>
        </w:rPr>
        <w:fldChar w:fldCharType="begin"/>
      </w:r>
      <w:r w:rsidR="00E47C9F" w:rsidRPr="0076071F">
        <w:rPr>
          <w:lang w:val="en-US"/>
        </w:rPr>
        <w:instrText xml:space="preserve"> REF _Ref74764035 \h </w:instrText>
      </w:r>
      <w:r w:rsidR="00723AA7" w:rsidRPr="0076071F">
        <w:rPr>
          <w:lang w:val="en-US"/>
        </w:rPr>
        <w:instrText xml:space="preserve"> \* MERGEFORMAT </w:instrText>
      </w:r>
      <w:r w:rsidR="00E47C9F" w:rsidRPr="0076071F">
        <w:rPr>
          <w:lang w:val="en-US"/>
        </w:rPr>
      </w:r>
      <w:r w:rsidR="00E47C9F" w:rsidRPr="0076071F">
        <w:rPr>
          <w:lang w:val="en-US"/>
        </w:rPr>
        <w:fldChar w:fldCharType="separate"/>
      </w:r>
      <w:r w:rsidR="00AA786A" w:rsidRPr="0076071F">
        <w:t xml:space="preserve">Figure </w:t>
      </w:r>
      <w:r w:rsidR="00917D2B">
        <w:rPr>
          <w:noProof/>
          <w:lang w:val="en-US"/>
        </w:rPr>
        <w:t>4</w:t>
      </w:r>
      <w:r w:rsidR="00E47C9F" w:rsidRPr="0076071F">
        <w:rPr>
          <w:lang w:val="en-US"/>
        </w:rPr>
        <w:fldChar w:fldCharType="end"/>
      </w:r>
      <w:r w:rsidR="00AA786A" w:rsidRPr="0076071F">
        <w:rPr>
          <w:lang w:val="en-US"/>
        </w:rPr>
        <w:t>.</w:t>
      </w:r>
      <w:r w:rsidR="00E453A6" w:rsidRPr="0076071F">
        <w:rPr>
          <w:lang w:val="en-US"/>
        </w:rPr>
        <w:t>5</w:t>
      </w:r>
      <w:r w:rsidR="00E47C9F" w:rsidRPr="0076071F">
        <w:rPr>
          <w:lang w:val="en-US"/>
        </w:rPr>
        <w:t>.</w:t>
      </w:r>
      <w:r w:rsidR="00E47C9F" w:rsidRPr="00C16BF8">
        <w:rPr>
          <w:lang w:val="en-US"/>
        </w:rPr>
        <w:t xml:space="preserve"> The values are relative to the total category indicator result of the unit process.</w:t>
      </w:r>
    </w:p>
    <w:p w14:paraId="6E337738" w14:textId="1197D01B" w:rsidR="00E47C9F" w:rsidRPr="00E47C9F" w:rsidRDefault="00E47C9F" w:rsidP="00E47C9F">
      <w:pPr>
        <w:rPr>
          <w:lang w:val="en-US"/>
        </w:rPr>
      </w:pPr>
    </w:p>
    <w:p w14:paraId="782DF8F3" w14:textId="620766B3" w:rsidR="00DC405F" w:rsidRDefault="00EF6136" w:rsidP="00F46789">
      <w:pPr>
        <w:keepNext/>
        <w:jc w:val="center"/>
      </w:pPr>
      <w:r>
        <w:rPr>
          <w:noProof/>
        </w:rPr>
        <w:drawing>
          <wp:inline distT="0" distB="0" distL="0" distR="0" wp14:anchorId="50FBC0D3" wp14:editId="716039E0">
            <wp:extent cx="5759450" cy="3319145"/>
            <wp:effectExtent l="0" t="0" r="635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319145"/>
                    </a:xfrm>
                    <a:prstGeom prst="rect">
                      <a:avLst/>
                    </a:prstGeom>
                  </pic:spPr>
                </pic:pic>
              </a:graphicData>
            </a:graphic>
          </wp:inline>
        </w:drawing>
      </w:r>
    </w:p>
    <w:p w14:paraId="304BB323" w14:textId="172B231A" w:rsidR="009003C8" w:rsidRDefault="00DC405F" w:rsidP="00DC405F">
      <w:pPr>
        <w:pStyle w:val="Caption"/>
        <w:rPr>
          <w:lang w:val="en-US"/>
        </w:rPr>
      </w:pPr>
      <w:bookmarkStart w:id="82" w:name="_Ref74764035"/>
      <w:bookmarkStart w:id="83" w:name="_Toc76729612"/>
      <w:r w:rsidRPr="00C16BF8">
        <w:t xml:space="preserve">Figure </w:t>
      </w:r>
      <w:r w:rsidR="00917D2B">
        <w:rPr>
          <w:lang w:val="en-US"/>
        </w:rPr>
        <w:t>4</w:t>
      </w:r>
      <w:r w:rsidR="001150DB" w:rsidRPr="00C16BF8">
        <w:t>.</w:t>
      </w:r>
      <w:bookmarkEnd w:id="82"/>
      <w:r w:rsidR="00E453A6">
        <w:rPr>
          <w:lang w:val="en-US"/>
        </w:rPr>
        <w:t>5</w:t>
      </w:r>
      <w:r w:rsidRPr="00C16BF8">
        <w:rPr>
          <w:lang w:val="en-US"/>
        </w:rPr>
        <w:t xml:space="preserve"> Contribution analysis of Fragmentation unit process. FU: 1 kg of REO from EOL HDDs’ </w:t>
      </w:r>
      <w:proofErr w:type="spellStart"/>
      <w:r w:rsidRPr="00C16BF8">
        <w:rPr>
          <w:lang w:val="en-US"/>
        </w:rPr>
        <w:t>NdFeB</w:t>
      </w:r>
      <w:proofErr w:type="spellEnd"/>
      <w:r w:rsidRPr="00C16BF8">
        <w:rPr>
          <w:lang w:val="en-US"/>
        </w:rPr>
        <w:t xml:space="preserve"> magnets separated from e-waste at the plant’s gate. Source: author’s image.</w:t>
      </w:r>
      <w:bookmarkEnd w:id="83"/>
    </w:p>
    <w:p w14:paraId="6A196414" w14:textId="167605D5" w:rsidR="0049624F" w:rsidRDefault="00435900" w:rsidP="008214CC">
      <w:pPr>
        <w:rPr>
          <w:lang w:val="en-US"/>
        </w:rPr>
      </w:pPr>
      <w:r w:rsidRPr="00435900">
        <w:rPr>
          <w:lang w:val="en-US"/>
        </w:rPr>
        <w:t xml:space="preserve">Figure </w:t>
      </w:r>
      <w:r w:rsidR="00917D2B">
        <w:rPr>
          <w:lang w:val="en-US"/>
        </w:rPr>
        <w:t>4</w:t>
      </w:r>
      <w:r w:rsidRPr="00435900">
        <w:rPr>
          <w:lang w:val="en-US"/>
        </w:rPr>
        <w:t>.</w:t>
      </w:r>
      <w:r w:rsidR="00EB4BFF">
        <w:rPr>
          <w:lang w:val="en-US"/>
        </w:rPr>
        <w:t>5</w:t>
      </w:r>
      <w:r w:rsidRPr="00435900">
        <w:rPr>
          <w:lang w:val="en-US"/>
        </w:rPr>
        <w:t xml:space="preserve"> reveals that the dust treatment is the burden</w:t>
      </w:r>
      <w:r w:rsidR="00C42C2B">
        <w:rPr>
          <w:lang w:val="en-US"/>
        </w:rPr>
        <w:t>some</w:t>
      </w:r>
      <w:r w:rsidRPr="00435900">
        <w:rPr>
          <w:lang w:val="en-US"/>
        </w:rPr>
        <w:t xml:space="preserve"> process to all impact categories, except in freshwater ecotoxicity and human health non-carcinogenic effects. In those impact </w:t>
      </w:r>
      <w:r w:rsidRPr="00435900">
        <w:rPr>
          <w:lang w:val="en-US"/>
        </w:rPr>
        <w:lastRenderedPageBreak/>
        <w:t>categories, the direct emissions of the process appear as the major contributor. Additionally, the direct emissions also appear to contribute to the human health carcinogenic effects.</w:t>
      </w:r>
    </w:p>
    <w:p w14:paraId="6FE3F1F0" w14:textId="77777777" w:rsidR="00435900" w:rsidRPr="009A215A" w:rsidRDefault="00435900" w:rsidP="008214CC"/>
    <w:p w14:paraId="7B1CD1EF" w14:textId="5D8CF0A8" w:rsidR="00A62074" w:rsidRPr="009A215A" w:rsidRDefault="007D4338" w:rsidP="00C16BF8">
      <w:pPr>
        <w:pStyle w:val="Heading2"/>
      </w:pPr>
      <w:bookmarkStart w:id="84" w:name="_Toc76752287"/>
      <w:r>
        <w:t>Sensitivity</w:t>
      </w:r>
      <w:r w:rsidR="00A62074" w:rsidRPr="009A215A">
        <w:t xml:space="preserve"> </w:t>
      </w:r>
      <w:r w:rsidR="00911C9E">
        <w:t>test</w:t>
      </w:r>
      <w:bookmarkEnd w:id="84"/>
    </w:p>
    <w:p w14:paraId="1BAEB004" w14:textId="77777777" w:rsidR="00A62074" w:rsidRPr="00C16BF8" w:rsidRDefault="00A62074" w:rsidP="009A215A"/>
    <w:p w14:paraId="0EEE7F5C" w14:textId="1ADAED6F" w:rsidR="00222063" w:rsidRPr="00C16BF8" w:rsidRDefault="00222063" w:rsidP="00222063">
      <w:r w:rsidRPr="00C16BF8">
        <w:t>Three changes are proposed as sensitivity test:</w:t>
      </w:r>
    </w:p>
    <w:p w14:paraId="35F451CA" w14:textId="5070B577" w:rsidR="00222063" w:rsidRPr="00C16BF8" w:rsidRDefault="00222063" w:rsidP="00222063">
      <w:r w:rsidRPr="00C16BF8">
        <w:t xml:space="preserve"> </w:t>
      </w:r>
    </w:p>
    <w:p w14:paraId="78F27BCF" w14:textId="27329C26" w:rsidR="00222063" w:rsidRPr="00C16BF8" w:rsidRDefault="00222063" w:rsidP="00417DD2">
      <w:pPr>
        <w:pStyle w:val="ListParagraph"/>
        <w:numPr>
          <w:ilvl w:val="0"/>
          <w:numId w:val="27"/>
        </w:numPr>
      </w:pPr>
      <w:r w:rsidRPr="00C16BF8">
        <w:t xml:space="preserve">Regeneration of oxalic acid; </w:t>
      </w:r>
    </w:p>
    <w:p w14:paraId="0984B4B4" w14:textId="56487A8F" w:rsidR="00222063" w:rsidRPr="00C16BF8" w:rsidRDefault="00222063" w:rsidP="00417DD2">
      <w:pPr>
        <w:pStyle w:val="ListParagraph"/>
        <w:numPr>
          <w:ilvl w:val="0"/>
          <w:numId w:val="27"/>
        </w:numPr>
      </w:pPr>
      <w:r w:rsidRPr="00C16BF8">
        <w:t xml:space="preserve">Substitution of </w:t>
      </w:r>
      <w:r w:rsidR="00877F69">
        <w:rPr>
          <w:lang w:val="en-US"/>
        </w:rPr>
        <w:t>oxalic acid</w:t>
      </w:r>
      <w:r w:rsidRPr="00C16BF8">
        <w:t xml:space="preserve"> actual modeling for an approximated chemical process sourced directly from the ecoinvent database</w:t>
      </w:r>
      <w:r w:rsidR="00E054EC">
        <w:rPr>
          <w:lang w:val="en-US"/>
        </w:rPr>
        <w:t>;</w:t>
      </w:r>
    </w:p>
    <w:p w14:paraId="431524A6" w14:textId="289F39C5" w:rsidR="00222063" w:rsidRPr="00417DD2" w:rsidRDefault="00222063" w:rsidP="00417DD2">
      <w:pPr>
        <w:pStyle w:val="ListParagraph"/>
        <w:numPr>
          <w:ilvl w:val="0"/>
          <w:numId w:val="27"/>
        </w:numPr>
        <w:rPr>
          <w:lang w:val="en-US"/>
        </w:rPr>
      </w:pPr>
      <w:r w:rsidRPr="00C16BF8">
        <w:t>Alternative form for dealing with the multifunctional process</w:t>
      </w:r>
      <w:r w:rsidR="00D63075">
        <w:rPr>
          <w:lang w:val="en-US"/>
        </w:rPr>
        <w:t>;</w:t>
      </w:r>
    </w:p>
    <w:p w14:paraId="51171BB6" w14:textId="384727CE" w:rsidR="00417DD2" w:rsidRPr="00417DD2" w:rsidRDefault="00417DD2" w:rsidP="00417DD2">
      <w:pPr>
        <w:pStyle w:val="ListParagraph"/>
        <w:numPr>
          <w:ilvl w:val="0"/>
          <w:numId w:val="27"/>
        </w:numPr>
        <w:rPr>
          <w:lang w:val="en-US"/>
        </w:rPr>
      </w:pPr>
      <w:r>
        <w:rPr>
          <w:lang w:val="en-US"/>
        </w:rPr>
        <w:t>Alternative</w:t>
      </w:r>
      <w:r w:rsidR="00890572">
        <w:rPr>
          <w:lang w:val="en-US"/>
        </w:rPr>
        <w:t xml:space="preserve"> </w:t>
      </w:r>
      <w:r>
        <w:rPr>
          <w:lang w:val="en-US"/>
        </w:rPr>
        <w:t>price approach for economic allocation.</w:t>
      </w:r>
    </w:p>
    <w:p w14:paraId="1D2BC42E" w14:textId="5FDB5192" w:rsidR="00222063" w:rsidRDefault="00222063" w:rsidP="00222063"/>
    <w:p w14:paraId="7BD527E0" w14:textId="0FFE0F10" w:rsidR="00417DD2" w:rsidRPr="00417DD2" w:rsidRDefault="00417DD2" w:rsidP="00222063">
      <w:pPr>
        <w:rPr>
          <w:lang w:val="en-US"/>
        </w:rPr>
      </w:pPr>
      <w:r>
        <w:rPr>
          <w:lang w:val="en-US"/>
        </w:rPr>
        <w:t xml:space="preserve">The first two tests are proposed concerning both the result of the </w:t>
      </w:r>
      <w:r w:rsidRPr="00C16BF8">
        <w:t>contribution analysis</w:t>
      </w:r>
      <w:r>
        <w:rPr>
          <w:lang w:val="en-US"/>
        </w:rPr>
        <w:t xml:space="preserve"> and</w:t>
      </w:r>
      <w:r w:rsidR="0001721E">
        <w:rPr>
          <w:lang w:val="en-US"/>
        </w:rPr>
        <w:t xml:space="preserve"> the use of a non </w:t>
      </w:r>
      <w:proofErr w:type="spellStart"/>
      <w:r w:rsidR="0001721E">
        <w:rPr>
          <w:lang w:val="en-US"/>
        </w:rPr>
        <w:t>ecoinvent</w:t>
      </w:r>
      <w:proofErr w:type="spellEnd"/>
      <w:r w:rsidR="0001721E">
        <w:rPr>
          <w:lang w:val="en-US"/>
        </w:rPr>
        <w:t xml:space="preserve"> </w:t>
      </w:r>
      <w:r w:rsidR="00F027D9">
        <w:rPr>
          <w:lang w:val="en-US"/>
        </w:rPr>
        <w:t>LCI dataset for</w:t>
      </w:r>
      <w:r w:rsidR="00933C7C">
        <w:rPr>
          <w:lang w:val="en-US"/>
        </w:rPr>
        <w:t xml:space="preserve"> </w:t>
      </w:r>
      <w:r w:rsidR="0001721E">
        <w:rPr>
          <w:lang w:val="en-US"/>
        </w:rPr>
        <w:t>oxalic acid production.</w:t>
      </w:r>
      <w:r w:rsidR="00933C7C">
        <w:rPr>
          <w:lang w:val="en-US"/>
        </w:rPr>
        <w:t xml:space="preserve"> Finally, t</w:t>
      </w:r>
      <w:r w:rsidR="0001721E">
        <w:rPr>
          <w:lang w:val="en-US"/>
        </w:rPr>
        <w:t xml:space="preserve">he last two tests are proposed </w:t>
      </w:r>
      <w:r w:rsidR="00F027D9">
        <w:rPr>
          <w:lang w:val="en-US"/>
        </w:rPr>
        <w:t xml:space="preserve">concerning </w:t>
      </w:r>
      <w:r w:rsidR="0001721E">
        <w:rPr>
          <w:lang w:val="en-US"/>
        </w:rPr>
        <w:t>the</w:t>
      </w:r>
      <w:r w:rsidR="00E84D1E">
        <w:rPr>
          <w:lang w:val="en-US"/>
        </w:rPr>
        <w:t xml:space="preserve"> </w:t>
      </w:r>
      <w:r w:rsidR="00AD4DBF">
        <w:rPr>
          <w:lang w:val="en-US"/>
        </w:rPr>
        <w:t xml:space="preserve">assumptions </w:t>
      </w:r>
      <w:r w:rsidR="00E84D1E">
        <w:rPr>
          <w:lang w:val="en-US"/>
        </w:rPr>
        <w:t xml:space="preserve">used </w:t>
      </w:r>
      <w:r w:rsidR="00AD4DBF">
        <w:rPr>
          <w:lang w:val="en-US"/>
        </w:rPr>
        <w:t>to perform the</w:t>
      </w:r>
      <w:r w:rsidR="0001721E">
        <w:rPr>
          <w:lang w:val="en-US"/>
        </w:rPr>
        <w:t xml:space="preserve"> economic allocation</w:t>
      </w:r>
      <w:r w:rsidR="00E84D1E">
        <w:rPr>
          <w:lang w:val="en-US"/>
        </w:rPr>
        <w:t xml:space="preserve"> at such</w:t>
      </w:r>
      <w:r w:rsidR="00933C7C">
        <w:rPr>
          <w:lang w:val="en-US"/>
        </w:rPr>
        <w:t xml:space="preserve"> an</w:t>
      </w:r>
      <w:r w:rsidR="00E84D1E">
        <w:rPr>
          <w:lang w:val="en-US"/>
        </w:rPr>
        <w:t xml:space="preserve"> ex-ante stage</w:t>
      </w:r>
      <w:r w:rsidR="00AD4DBF">
        <w:rPr>
          <w:lang w:val="en-US"/>
        </w:rPr>
        <w:t>.</w:t>
      </w:r>
    </w:p>
    <w:p w14:paraId="631B9561" w14:textId="77777777" w:rsidR="00FE330C" w:rsidRPr="00FE330C" w:rsidRDefault="00FE330C" w:rsidP="00FE330C"/>
    <w:p w14:paraId="3B6AF636" w14:textId="0B965CFB" w:rsidR="00A67336" w:rsidRDefault="00D63075" w:rsidP="00222063">
      <w:pPr>
        <w:rPr>
          <w:lang w:val="en-US"/>
        </w:rPr>
      </w:pPr>
      <w:r>
        <w:rPr>
          <w:lang w:val="en-US"/>
        </w:rPr>
        <w:t xml:space="preserve">For the first test, </w:t>
      </w:r>
      <w:r w:rsidR="00222063" w:rsidRPr="00C16BF8">
        <w:t xml:space="preserve">the regeneration of oxalic acid, it is modeled that the excess of this reagent is regenerated (refer to </w:t>
      </w:r>
      <w:r w:rsidR="005A6AE2" w:rsidRPr="00C16BF8">
        <w:fldChar w:fldCharType="begin"/>
      </w:r>
      <w:r w:rsidR="005A6AE2" w:rsidRPr="00C16BF8">
        <w:instrText xml:space="preserve"> REF _Ref74849615 \w \h </w:instrText>
      </w:r>
      <w:r w:rsidR="005A6AE2" w:rsidRPr="00C16BF8">
        <w:fldChar w:fldCharType="separate"/>
      </w:r>
      <w:r w:rsidR="005A6AE2" w:rsidRPr="00C16BF8">
        <w:rPr>
          <w:lang w:val="en-US"/>
        </w:rPr>
        <w:t>a</w:t>
      </w:r>
      <w:r w:rsidR="005A6AE2" w:rsidRPr="00C16BF8">
        <w:t>ppendix A</w:t>
      </w:r>
      <w:r w:rsidR="005A6AE2" w:rsidRPr="00C16BF8">
        <w:fldChar w:fldCharType="end"/>
      </w:r>
      <w:r w:rsidR="00222063" w:rsidRPr="00C16BF8">
        <w:t>). For that, it is assumed that all iron precipitates and leaves the system in</w:t>
      </w:r>
      <w:r w:rsidR="006D7985">
        <w:rPr>
          <w:lang w:val="en-US"/>
        </w:rPr>
        <w:t xml:space="preserve"> </w:t>
      </w:r>
      <w:r w:rsidR="008A7EE2" w:rsidRPr="00C16BF8">
        <w:rPr>
          <w:lang w:val="en-US"/>
        </w:rPr>
        <w:t>f</w:t>
      </w:r>
      <w:r w:rsidR="00222063" w:rsidRPr="00C16BF8">
        <w:t>iltration 1’s cake</w:t>
      </w:r>
      <w:r w:rsidR="00BA7488">
        <w:rPr>
          <w:lang w:val="en-US"/>
        </w:rPr>
        <w:t>, so less impurities remains in the system reducing the consumption of oxalic acid</w:t>
      </w:r>
      <w:r w:rsidR="00222063" w:rsidRPr="00C16BF8">
        <w:t xml:space="preserve">. </w:t>
      </w:r>
      <w:r w:rsidR="00E84F00">
        <w:rPr>
          <w:lang w:val="en-US"/>
        </w:rPr>
        <w:t xml:space="preserve">Refer to </w:t>
      </w:r>
      <w:r w:rsidR="00E84F00">
        <w:rPr>
          <w:lang w:val="en-US"/>
        </w:rPr>
        <w:fldChar w:fldCharType="begin"/>
      </w:r>
      <w:r w:rsidR="00E84F00">
        <w:rPr>
          <w:lang w:val="en-US"/>
        </w:rPr>
        <w:instrText xml:space="preserve"> REF _Ref74913424 \w \h </w:instrText>
      </w:r>
      <w:r w:rsidR="00E84F00">
        <w:rPr>
          <w:lang w:val="en-US"/>
        </w:rPr>
      </w:r>
      <w:r w:rsidR="00E84F00">
        <w:rPr>
          <w:lang w:val="en-US"/>
        </w:rPr>
        <w:fldChar w:fldCharType="separate"/>
      </w:r>
      <w:r w:rsidR="00E84F00">
        <w:rPr>
          <w:lang w:val="en-US"/>
        </w:rPr>
        <w:t>appendix E</w:t>
      </w:r>
      <w:r w:rsidR="00E84F00">
        <w:rPr>
          <w:lang w:val="en-US"/>
        </w:rPr>
        <w:fldChar w:fldCharType="end"/>
      </w:r>
      <w:r w:rsidR="00E84F00">
        <w:rPr>
          <w:lang w:val="en-US"/>
        </w:rPr>
        <w:t xml:space="preserve"> for t</w:t>
      </w:r>
      <w:r w:rsidR="00222063" w:rsidRPr="00C16BF8">
        <w:t>he product system flowchart</w:t>
      </w:r>
      <w:r w:rsidR="00E054EC">
        <w:rPr>
          <w:lang w:val="en-US"/>
        </w:rPr>
        <w:t xml:space="preserve"> depicting the</w:t>
      </w:r>
      <w:r w:rsidR="00222063" w:rsidRPr="00C16BF8">
        <w:t xml:space="preserve"> regeneration of oxalic acid</w:t>
      </w:r>
      <w:r w:rsidR="00E84F00">
        <w:rPr>
          <w:lang w:val="en-US"/>
        </w:rPr>
        <w:t>.</w:t>
      </w:r>
    </w:p>
    <w:p w14:paraId="3828E279" w14:textId="138505B1" w:rsidR="00E054EC" w:rsidRDefault="00E054EC" w:rsidP="00222063">
      <w:pPr>
        <w:rPr>
          <w:lang w:val="en-US"/>
        </w:rPr>
      </w:pPr>
    </w:p>
    <w:p w14:paraId="71380095" w14:textId="0D3C980C" w:rsidR="00E054EC" w:rsidRDefault="00D63075" w:rsidP="00222063">
      <w:pPr>
        <w:rPr>
          <w:lang w:val="en-US"/>
        </w:rPr>
      </w:pPr>
      <w:r>
        <w:rPr>
          <w:lang w:val="en-US"/>
        </w:rPr>
        <w:t>For the second test, t</w:t>
      </w:r>
      <w:r w:rsidR="00E054EC">
        <w:rPr>
          <w:lang w:val="en-US"/>
        </w:rPr>
        <w:t>he LCI dataset for oxalic acid production is substituted to a general LCI dataset</w:t>
      </w:r>
      <w:r w:rsidR="006D7985">
        <w:rPr>
          <w:lang w:val="en-US"/>
        </w:rPr>
        <w:t xml:space="preserve"> to produce </w:t>
      </w:r>
      <w:r w:rsidR="00E054EC">
        <w:rPr>
          <w:lang w:val="en-US"/>
        </w:rPr>
        <w:t>organic chemical</w:t>
      </w:r>
      <w:r w:rsidR="002D40A9">
        <w:rPr>
          <w:lang w:val="en-US"/>
        </w:rPr>
        <w:t>s,</w:t>
      </w:r>
      <w:r w:rsidR="00E054EC">
        <w:rPr>
          <w:lang w:val="en-US"/>
        </w:rPr>
        <w:t xml:space="preserve"> available in the </w:t>
      </w:r>
      <w:proofErr w:type="spellStart"/>
      <w:r w:rsidR="00E054EC">
        <w:rPr>
          <w:lang w:val="en-US"/>
        </w:rPr>
        <w:t>ecoinvent</w:t>
      </w:r>
      <w:proofErr w:type="spellEnd"/>
      <w:r w:rsidR="00E054EC">
        <w:rPr>
          <w:lang w:val="en-US"/>
        </w:rPr>
        <w:t xml:space="preserve"> database</w:t>
      </w:r>
      <w:r w:rsidR="002D40A9">
        <w:rPr>
          <w:lang w:val="en-US"/>
        </w:rPr>
        <w:t xml:space="preserve"> </w:t>
      </w:r>
      <w:r w:rsidR="002D40A9" w:rsidRPr="00C16BF8">
        <w:t>(“chemical</w:t>
      </w:r>
      <w:r w:rsidR="002D40A9" w:rsidRPr="00417DD2">
        <w:rPr>
          <w:lang w:val="en-US"/>
        </w:rPr>
        <w:t xml:space="preserve"> production</w:t>
      </w:r>
      <w:r w:rsidR="002D40A9" w:rsidRPr="00C16BF8">
        <w:t>, organic”)</w:t>
      </w:r>
      <w:r w:rsidR="002D40A9">
        <w:rPr>
          <w:lang w:val="en-US"/>
        </w:rPr>
        <w:t>.</w:t>
      </w:r>
    </w:p>
    <w:p w14:paraId="1AA9EC42" w14:textId="4FACD08C" w:rsidR="00D63075" w:rsidRDefault="00D63075" w:rsidP="00222063">
      <w:pPr>
        <w:rPr>
          <w:lang w:val="en-US"/>
        </w:rPr>
      </w:pPr>
    </w:p>
    <w:p w14:paraId="3F101ACD" w14:textId="1EE21F8E" w:rsidR="007A70E3" w:rsidRDefault="00D63075" w:rsidP="00222063">
      <w:pPr>
        <w:rPr>
          <w:lang w:val="en-US"/>
        </w:rPr>
      </w:pPr>
      <w:r>
        <w:rPr>
          <w:lang w:val="en-US"/>
        </w:rPr>
        <w:t xml:space="preserve">For the third test, physical allocation (mass allocation) is applied </w:t>
      </w:r>
      <w:r w:rsidR="0035006A">
        <w:rPr>
          <w:lang w:val="en-US"/>
        </w:rPr>
        <w:t>since</w:t>
      </w:r>
      <w:r>
        <w:rPr>
          <w:lang w:val="en-US"/>
        </w:rPr>
        <w:t xml:space="preserve"> system expansion is impossible. </w:t>
      </w:r>
    </w:p>
    <w:p w14:paraId="63E13ECF" w14:textId="77777777" w:rsidR="001F5C66" w:rsidRPr="001F5C66" w:rsidRDefault="001F5C66" w:rsidP="00222063">
      <w:pPr>
        <w:rPr>
          <w:lang w:val="en-US"/>
        </w:rPr>
      </w:pPr>
    </w:p>
    <w:p w14:paraId="235DFCFA" w14:textId="77777777" w:rsidR="001F5C66" w:rsidRDefault="001F5C66" w:rsidP="001F5C66">
      <w:pPr>
        <w:rPr>
          <w:lang w:val="en-US"/>
        </w:rPr>
      </w:pPr>
      <w:r w:rsidRPr="001F5C66">
        <w:rPr>
          <w:lang w:val="en-US"/>
        </w:rPr>
        <w:lastRenderedPageBreak/>
        <w:t>For the fourth test, two approaches are evaluated. In one, the price of the good is assumed as the same price of the cheapest elemental component of the compound good. On the other, the opposite, the price is assumed as the price of the most expensive elemental component.</w:t>
      </w:r>
    </w:p>
    <w:p w14:paraId="0B31BBDF" w14:textId="77777777" w:rsidR="0046021B" w:rsidRDefault="0046021B" w:rsidP="001C17D0">
      <w:pPr>
        <w:rPr>
          <w:lang w:val="en-US"/>
        </w:rPr>
      </w:pPr>
    </w:p>
    <w:p w14:paraId="17D959DF" w14:textId="4CD10ECD" w:rsidR="001C17D0" w:rsidRPr="00E249CA" w:rsidRDefault="00764300" w:rsidP="001C17D0">
      <w:pPr>
        <w:rPr>
          <w:lang w:val="en-US"/>
        </w:rPr>
      </w:pPr>
      <w:r>
        <w:rPr>
          <w:lang w:val="en-US"/>
        </w:rPr>
        <w:t xml:space="preserve">Figure </w:t>
      </w:r>
      <w:r w:rsidR="00917D2B">
        <w:rPr>
          <w:lang w:val="en-US"/>
        </w:rPr>
        <w:t>4</w:t>
      </w:r>
      <w:r w:rsidR="00F03AC5">
        <w:rPr>
          <w:lang w:val="en-US"/>
        </w:rPr>
        <w:t>.</w:t>
      </w:r>
      <w:r w:rsidR="00F859FC">
        <w:rPr>
          <w:lang w:val="en-US"/>
        </w:rPr>
        <w:t>6</w:t>
      </w:r>
      <w:r>
        <w:rPr>
          <w:lang w:val="en-US"/>
        </w:rPr>
        <w:t xml:space="preserve"> </w:t>
      </w:r>
      <w:r w:rsidR="001C17D0" w:rsidRPr="00E249CA">
        <w:rPr>
          <w:lang w:val="en-US"/>
        </w:rPr>
        <w:t>compar</w:t>
      </w:r>
      <w:r>
        <w:rPr>
          <w:lang w:val="en-US"/>
        </w:rPr>
        <w:t>es</w:t>
      </w:r>
      <w:r w:rsidR="001C17D0" w:rsidRPr="00E249CA">
        <w:rPr>
          <w:lang w:val="en-US"/>
        </w:rPr>
        <w:t xml:space="preserve"> the</w:t>
      </w:r>
      <w:r w:rsidR="00885455">
        <w:rPr>
          <w:lang w:val="en-US"/>
        </w:rPr>
        <w:t xml:space="preserve"> first </w:t>
      </w:r>
      <w:r w:rsidR="001C17D0" w:rsidRPr="00E249CA">
        <w:rPr>
          <w:lang w:val="en-US"/>
        </w:rPr>
        <w:t>three sensitivity tests with the original system</w:t>
      </w:r>
      <w:r w:rsidR="00564FC9">
        <w:rPr>
          <w:lang w:val="en-US"/>
        </w:rPr>
        <w:t>. The results are relative to the largest.</w:t>
      </w:r>
    </w:p>
    <w:p w14:paraId="5EED880D" w14:textId="4C6B91B3" w:rsidR="00946CD5" w:rsidRDefault="00946CD5" w:rsidP="009A215A">
      <w:pPr>
        <w:rPr>
          <w:lang w:val="en-US"/>
        </w:rPr>
      </w:pPr>
    </w:p>
    <w:p w14:paraId="7659630A" w14:textId="18C2081C" w:rsidR="00764300" w:rsidRDefault="00764300" w:rsidP="00764300">
      <w:pPr>
        <w:rPr>
          <w:lang w:val="en-US"/>
        </w:rPr>
      </w:pPr>
      <w:r w:rsidRPr="007E62E9">
        <w:rPr>
          <w:lang w:val="en-US"/>
        </w:rPr>
        <w:t>Table</w:t>
      </w:r>
      <w:r w:rsidR="002B4552">
        <w:rPr>
          <w:lang w:val="en-US"/>
        </w:rPr>
        <w:t>s</w:t>
      </w:r>
      <w:r w:rsidRPr="007E62E9">
        <w:rPr>
          <w:lang w:val="en-US"/>
        </w:rPr>
        <w:t xml:space="preserve"> </w:t>
      </w:r>
      <w:r w:rsidR="007E62E9" w:rsidRPr="007E62E9">
        <w:rPr>
          <w:lang w:val="en-US"/>
        </w:rPr>
        <w:t>E.3</w:t>
      </w:r>
      <w:r w:rsidRPr="007E62E9">
        <w:rPr>
          <w:lang w:val="en-US"/>
        </w:rPr>
        <w:t xml:space="preserve">, </w:t>
      </w:r>
      <w:r w:rsidR="007E62E9" w:rsidRPr="007E62E9">
        <w:rPr>
          <w:lang w:val="en-US"/>
        </w:rPr>
        <w:t>E.4</w:t>
      </w:r>
      <w:r w:rsidRPr="007E62E9">
        <w:rPr>
          <w:lang w:val="en-US"/>
        </w:rPr>
        <w:t>,</w:t>
      </w:r>
      <w:r w:rsidR="007E62E9">
        <w:rPr>
          <w:lang w:val="en-US"/>
        </w:rPr>
        <w:t xml:space="preserve"> and</w:t>
      </w:r>
      <w:r w:rsidRPr="007E62E9">
        <w:rPr>
          <w:lang w:val="en-US"/>
        </w:rPr>
        <w:t xml:space="preserve"> </w:t>
      </w:r>
      <w:r w:rsidR="007E62E9" w:rsidRPr="007E62E9">
        <w:rPr>
          <w:lang w:val="en-US"/>
        </w:rPr>
        <w:t>E.5</w:t>
      </w:r>
      <w:r w:rsidR="007E62E9">
        <w:rPr>
          <w:lang w:val="en-US"/>
        </w:rPr>
        <w:t xml:space="preserve"> </w:t>
      </w:r>
      <w:r>
        <w:rPr>
          <w:lang w:val="en-US"/>
        </w:rPr>
        <w:t xml:space="preserve">in </w:t>
      </w:r>
      <w:r w:rsidR="00BF56F8">
        <w:rPr>
          <w:lang w:val="en-US"/>
        </w:rPr>
        <w:fldChar w:fldCharType="begin"/>
      </w:r>
      <w:r w:rsidR="00BF56F8">
        <w:rPr>
          <w:lang w:val="en-US"/>
        </w:rPr>
        <w:instrText xml:space="preserve"> REF _Ref74913424 \w \h </w:instrText>
      </w:r>
      <w:r w:rsidR="00BF56F8">
        <w:rPr>
          <w:lang w:val="en-US"/>
        </w:rPr>
      </w:r>
      <w:r w:rsidR="00BF56F8">
        <w:rPr>
          <w:lang w:val="en-US"/>
        </w:rPr>
        <w:fldChar w:fldCharType="separate"/>
      </w:r>
      <w:r w:rsidR="00BF56F8">
        <w:rPr>
          <w:lang w:val="en-US"/>
        </w:rPr>
        <w:t>appendix E</w:t>
      </w:r>
      <w:r w:rsidR="00BF56F8">
        <w:rPr>
          <w:lang w:val="en-US"/>
        </w:rPr>
        <w:fldChar w:fldCharType="end"/>
      </w:r>
      <w:r w:rsidR="00BF56F8">
        <w:rPr>
          <w:lang w:val="en-US"/>
        </w:rPr>
        <w:t xml:space="preserve"> list the percentage </w:t>
      </w:r>
      <w:r w:rsidR="00A511B2">
        <w:rPr>
          <w:lang w:val="en-US"/>
        </w:rPr>
        <w:t>change</w:t>
      </w:r>
      <w:r w:rsidR="00BF56F8">
        <w:rPr>
          <w:lang w:val="en-US"/>
        </w:rPr>
        <w:t xml:space="preserve"> to each sensitivity test. </w:t>
      </w:r>
    </w:p>
    <w:p w14:paraId="0255F6BE" w14:textId="77777777" w:rsidR="00D83DB4" w:rsidRPr="00E249CA" w:rsidRDefault="00D83DB4" w:rsidP="00764300">
      <w:pPr>
        <w:rPr>
          <w:lang w:val="en-US"/>
        </w:rPr>
      </w:pPr>
    </w:p>
    <w:p w14:paraId="4AAA8DC7" w14:textId="385064FD" w:rsidR="00A2692D" w:rsidRDefault="00BC00FB" w:rsidP="00A2692D">
      <w:pPr>
        <w:rPr>
          <w:lang w:val="en-US"/>
        </w:rPr>
      </w:pPr>
      <w:r>
        <w:rPr>
          <w:noProof/>
          <w:lang w:val="en-US"/>
        </w:rPr>
        <w:drawing>
          <wp:inline distT="0" distB="0" distL="0" distR="0" wp14:anchorId="6A70D278" wp14:editId="2A026102">
            <wp:extent cx="5759450" cy="3289935"/>
            <wp:effectExtent l="0" t="0" r="635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289935"/>
                    </a:xfrm>
                    <a:prstGeom prst="rect">
                      <a:avLst/>
                    </a:prstGeom>
                  </pic:spPr>
                </pic:pic>
              </a:graphicData>
            </a:graphic>
          </wp:inline>
        </w:drawing>
      </w:r>
    </w:p>
    <w:p w14:paraId="0C0DE67C" w14:textId="605B1376" w:rsidR="00A2692D" w:rsidRDefault="001E2D90" w:rsidP="00657A73">
      <w:pPr>
        <w:pStyle w:val="Caption"/>
        <w:rPr>
          <w:lang w:val="en-US"/>
        </w:rPr>
      </w:pPr>
      <w:r>
        <w:rPr>
          <w:lang w:val="en-US"/>
        </w:rPr>
        <w:t xml:space="preserve">Figure </w:t>
      </w:r>
      <w:r w:rsidR="00917D2B">
        <w:rPr>
          <w:lang w:val="en-US"/>
        </w:rPr>
        <w:t>4</w:t>
      </w:r>
      <w:r>
        <w:rPr>
          <w:lang w:val="en-US"/>
        </w:rPr>
        <w:t>.</w:t>
      </w:r>
      <w:r w:rsidR="00F859FC">
        <w:rPr>
          <w:lang w:val="en-US"/>
        </w:rPr>
        <w:t>6</w:t>
      </w:r>
      <w:r>
        <w:rPr>
          <w:lang w:val="en-US"/>
        </w:rPr>
        <w:t xml:space="preserve"> Sensitivity analysis, comparing environmental performance of sensitivity cases vs. original system. Results are relative to the largest. Source: author’s image.</w:t>
      </w:r>
    </w:p>
    <w:p w14:paraId="25B7FA16" w14:textId="69759B5C" w:rsidR="00A2692D" w:rsidRDefault="0006745A" w:rsidP="00CF1FC5">
      <w:pPr>
        <w:rPr>
          <w:lang w:val="en-US"/>
        </w:rPr>
      </w:pPr>
      <w:r w:rsidRPr="0006745A">
        <w:rPr>
          <w:lang w:val="en-US"/>
        </w:rPr>
        <w:t xml:space="preserve">Figure </w:t>
      </w:r>
      <w:r w:rsidR="00917D2B">
        <w:rPr>
          <w:lang w:val="en-US"/>
        </w:rPr>
        <w:t>4</w:t>
      </w:r>
      <w:r w:rsidR="00F03AC5">
        <w:rPr>
          <w:lang w:val="en-US"/>
        </w:rPr>
        <w:t>.</w:t>
      </w:r>
      <w:r w:rsidR="00F859FC">
        <w:rPr>
          <w:lang w:val="en-US"/>
        </w:rPr>
        <w:t>6</w:t>
      </w:r>
      <w:r w:rsidRPr="0006745A">
        <w:rPr>
          <w:lang w:val="en-US"/>
        </w:rPr>
        <w:t xml:space="preserve"> shows that all sensitivity tests yield a product system more environmentally friendly than the original model in all impact categories. The test for “Oxalic acid regeneration” and “Chemical production organic” yield more significant drops in the performance of impact categories where oxalic acid is the major contributor: freshwater and terrestrial acidification, marine eutrophication, terrestrial eutrophication, and photochemical ozone creation. The test for “Allocation by mass” yields more even drops across impact categories. It remarkably provides better performance than “Oxalic acid regeneration” even in impact categories where oxalic acid is a major contributor. The same does not apply to “Chemical production organic.”</w:t>
      </w:r>
    </w:p>
    <w:p w14:paraId="5FD5FE53" w14:textId="2F8A9131" w:rsidR="00F44471" w:rsidRDefault="00F44471" w:rsidP="00CF1FC5">
      <w:pPr>
        <w:rPr>
          <w:lang w:val="en-US"/>
        </w:rPr>
      </w:pPr>
    </w:p>
    <w:p w14:paraId="71F0D2E0" w14:textId="1C2A9EAB" w:rsidR="00F44471" w:rsidRDefault="00F44471" w:rsidP="00CF1FC5">
      <w:pPr>
        <w:rPr>
          <w:lang w:val="en-US"/>
        </w:rPr>
      </w:pPr>
      <w:r>
        <w:rPr>
          <w:lang w:val="en-US"/>
        </w:rPr>
        <w:lastRenderedPageBreak/>
        <w:t>Figure 4.7 depicts the last sensitivity test on alternative price approaches</w:t>
      </w:r>
      <w:r w:rsidR="0031425B">
        <w:rPr>
          <w:lang w:val="en-US"/>
        </w:rPr>
        <w:t>,</w:t>
      </w:r>
      <w:r w:rsidR="001E72EE">
        <w:rPr>
          <w:lang w:val="en-US"/>
        </w:rPr>
        <w:t xml:space="preserve"> and </w:t>
      </w:r>
      <w:r w:rsidR="00156B1F">
        <w:rPr>
          <w:lang w:val="en-US"/>
        </w:rPr>
        <w:t xml:space="preserve">it </w:t>
      </w:r>
      <w:r w:rsidR="001E72EE">
        <w:rPr>
          <w:lang w:val="en-US"/>
        </w:rPr>
        <w:t>compare</w:t>
      </w:r>
      <w:r w:rsidR="00156B1F">
        <w:rPr>
          <w:lang w:val="en-US"/>
        </w:rPr>
        <w:t>s</w:t>
      </w:r>
      <w:r w:rsidR="001E72EE">
        <w:rPr>
          <w:lang w:val="en-US"/>
        </w:rPr>
        <w:t xml:space="preserve"> </w:t>
      </w:r>
      <w:r w:rsidR="0031425B">
        <w:rPr>
          <w:lang w:val="en-US"/>
        </w:rPr>
        <w:t xml:space="preserve">the results </w:t>
      </w:r>
      <w:r w:rsidR="001E72EE">
        <w:rPr>
          <w:lang w:val="en-US"/>
        </w:rPr>
        <w:t>with the original method.</w:t>
      </w:r>
    </w:p>
    <w:p w14:paraId="2241B8B2" w14:textId="77777777" w:rsidR="00113AF0" w:rsidRDefault="00113AF0" w:rsidP="00113AF0">
      <w:pPr>
        <w:rPr>
          <w:lang w:val="en-US"/>
        </w:rPr>
      </w:pPr>
    </w:p>
    <w:p w14:paraId="2A15C74F" w14:textId="5EEBCFAE" w:rsidR="00113AF0" w:rsidRDefault="00113AF0" w:rsidP="00CF1FC5">
      <w:pPr>
        <w:rPr>
          <w:lang w:val="en-US"/>
        </w:rPr>
      </w:pPr>
      <w:r w:rsidRPr="007E62E9">
        <w:rPr>
          <w:lang w:val="en-US"/>
        </w:rPr>
        <w:t>Table</w:t>
      </w:r>
      <w:r>
        <w:rPr>
          <w:lang w:val="en-US"/>
        </w:rPr>
        <w:t>s</w:t>
      </w:r>
      <w:r w:rsidRPr="007E62E9">
        <w:rPr>
          <w:lang w:val="en-US"/>
        </w:rPr>
        <w:t xml:space="preserve"> E.</w:t>
      </w:r>
      <w:r>
        <w:rPr>
          <w:lang w:val="en-US"/>
        </w:rPr>
        <w:t xml:space="preserve">6 and E.7 in </w:t>
      </w:r>
      <w:r w:rsidR="00C555C1">
        <w:rPr>
          <w:lang w:val="en-US"/>
        </w:rPr>
        <w:fldChar w:fldCharType="begin"/>
      </w:r>
      <w:r w:rsidR="00C555C1">
        <w:rPr>
          <w:lang w:val="en-US"/>
        </w:rPr>
        <w:instrText xml:space="preserve"> REF _Ref74913424 \w \h </w:instrText>
      </w:r>
      <w:r w:rsidR="00C555C1">
        <w:rPr>
          <w:lang w:val="en-US"/>
        </w:rPr>
      </w:r>
      <w:r w:rsidR="00C555C1">
        <w:rPr>
          <w:lang w:val="en-US"/>
        </w:rPr>
        <w:fldChar w:fldCharType="separate"/>
      </w:r>
      <w:r w:rsidR="00C555C1">
        <w:rPr>
          <w:lang w:val="en-US"/>
        </w:rPr>
        <w:t>appendix E</w:t>
      </w:r>
      <w:r w:rsidR="00C555C1">
        <w:rPr>
          <w:lang w:val="en-US"/>
        </w:rPr>
        <w:fldChar w:fldCharType="end"/>
      </w:r>
      <w:r>
        <w:rPr>
          <w:lang w:val="en-US"/>
        </w:rPr>
        <w:t xml:space="preserve"> list the percentage change to each </w:t>
      </w:r>
      <w:r w:rsidR="00C42C2B">
        <w:rPr>
          <w:lang w:val="en-US"/>
        </w:rPr>
        <w:t>alternative price approach</w:t>
      </w:r>
      <w:r w:rsidR="005A4C83">
        <w:rPr>
          <w:lang w:val="en-US"/>
        </w:rPr>
        <w:t xml:space="preserve"> sensitivity test</w:t>
      </w:r>
      <w:r>
        <w:rPr>
          <w:lang w:val="en-US"/>
        </w:rPr>
        <w:t>.</w:t>
      </w:r>
    </w:p>
    <w:p w14:paraId="0BED9127" w14:textId="33E6483B" w:rsidR="003F1009" w:rsidRDefault="003F1009" w:rsidP="00CF1FC5">
      <w:pPr>
        <w:rPr>
          <w:lang w:val="en-US"/>
        </w:rPr>
      </w:pPr>
    </w:p>
    <w:p w14:paraId="246DC8B7" w14:textId="1625E4DF" w:rsidR="003F1009" w:rsidRDefault="003C3CBE" w:rsidP="003C3CBE">
      <w:pPr>
        <w:jc w:val="center"/>
        <w:rPr>
          <w:lang w:val="en-US"/>
        </w:rPr>
      </w:pPr>
      <w:r w:rsidRPr="003C3CBE">
        <w:rPr>
          <w:noProof/>
        </w:rPr>
        <w:drawing>
          <wp:inline distT="0" distB="0" distL="0" distR="0" wp14:anchorId="46CA0478" wp14:editId="7ADB6547">
            <wp:extent cx="6188400" cy="3420000"/>
            <wp:effectExtent l="0" t="0" r="0" b="0"/>
            <wp:docPr id="13" name="Picture 6" descr="Chart&#10;&#10;Description automatically generated">
              <a:extLst xmlns:a="http://schemas.openxmlformats.org/drawingml/2006/main">
                <a:ext uri="{FF2B5EF4-FFF2-40B4-BE49-F238E27FC236}">
                  <a16:creationId xmlns:a16="http://schemas.microsoft.com/office/drawing/2014/main" id="{65723F8D-00A7-8246-BE9C-C98745760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65723F8D-00A7-8246-BE9C-C9874576041B}"/>
                        </a:ext>
                      </a:extLst>
                    </pic:cNvPr>
                    <pic:cNvPicPr>
                      <a:picLocks noChangeAspect="1"/>
                    </pic:cNvPicPr>
                  </pic:nvPicPr>
                  <pic:blipFill>
                    <a:blip r:embed="rId27"/>
                    <a:stretch>
                      <a:fillRect/>
                    </a:stretch>
                  </pic:blipFill>
                  <pic:spPr>
                    <a:xfrm>
                      <a:off x="0" y="0"/>
                      <a:ext cx="6188400" cy="3420000"/>
                    </a:xfrm>
                    <a:prstGeom prst="rect">
                      <a:avLst/>
                    </a:prstGeom>
                  </pic:spPr>
                </pic:pic>
              </a:graphicData>
            </a:graphic>
          </wp:inline>
        </w:drawing>
      </w:r>
    </w:p>
    <w:p w14:paraId="30AEF388" w14:textId="67B7A44B" w:rsidR="003F1009" w:rsidRDefault="003F1009" w:rsidP="003F1009">
      <w:pPr>
        <w:pStyle w:val="Caption"/>
        <w:rPr>
          <w:lang w:val="en-US"/>
        </w:rPr>
      </w:pPr>
      <w:r>
        <w:rPr>
          <w:lang w:val="en-US"/>
        </w:rPr>
        <w:t xml:space="preserve">Figure </w:t>
      </w:r>
      <w:r w:rsidR="00917D2B">
        <w:rPr>
          <w:lang w:val="en-US"/>
        </w:rPr>
        <w:t>4</w:t>
      </w:r>
      <w:r>
        <w:rPr>
          <w:lang w:val="en-US"/>
        </w:rPr>
        <w:t>.7 Sensitivity analysis, alternative price approaches.</w:t>
      </w:r>
      <w:r w:rsidR="00984770">
        <w:rPr>
          <w:lang w:val="en-US"/>
        </w:rPr>
        <w:t xml:space="preserve"> Vertical a</w:t>
      </w:r>
      <w:r w:rsidR="000229C9">
        <w:rPr>
          <w:lang w:val="en-US"/>
        </w:rPr>
        <w:t xml:space="preserve">xis </w:t>
      </w:r>
      <w:r w:rsidR="00984770">
        <w:rPr>
          <w:lang w:val="en-US"/>
        </w:rPr>
        <w:t xml:space="preserve">is </w:t>
      </w:r>
      <w:r w:rsidR="000229C9">
        <w:rPr>
          <w:lang w:val="en-US"/>
        </w:rPr>
        <w:t xml:space="preserve">in logarithmic scale. </w:t>
      </w:r>
      <w:r>
        <w:rPr>
          <w:lang w:val="en-US"/>
        </w:rPr>
        <w:t>Source: author’s image.</w:t>
      </w:r>
    </w:p>
    <w:p w14:paraId="5A86AE74" w14:textId="243A3477" w:rsidR="00113AF0" w:rsidRDefault="003B661E" w:rsidP="003B661E">
      <w:pPr>
        <w:rPr>
          <w:lang w:val="en-US"/>
        </w:rPr>
      </w:pPr>
      <w:r w:rsidRPr="003B661E">
        <w:rPr>
          <w:lang w:val="en-US"/>
        </w:rPr>
        <w:t>Figure 4.7 shows that varying the price of non-actual commercialized compound goods to a lower price improves the system's environmental performance. Whereas varying the price to more expensive does not help</w:t>
      </w:r>
      <w:r w:rsidR="00C42C2B">
        <w:rPr>
          <w:lang w:val="en-US"/>
        </w:rPr>
        <w:t xml:space="preserve"> much</w:t>
      </w:r>
      <w:r w:rsidRPr="003B661E">
        <w:rPr>
          <w:lang w:val="en-US"/>
        </w:rPr>
        <w:t xml:space="preserve"> the environmental performance of the system.</w:t>
      </w:r>
    </w:p>
    <w:p w14:paraId="083C52E9" w14:textId="77777777" w:rsidR="003B661E" w:rsidRDefault="003B661E" w:rsidP="009A215A">
      <w:pPr>
        <w:rPr>
          <w:lang w:val="en-US"/>
        </w:rPr>
      </w:pPr>
    </w:p>
    <w:p w14:paraId="7036B3C7" w14:textId="108E3779" w:rsidR="00FC4C4A" w:rsidRDefault="00BF5D0C" w:rsidP="00FC4C4A">
      <w:pPr>
        <w:pStyle w:val="Heading2"/>
      </w:pPr>
      <w:bookmarkStart w:id="85" w:name="_Toc76752288"/>
      <w:r w:rsidRPr="009A215A">
        <w:t>Comparative analysis</w:t>
      </w:r>
      <w:bookmarkEnd w:id="85"/>
    </w:p>
    <w:p w14:paraId="3AF2CA34" w14:textId="77777777" w:rsidR="00212F85" w:rsidRPr="00E71157" w:rsidRDefault="00212F85" w:rsidP="00212F85"/>
    <w:p w14:paraId="5CB216F2" w14:textId="269DBE4A" w:rsidR="00C00FAE" w:rsidRDefault="00520C8C" w:rsidP="00C00FAE">
      <w:r w:rsidRPr="00520C8C">
        <w:t>The comparative analysis is based on the systems' category indicator results for comparable reference flows (i.e., production of 1 kg of primary REO in China through a commercial established virgin production route, vs. recovery of 1kg of REO from EOL HDDs' NdFeB magnets separated from e-waste at the plant's gate through a hydrometallurgical route using a weak acid). It</w:t>
      </w:r>
      <w:r w:rsidR="003811D5">
        <w:rPr>
          <w:lang w:val="en-US"/>
        </w:rPr>
        <w:t xml:space="preserve"> </w:t>
      </w:r>
      <w:r w:rsidRPr="00520C8C">
        <w:t>assume</w:t>
      </w:r>
      <w:r w:rsidR="003811D5">
        <w:rPr>
          <w:lang w:val="en-US"/>
        </w:rPr>
        <w:t>s</w:t>
      </w:r>
      <w:r w:rsidRPr="00520C8C">
        <w:t xml:space="preserve"> that the purity of oxide output from both systems is equivalent.</w:t>
      </w:r>
    </w:p>
    <w:p w14:paraId="1AA2A609" w14:textId="77777777" w:rsidR="00520C8C" w:rsidRPr="00E71157" w:rsidRDefault="00520C8C" w:rsidP="00C00FAE"/>
    <w:p w14:paraId="2AABF74E" w14:textId="7A9B28A0" w:rsidR="00786A35" w:rsidRDefault="00FC4456" w:rsidP="00FC4C4A">
      <w:r w:rsidRPr="00FC4456">
        <w:rPr>
          <w:lang w:val="en-US"/>
        </w:rPr>
        <w:t>The s</w:t>
      </w:r>
      <w:r w:rsidR="00FC4C4A" w:rsidRPr="00FC4456">
        <w:t xml:space="preserve">ection </w:t>
      </w:r>
      <w:r w:rsidR="00756876" w:rsidRPr="00FC4456">
        <w:fldChar w:fldCharType="begin"/>
      </w:r>
      <w:r w:rsidR="00756876" w:rsidRPr="00FC4456">
        <w:instrText xml:space="preserve"> REF _Ref74914355 \w \h </w:instrText>
      </w:r>
      <w:r w:rsidR="009A5B31" w:rsidRPr="00FC4456">
        <w:instrText xml:space="preserve"> \* MERGEFORMAT </w:instrText>
      </w:r>
      <w:r w:rsidR="00756876" w:rsidRPr="00FC4456">
        <w:fldChar w:fldCharType="separate"/>
      </w:r>
      <w:r w:rsidR="00917D2B">
        <w:rPr>
          <w:lang w:val="en-US"/>
        </w:rPr>
        <w:t>3</w:t>
      </w:r>
      <w:r w:rsidR="009E2540">
        <w:t>.2</w:t>
      </w:r>
      <w:r w:rsidR="00756876" w:rsidRPr="00FC4456">
        <w:fldChar w:fldCharType="end"/>
      </w:r>
      <w:r w:rsidR="008B56B4">
        <w:rPr>
          <w:lang w:val="en-US"/>
        </w:rPr>
        <w:t>.</w:t>
      </w:r>
      <w:r w:rsidR="00843EDF">
        <w:rPr>
          <w:lang w:val="en-US"/>
        </w:rPr>
        <w:t>2</w:t>
      </w:r>
      <w:r w:rsidR="00AE0806">
        <w:rPr>
          <w:lang w:val="en-US"/>
        </w:rPr>
        <w:t xml:space="preserve"> </w:t>
      </w:r>
      <w:r w:rsidR="00FC4C4A" w:rsidRPr="00E71157">
        <w:t>report</w:t>
      </w:r>
      <w:r w:rsidR="00280D7C">
        <w:rPr>
          <w:lang w:val="en-US"/>
        </w:rPr>
        <w:t>s</w:t>
      </w:r>
      <w:r w:rsidR="00FC4C4A" w:rsidRPr="00E71157">
        <w:t xml:space="preserve"> the adaptations regarding the LCA methodology for holding consistency between both systems. Besides, a consistency check is made as recommended in ISO 14044 </w:t>
      </w:r>
      <w:r w:rsidR="00F01D4F" w:rsidRPr="00E71157">
        <w:rPr>
          <w:lang w:val="en-US"/>
        </w:rPr>
        <w:t>(ISO, 2006</w:t>
      </w:r>
      <w:r w:rsidR="00416B6A" w:rsidRPr="00E71157">
        <w:rPr>
          <w:lang w:val="en-US"/>
        </w:rPr>
        <w:t>b</w:t>
      </w:r>
      <w:r w:rsidR="00F01D4F" w:rsidRPr="00E71157">
        <w:rPr>
          <w:lang w:val="en-US"/>
        </w:rPr>
        <w:t>)</w:t>
      </w:r>
      <w:r w:rsidR="00FC4C4A" w:rsidRPr="00E71157">
        <w:t xml:space="preserve"> to check whether the comparison of the systems is consistent or not regarding data sources, accuracy, technical level, and temporal and geographical representativeness. </w:t>
      </w:r>
      <w:r w:rsidR="00C50A78" w:rsidRPr="00E71157">
        <w:fldChar w:fldCharType="begin"/>
      </w:r>
      <w:r w:rsidR="00C50A78" w:rsidRPr="00E71157">
        <w:instrText xml:space="preserve"> REF _Ref74764464 \h </w:instrText>
      </w:r>
      <w:r w:rsidR="00C50A78" w:rsidRPr="00E71157">
        <w:fldChar w:fldCharType="separate"/>
      </w:r>
      <w:r w:rsidR="00CD5471" w:rsidRPr="00E71157">
        <w:t xml:space="preserve">Table </w:t>
      </w:r>
      <w:r w:rsidR="00917D2B">
        <w:rPr>
          <w:noProof/>
          <w:lang w:val="en-US"/>
        </w:rPr>
        <w:t>4</w:t>
      </w:r>
      <w:r w:rsidR="00CD5471" w:rsidRPr="00E71157">
        <w:t>.</w:t>
      </w:r>
      <w:r w:rsidR="00CD5471">
        <w:rPr>
          <w:noProof/>
          <w:lang w:val="en-US"/>
        </w:rPr>
        <w:t>3</w:t>
      </w:r>
      <w:r w:rsidR="00C50A78" w:rsidRPr="00E71157">
        <w:fldChar w:fldCharType="end"/>
      </w:r>
      <w:r w:rsidR="00C50A78" w:rsidRPr="00E71157">
        <w:rPr>
          <w:lang w:val="en-US"/>
        </w:rPr>
        <w:t xml:space="preserve"> </w:t>
      </w:r>
      <w:r w:rsidR="00FC4C4A" w:rsidRPr="00E71157">
        <w:t xml:space="preserve">shows the consistency check results. </w:t>
      </w:r>
    </w:p>
    <w:p w14:paraId="48311EEB" w14:textId="77777777" w:rsidR="00EE723A" w:rsidRPr="00E71157" w:rsidRDefault="00EE723A" w:rsidP="00FC4C4A"/>
    <w:p w14:paraId="1E533176" w14:textId="706B2C96" w:rsidR="00C50A78" w:rsidRPr="00E71157" w:rsidRDefault="00C50A78" w:rsidP="00C50A78">
      <w:pPr>
        <w:pStyle w:val="Caption"/>
        <w:keepNext/>
      </w:pPr>
      <w:bookmarkStart w:id="86" w:name="_Ref74764464"/>
      <w:bookmarkStart w:id="87" w:name="_Toc76730036"/>
      <w:r w:rsidRPr="00E71157">
        <w:t xml:space="preserve">Table </w:t>
      </w:r>
      <w:r w:rsidR="00917D2B">
        <w:rPr>
          <w:lang w:val="en-US"/>
        </w:rPr>
        <w:t>4</w:t>
      </w:r>
      <w:r w:rsidRPr="00E71157">
        <w:t>.</w:t>
      </w:r>
      <w:bookmarkEnd w:id="86"/>
      <w:r w:rsidR="00CD5471">
        <w:rPr>
          <w:lang w:val="en-US"/>
        </w:rPr>
        <w:t>3</w:t>
      </w:r>
      <w:r w:rsidRPr="00E71157">
        <w:rPr>
          <w:lang w:val="en-US"/>
        </w:rPr>
        <w:t xml:space="preserve"> Consistency check for comparing options, primary production vs. recycling route. Source: author's table.</w:t>
      </w:r>
      <w:bookmarkEnd w:id="87"/>
    </w:p>
    <w:tbl>
      <w:tblPr>
        <w:tblStyle w:val="TableGrid"/>
        <w:tblW w:w="0" w:type="auto"/>
        <w:tblCellMar>
          <w:left w:w="28" w:type="dxa"/>
          <w:right w:w="28" w:type="dxa"/>
        </w:tblCellMar>
        <w:tblLook w:val="04A0" w:firstRow="1" w:lastRow="0" w:firstColumn="1" w:lastColumn="0" w:noHBand="0" w:noVBand="1"/>
      </w:tblPr>
      <w:tblGrid>
        <w:gridCol w:w="1900"/>
        <w:gridCol w:w="2741"/>
        <w:gridCol w:w="2830"/>
        <w:gridCol w:w="1589"/>
      </w:tblGrid>
      <w:tr w:rsidR="00B659B5" w14:paraId="247A7BF0" w14:textId="77777777" w:rsidTr="00707AD6">
        <w:tc>
          <w:tcPr>
            <w:tcW w:w="0" w:type="auto"/>
          </w:tcPr>
          <w:p w14:paraId="2A932A28" w14:textId="6572E945" w:rsidR="00AD27A0" w:rsidRPr="00707AD6" w:rsidRDefault="00AD27A0" w:rsidP="00C7040D">
            <w:pPr>
              <w:rPr>
                <w:b/>
                <w:bCs/>
                <w:lang w:val="en-US"/>
              </w:rPr>
            </w:pPr>
            <w:r w:rsidRPr="00707AD6">
              <w:rPr>
                <w:b/>
                <w:bCs/>
                <w:lang w:val="en-US"/>
              </w:rPr>
              <w:t>Check</w:t>
            </w:r>
          </w:p>
        </w:tc>
        <w:tc>
          <w:tcPr>
            <w:tcW w:w="0" w:type="auto"/>
          </w:tcPr>
          <w:p w14:paraId="6AC518F2" w14:textId="190A07D0" w:rsidR="00AD27A0" w:rsidRPr="00707AD6" w:rsidRDefault="00AD27A0" w:rsidP="00C7040D">
            <w:pPr>
              <w:rPr>
                <w:b/>
                <w:bCs/>
                <w:lang w:val="en-US"/>
              </w:rPr>
            </w:pPr>
            <w:r w:rsidRPr="00707AD6">
              <w:rPr>
                <w:b/>
                <w:bCs/>
                <w:lang w:val="en-US"/>
              </w:rPr>
              <w:t>Primary production</w:t>
            </w:r>
          </w:p>
        </w:tc>
        <w:tc>
          <w:tcPr>
            <w:tcW w:w="0" w:type="auto"/>
          </w:tcPr>
          <w:p w14:paraId="265AE2A5" w14:textId="1947B0CE" w:rsidR="00AD27A0" w:rsidRPr="00707AD6" w:rsidRDefault="00AD27A0" w:rsidP="00C7040D">
            <w:pPr>
              <w:rPr>
                <w:b/>
                <w:bCs/>
                <w:lang w:val="en-US"/>
              </w:rPr>
            </w:pPr>
            <w:r w:rsidRPr="00707AD6">
              <w:rPr>
                <w:b/>
                <w:bCs/>
                <w:lang w:val="en-US"/>
              </w:rPr>
              <w:t>Recycling route</w:t>
            </w:r>
          </w:p>
        </w:tc>
        <w:tc>
          <w:tcPr>
            <w:tcW w:w="0" w:type="auto"/>
          </w:tcPr>
          <w:p w14:paraId="07B5889F" w14:textId="06C02256" w:rsidR="00AD27A0" w:rsidRPr="00707AD6" w:rsidRDefault="00AD27A0" w:rsidP="00C7040D">
            <w:pPr>
              <w:rPr>
                <w:b/>
                <w:bCs/>
                <w:lang w:val="en-US"/>
              </w:rPr>
            </w:pPr>
            <w:r w:rsidRPr="00707AD6">
              <w:rPr>
                <w:b/>
                <w:bCs/>
                <w:lang w:val="en-US"/>
              </w:rPr>
              <w:t>Compare options?</w:t>
            </w:r>
          </w:p>
        </w:tc>
      </w:tr>
      <w:tr w:rsidR="00B659B5" w14:paraId="2D5FF6D3" w14:textId="77777777" w:rsidTr="003B7F86">
        <w:tc>
          <w:tcPr>
            <w:tcW w:w="0" w:type="auto"/>
          </w:tcPr>
          <w:p w14:paraId="09F15FF6" w14:textId="6893E55D" w:rsidR="00AD27A0" w:rsidRPr="00AD27A0" w:rsidRDefault="00AD27A0" w:rsidP="00C7040D">
            <w:pPr>
              <w:rPr>
                <w:lang w:val="en-US"/>
              </w:rPr>
            </w:pPr>
            <w:r>
              <w:rPr>
                <w:lang w:val="en-US"/>
              </w:rPr>
              <w:t>Data source</w:t>
            </w:r>
          </w:p>
        </w:tc>
        <w:tc>
          <w:tcPr>
            <w:tcW w:w="0" w:type="auto"/>
          </w:tcPr>
          <w:p w14:paraId="0BFB1592" w14:textId="44B1F9DF" w:rsidR="00AD27A0" w:rsidRPr="00B659B5" w:rsidRDefault="00B659B5" w:rsidP="003B7F86">
            <w:pPr>
              <w:jc w:val="left"/>
              <w:rPr>
                <w:lang w:val="en-US"/>
              </w:rPr>
            </w:pPr>
            <w:r>
              <w:rPr>
                <w:lang w:val="en-US"/>
              </w:rPr>
              <w:t>Literature+ expert consultation</w:t>
            </w:r>
          </w:p>
        </w:tc>
        <w:tc>
          <w:tcPr>
            <w:tcW w:w="0" w:type="auto"/>
          </w:tcPr>
          <w:p w14:paraId="3A77342B" w14:textId="7A85DFBF" w:rsidR="00AD27A0" w:rsidRPr="00B659B5" w:rsidRDefault="00B659B5" w:rsidP="003B7F86">
            <w:pPr>
              <w:jc w:val="left"/>
              <w:rPr>
                <w:lang w:val="en-US"/>
              </w:rPr>
            </w:pPr>
            <w:r>
              <w:rPr>
                <w:lang w:val="en-US"/>
              </w:rPr>
              <w:t>Primary+ literature+ expert consultation</w:t>
            </w:r>
          </w:p>
        </w:tc>
        <w:tc>
          <w:tcPr>
            <w:tcW w:w="0" w:type="auto"/>
          </w:tcPr>
          <w:p w14:paraId="0A191CF5" w14:textId="13C3487D" w:rsidR="00AD27A0" w:rsidRPr="00B659B5" w:rsidRDefault="00B659B5" w:rsidP="00C7040D">
            <w:pPr>
              <w:rPr>
                <w:lang w:val="en-US"/>
              </w:rPr>
            </w:pPr>
            <w:r>
              <w:rPr>
                <w:lang w:val="en-US"/>
              </w:rPr>
              <w:t>Consistent</w:t>
            </w:r>
          </w:p>
        </w:tc>
      </w:tr>
      <w:tr w:rsidR="00B659B5" w14:paraId="6ECB871C" w14:textId="77777777" w:rsidTr="003B7F86">
        <w:tc>
          <w:tcPr>
            <w:tcW w:w="0" w:type="auto"/>
          </w:tcPr>
          <w:p w14:paraId="558CC764" w14:textId="4FF41310" w:rsidR="00AD27A0" w:rsidRPr="00AD27A0" w:rsidRDefault="00AD27A0" w:rsidP="00C7040D">
            <w:pPr>
              <w:rPr>
                <w:lang w:val="en-US"/>
              </w:rPr>
            </w:pPr>
            <w:r>
              <w:rPr>
                <w:lang w:val="en-US"/>
              </w:rPr>
              <w:t>Data accuracy</w:t>
            </w:r>
          </w:p>
        </w:tc>
        <w:tc>
          <w:tcPr>
            <w:tcW w:w="0" w:type="auto"/>
          </w:tcPr>
          <w:p w14:paraId="14CA3B82" w14:textId="0E316642" w:rsidR="00AD27A0" w:rsidRPr="00B659B5" w:rsidRDefault="00B659B5" w:rsidP="003B7F86">
            <w:pPr>
              <w:jc w:val="left"/>
              <w:rPr>
                <w:lang w:val="en-US"/>
              </w:rPr>
            </w:pPr>
            <w:r>
              <w:rPr>
                <w:lang w:val="en-US"/>
              </w:rPr>
              <w:t>Good</w:t>
            </w:r>
            <w:r w:rsidR="0036705F">
              <w:rPr>
                <w:lang w:val="en-US"/>
              </w:rPr>
              <w:t xml:space="preserve"> </w:t>
            </w:r>
          </w:p>
        </w:tc>
        <w:tc>
          <w:tcPr>
            <w:tcW w:w="0" w:type="auto"/>
          </w:tcPr>
          <w:p w14:paraId="2D59A2E0" w14:textId="1092EA73" w:rsidR="00AD27A0" w:rsidRPr="00B659B5" w:rsidRDefault="00B659B5" w:rsidP="003B7F86">
            <w:pPr>
              <w:jc w:val="left"/>
              <w:rPr>
                <w:lang w:val="en-US"/>
              </w:rPr>
            </w:pPr>
            <w:r>
              <w:rPr>
                <w:lang w:val="en-US"/>
              </w:rPr>
              <w:t>Weak</w:t>
            </w:r>
          </w:p>
        </w:tc>
        <w:tc>
          <w:tcPr>
            <w:tcW w:w="0" w:type="auto"/>
          </w:tcPr>
          <w:p w14:paraId="62CA2B23" w14:textId="284C4BAA" w:rsidR="00AD27A0" w:rsidRPr="00B659B5" w:rsidRDefault="00B659B5" w:rsidP="00C7040D">
            <w:pPr>
              <w:rPr>
                <w:lang w:val="en-US"/>
              </w:rPr>
            </w:pPr>
            <w:r>
              <w:rPr>
                <w:lang w:val="en-US"/>
              </w:rPr>
              <w:t>Not consistent</w:t>
            </w:r>
          </w:p>
        </w:tc>
      </w:tr>
      <w:tr w:rsidR="00B659B5" w14:paraId="414B21BC" w14:textId="77777777" w:rsidTr="003B7F86">
        <w:tc>
          <w:tcPr>
            <w:tcW w:w="0" w:type="auto"/>
          </w:tcPr>
          <w:p w14:paraId="110B38B2" w14:textId="7EFC6E69" w:rsidR="00AD27A0" w:rsidRPr="00AD27A0" w:rsidRDefault="00AD27A0" w:rsidP="00C7040D">
            <w:pPr>
              <w:rPr>
                <w:lang w:val="en-US"/>
              </w:rPr>
            </w:pPr>
            <w:r>
              <w:rPr>
                <w:lang w:val="en-US"/>
              </w:rPr>
              <w:t>Data age</w:t>
            </w:r>
          </w:p>
        </w:tc>
        <w:tc>
          <w:tcPr>
            <w:tcW w:w="0" w:type="auto"/>
          </w:tcPr>
          <w:p w14:paraId="768AB5BD" w14:textId="219B2B19" w:rsidR="00AD27A0" w:rsidRPr="00B659B5" w:rsidRDefault="00B659B5" w:rsidP="003B7F86">
            <w:pPr>
              <w:jc w:val="left"/>
              <w:rPr>
                <w:lang w:val="en-US"/>
              </w:rPr>
            </w:pPr>
            <w:r>
              <w:rPr>
                <w:lang w:val="en-US"/>
              </w:rPr>
              <w:t>About 7 years old</w:t>
            </w:r>
          </w:p>
        </w:tc>
        <w:tc>
          <w:tcPr>
            <w:tcW w:w="0" w:type="auto"/>
          </w:tcPr>
          <w:p w14:paraId="426B12E3" w14:textId="41CA8AA9" w:rsidR="00AD27A0" w:rsidRPr="00B659B5" w:rsidRDefault="00000D43" w:rsidP="003B7F86">
            <w:pPr>
              <w:jc w:val="left"/>
              <w:rPr>
                <w:lang w:val="en-US"/>
              </w:rPr>
            </w:pPr>
            <w:r>
              <w:rPr>
                <w:lang w:val="en-US"/>
              </w:rPr>
              <w:t xml:space="preserve">About </w:t>
            </w:r>
            <w:r w:rsidR="00B659B5">
              <w:rPr>
                <w:lang w:val="en-US"/>
              </w:rPr>
              <w:t>3 years old</w:t>
            </w:r>
          </w:p>
        </w:tc>
        <w:tc>
          <w:tcPr>
            <w:tcW w:w="0" w:type="auto"/>
          </w:tcPr>
          <w:p w14:paraId="20C078CA" w14:textId="11A92514" w:rsidR="00AD27A0" w:rsidRPr="00B659B5" w:rsidRDefault="00B659B5" w:rsidP="00C7040D">
            <w:pPr>
              <w:rPr>
                <w:lang w:val="en-US"/>
              </w:rPr>
            </w:pPr>
            <w:r>
              <w:rPr>
                <w:lang w:val="en-US"/>
              </w:rPr>
              <w:t>Consistent</w:t>
            </w:r>
          </w:p>
        </w:tc>
      </w:tr>
      <w:tr w:rsidR="00B659B5" w14:paraId="5C4248EB" w14:textId="77777777" w:rsidTr="003B7F86">
        <w:tc>
          <w:tcPr>
            <w:tcW w:w="0" w:type="auto"/>
          </w:tcPr>
          <w:p w14:paraId="7A59ED8E" w14:textId="41AAE33F" w:rsidR="00AD27A0" w:rsidRPr="00AD27A0" w:rsidRDefault="00AD27A0" w:rsidP="00C7040D">
            <w:pPr>
              <w:rPr>
                <w:lang w:val="en-US"/>
              </w:rPr>
            </w:pPr>
            <w:r>
              <w:rPr>
                <w:lang w:val="en-US"/>
              </w:rPr>
              <w:t>Technology coverage</w:t>
            </w:r>
          </w:p>
        </w:tc>
        <w:tc>
          <w:tcPr>
            <w:tcW w:w="0" w:type="auto"/>
          </w:tcPr>
          <w:p w14:paraId="66FB4CA1" w14:textId="682C6B0D" w:rsidR="00AD27A0" w:rsidRPr="00AD27A0" w:rsidRDefault="003B7F86" w:rsidP="003B7F86">
            <w:pPr>
              <w:jc w:val="left"/>
              <w:rPr>
                <w:lang w:val="en-US"/>
              </w:rPr>
            </w:pPr>
            <w:r>
              <w:rPr>
                <w:lang w:val="en-US"/>
              </w:rPr>
              <w:t>Industrial scale</w:t>
            </w:r>
            <w:r w:rsidR="00B659B5">
              <w:rPr>
                <w:lang w:val="en-US"/>
              </w:rPr>
              <w:t xml:space="preserve"> established technology</w:t>
            </w:r>
          </w:p>
        </w:tc>
        <w:tc>
          <w:tcPr>
            <w:tcW w:w="0" w:type="auto"/>
          </w:tcPr>
          <w:p w14:paraId="51B7B9FE" w14:textId="086DAD72" w:rsidR="00AD27A0" w:rsidRPr="00B659B5" w:rsidRDefault="00B659B5" w:rsidP="003B7F86">
            <w:pPr>
              <w:jc w:val="left"/>
              <w:rPr>
                <w:lang w:val="en-US"/>
              </w:rPr>
            </w:pPr>
            <w:r>
              <w:rPr>
                <w:lang w:val="en-US"/>
              </w:rPr>
              <w:t>Pilot plant+ state-of-the-art</w:t>
            </w:r>
            <w:r w:rsidR="0054473C">
              <w:rPr>
                <w:lang w:val="en-US"/>
              </w:rPr>
              <w:t xml:space="preserve"> upscaled</w:t>
            </w:r>
          </w:p>
        </w:tc>
        <w:tc>
          <w:tcPr>
            <w:tcW w:w="0" w:type="auto"/>
          </w:tcPr>
          <w:p w14:paraId="106728A2" w14:textId="5E37DC9D" w:rsidR="00AD27A0" w:rsidRPr="00B659B5" w:rsidRDefault="00B659B5" w:rsidP="00C7040D">
            <w:pPr>
              <w:rPr>
                <w:lang w:val="en-US"/>
              </w:rPr>
            </w:pPr>
            <w:r>
              <w:rPr>
                <w:lang w:val="en-US"/>
              </w:rPr>
              <w:t>Not consistent</w:t>
            </w:r>
          </w:p>
        </w:tc>
      </w:tr>
      <w:tr w:rsidR="00B659B5" w14:paraId="26CC73C1" w14:textId="77777777" w:rsidTr="00707AD6">
        <w:tc>
          <w:tcPr>
            <w:tcW w:w="0" w:type="auto"/>
          </w:tcPr>
          <w:p w14:paraId="75F4383C" w14:textId="6436E7B6" w:rsidR="00AD27A0" w:rsidRPr="00AD27A0" w:rsidRDefault="00AD27A0" w:rsidP="00C7040D">
            <w:pPr>
              <w:rPr>
                <w:lang w:val="en-US"/>
              </w:rPr>
            </w:pPr>
            <w:r>
              <w:rPr>
                <w:lang w:val="en-US"/>
              </w:rPr>
              <w:t>Time-related coverage</w:t>
            </w:r>
          </w:p>
        </w:tc>
        <w:tc>
          <w:tcPr>
            <w:tcW w:w="0" w:type="auto"/>
          </w:tcPr>
          <w:p w14:paraId="351E3FF9" w14:textId="757B6332" w:rsidR="00AD27A0" w:rsidRPr="00AD27A0" w:rsidRDefault="00AD27A0" w:rsidP="00C7040D">
            <w:pPr>
              <w:rPr>
                <w:lang w:val="en-US"/>
              </w:rPr>
            </w:pPr>
            <w:r>
              <w:rPr>
                <w:lang w:val="en-US"/>
              </w:rPr>
              <w:t>Recent</w:t>
            </w:r>
          </w:p>
        </w:tc>
        <w:tc>
          <w:tcPr>
            <w:tcW w:w="0" w:type="auto"/>
          </w:tcPr>
          <w:p w14:paraId="6488F5C4" w14:textId="73503381" w:rsidR="00AD27A0" w:rsidRPr="00AD27A0" w:rsidRDefault="00AD27A0" w:rsidP="00C7040D">
            <w:pPr>
              <w:rPr>
                <w:lang w:val="en-US"/>
              </w:rPr>
            </w:pPr>
            <w:r>
              <w:rPr>
                <w:lang w:val="en-US"/>
              </w:rPr>
              <w:t>Actual</w:t>
            </w:r>
          </w:p>
        </w:tc>
        <w:tc>
          <w:tcPr>
            <w:tcW w:w="0" w:type="auto"/>
          </w:tcPr>
          <w:p w14:paraId="754956E3" w14:textId="275E29CA" w:rsidR="00AD27A0" w:rsidRPr="00AD27A0" w:rsidRDefault="00AD27A0" w:rsidP="00C7040D">
            <w:pPr>
              <w:rPr>
                <w:lang w:val="en-US"/>
              </w:rPr>
            </w:pPr>
            <w:r>
              <w:rPr>
                <w:lang w:val="en-US"/>
              </w:rPr>
              <w:t>Consistent</w:t>
            </w:r>
          </w:p>
        </w:tc>
      </w:tr>
      <w:tr w:rsidR="00B659B5" w14:paraId="59E24B82" w14:textId="77777777" w:rsidTr="00707AD6">
        <w:tc>
          <w:tcPr>
            <w:tcW w:w="0" w:type="auto"/>
          </w:tcPr>
          <w:p w14:paraId="0C816DA3" w14:textId="503CA73C" w:rsidR="00AD27A0" w:rsidRPr="00AD27A0" w:rsidRDefault="00AD27A0" w:rsidP="00C7040D">
            <w:pPr>
              <w:rPr>
                <w:lang w:val="en-US"/>
              </w:rPr>
            </w:pPr>
            <w:r>
              <w:rPr>
                <w:lang w:val="en-US"/>
              </w:rPr>
              <w:t>Geographical coverage</w:t>
            </w:r>
          </w:p>
        </w:tc>
        <w:tc>
          <w:tcPr>
            <w:tcW w:w="0" w:type="auto"/>
          </w:tcPr>
          <w:p w14:paraId="5C57B45F" w14:textId="63D74A48" w:rsidR="00AD27A0" w:rsidRPr="00AD27A0" w:rsidRDefault="00AD27A0" w:rsidP="00C7040D">
            <w:pPr>
              <w:rPr>
                <w:lang w:val="en-US"/>
              </w:rPr>
            </w:pPr>
            <w:r>
              <w:rPr>
                <w:lang w:val="en-US"/>
              </w:rPr>
              <w:t>China</w:t>
            </w:r>
          </w:p>
        </w:tc>
        <w:tc>
          <w:tcPr>
            <w:tcW w:w="0" w:type="auto"/>
          </w:tcPr>
          <w:p w14:paraId="2BAF7628" w14:textId="47A890B3" w:rsidR="00AD27A0" w:rsidRPr="00AD27A0" w:rsidRDefault="00AD27A0" w:rsidP="00C7040D">
            <w:pPr>
              <w:rPr>
                <w:lang w:val="en-US"/>
              </w:rPr>
            </w:pPr>
            <w:r>
              <w:rPr>
                <w:lang w:val="en-US"/>
              </w:rPr>
              <w:t>Europe</w:t>
            </w:r>
          </w:p>
        </w:tc>
        <w:tc>
          <w:tcPr>
            <w:tcW w:w="0" w:type="auto"/>
          </w:tcPr>
          <w:p w14:paraId="0554A79D" w14:textId="5A30639D" w:rsidR="00AD27A0" w:rsidRPr="00AD27A0" w:rsidRDefault="00AD27A0" w:rsidP="00C7040D">
            <w:pPr>
              <w:rPr>
                <w:lang w:val="en-US"/>
              </w:rPr>
            </w:pPr>
            <w:r>
              <w:rPr>
                <w:lang w:val="en-US"/>
              </w:rPr>
              <w:t>Consistent</w:t>
            </w:r>
          </w:p>
        </w:tc>
      </w:tr>
    </w:tbl>
    <w:p w14:paraId="5DCF0A4C" w14:textId="77777777" w:rsidR="002943F6" w:rsidRDefault="002943F6" w:rsidP="00C7040D"/>
    <w:p w14:paraId="51108224" w14:textId="4CC97EEF" w:rsidR="00501C69" w:rsidRPr="00E71157" w:rsidRDefault="00501C69" w:rsidP="00C7040D">
      <w:pPr>
        <w:rPr>
          <w:lang w:val="en-US"/>
        </w:rPr>
      </w:pPr>
      <w:r w:rsidRPr="00E71157">
        <w:rPr>
          <w:lang w:val="en-US"/>
        </w:rPr>
        <w:t xml:space="preserve">The inconsistencies found are regarding their technology coverage and the data accuracy. The ex-ante nature of the analysis poses such inconsistencies. Overall, both systems are deemed consistently comparable, and thus their characterization results can be related. </w:t>
      </w:r>
      <w:r w:rsidR="001150DB" w:rsidRPr="0076071F">
        <w:rPr>
          <w:lang w:val="en-US"/>
        </w:rPr>
        <w:fldChar w:fldCharType="begin"/>
      </w:r>
      <w:r w:rsidR="001150DB" w:rsidRPr="0076071F">
        <w:rPr>
          <w:lang w:val="en-US"/>
        </w:rPr>
        <w:instrText xml:space="preserve"> REF _Ref74764784 \h </w:instrText>
      </w:r>
      <w:r w:rsidR="008F1E9F" w:rsidRPr="0076071F">
        <w:rPr>
          <w:lang w:val="en-US"/>
        </w:rPr>
        <w:instrText xml:space="preserve"> \* MERGEFORMAT </w:instrText>
      </w:r>
      <w:r w:rsidR="001150DB" w:rsidRPr="0076071F">
        <w:rPr>
          <w:lang w:val="en-US"/>
        </w:rPr>
      </w:r>
      <w:r w:rsidR="001150DB" w:rsidRPr="0076071F">
        <w:rPr>
          <w:lang w:val="en-US"/>
        </w:rPr>
        <w:fldChar w:fldCharType="separate"/>
      </w:r>
      <w:r w:rsidR="000B0C89" w:rsidRPr="0076071F">
        <w:t xml:space="preserve">Figure </w:t>
      </w:r>
      <w:r w:rsidR="00917D2B">
        <w:rPr>
          <w:noProof/>
          <w:lang w:val="en-US"/>
        </w:rPr>
        <w:t>4</w:t>
      </w:r>
      <w:r w:rsidR="000B0C89" w:rsidRPr="0076071F">
        <w:rPr>
          <w:noProof/>
          <w:lang w:val="en-US"/>
        </w:rPr>
        <w:t>.</w:t>
      </w:r>
      <w:r w:rsidR="005D79C0">
        <w:rPr>
          <w:noProof/>
          <w:lang w:val="en-US"/>
        </w:rPr>
        <w:t>8</w:t>
      </w:r>
      <w:r w:rsidR="001150DB" w:rsidRPr="0076071F">
        <w:rPr>
          <w:lang w:val="en-US"/>
        </w:rPr>
        <w:fldChar w:fldCharType="end"/>
      </w:r>
      <w:r w:rsidR="001150DB" w:rsidRPr="00E71157">
        <w:rPr>
          <w:lang w:val="en-US"/>
        </w:rPr>
        <w:t xml:space="preserve"> </w:t>
      </w:r>
      <w:r w:rsidRPr="00E71157">
        <w:rPr>
          <w:lang w:val="en-US"/>
        </w:rPr>
        <w:t xml:space="preserve">compares the performance of both systems per impact category. The results are normalized to the largest.  </w:t>
      </w:r>
    </w:p>
    <w:p w14:paraId="1E692DCD" w14:textId="0BF98EBD" w:rsidR="001150DB" w:rsidRDefault="00042DE4" w:rsidP="00F46789">
      <w:pPr>
        <w:keepNext/>
      </w:pPr>
      <w:r>
        <w:rPr>
          <w:noProof/>
        </w:rPr>
        <w:lastRenderedPageBreak/>
        <w:drawing>
          <wp:inline distT="0" distB="0" distL="0" distR="0" wp14:anchorId="344C24AA" wp14:editId="4F363D06">
            <wp:extent cx="5997600" cy="3132000"/>
            <wp:effectExtent l="0" t="0" r="0" b="508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7600" cy="3132000"/>
                    </a:xfrm>
                    <a:prstGeom prst="rect">
                      <a:avLst/>
                    </a:prstGeom>
                  </pic:spPr>
                </pic:pic>
              </a:graphicData>
            </a:graphic>
          </wp:inline>
        </w:drawing>
      </w:r>
    </w:p>
    <w:p w14:paraId="36F7ED77" w14:textId="417B3040" w:rsidR="00C7040D" w:rsidRPr="00E71157" w:rsidRDefault="001150DB" w:rsidP="001150DB">
      <w:pPr>
        <w:pStyle w:val="Caption"/>
      </w:pPr>
      <w:bookmarkStart w:id="88" w:name="_Ref74764784"/>
      <w:bookmarkStart w:id="89" w:name="_Toc76729613"/>
      <w:r w:rsidRPr="00E71157">
        <w:t xml:space="preserve">Figure </w:t>
      </w:r>
      <w:r w:rsidR="00917D2B">
        <w:rPr>
          <w:lang w:val="en-US"/>
        </w:rPr>
        <w:t>4</w:t>
      </w:r>
      <w:r w:rsidRPr="00E71157">
        <w:t>.</w:t>
      </w:r>
      <w:bookmarkEnd w:id="88"/>
      <w:r w:rsidR="003F1009">
        <w:rPr>
          <w:lang w:val="en-US"/>
        </w:rPr>
        <w:t>8</w:t>
      </w:r>
      <w:r w:rsidRPr="00E71157">
        <w:rPr>
          <w:lang w:val="en-US"/>
        </w:rPr>
        <w:t xml:space="preserve"> Comparing environmental performance, per impact category, of primary production of REO in China vs. recovery of REO from EOL HDDs </w:t>
      </w:r>
      <w:proofErr w:type="spellStart"/>
      <w:r w:rsidRPr="00E71157">
        <w:rPr>
          <w:lang w:val="en-US"/>
        </w:rPr>
        <w:t>NdFeB</w:t>
      </w:r>
      <w:proofErr w:type="spellEnd"/>
      <w:r w:rsidRPr="00E71157">
        <w:rPr>
          <w:lang w:val="en-US"/>
        </w:rPr>
        <w:t xml:space="preserve"> magnets through weak acid hydrometallurgy. FU: 1kg of primary REO in China through a commercial established virgin production </w:t>
      </w:r>
      <w:r w:rsidRPr="00E71157">
        <w:t>route vs. 1 kg of REO from EOL HDDs’ NdFeB magnets separated from e-waste at the plant’s gate.</w:t>
      </w:r>
      <w:r w:rsidRPr="00E71157">
        <w:rPr>
          <w:lang w:val="en-US"/>
        </w:rPr>
        <w:t xml:space="preserve"> Source: author’s image.</w:t>
      </w:r>
      <w:bookmarkEnd w:id="89"/>
      <w:r w:rsidRPr="00E71157">
        <w:rPr>
          <w:lang w:val="en-US"/>
        </w:rPr>
        <w:t xml:space="preserve">  </w:t>
      </w:r>
    </w:p>
    <w:p w14:paraId="51B0435F" w14:textId="12F20FB9" w:rsidR="007C3042" w:rsidRPr="00E71157" w:rsidRDefault="001150DB" w:rsidP="00023982">
      <w:r w:rsidRPr="00891880">
        <w:fldChar w:fldCharType="begin"/>
      </w:r>
      <w:r w:rsidRPr="00891880">
        <w:instrText xml:space="preserve"> REF _Ref74764784 \h </w:instrText>
      </w:r>
      <w:r w:rsidR="008F1E9F" w:rsidRPr="00891880">
        <w:instrText xml:space="preserve"> \* MERGEFORMAT </w:instrText>
      </w:r>
      <w:r w:rsidRPr="00891880">
        <w:fldChar w:fldCharType="separate"/>
      </w:r>
      <w:r w:rsidR="00BC31F4" w:rsidRPr="00891880">
        <w:t xml:space="preserve">Figure </w:t>
      </w:r>
      <w:r w:rsidR="00917D2B">
        <w:rPr>
          <w:noProof/>
          <w:lang w:val="en-US"/>
        </w:rPr>
        <w:t>4</w:t>
      </w:r>
      <w:r w:rsidR="000B0C89" w:rsidRPr="00891880">
        <w:rPr>
          <w:noProof/>
          <w:lang w:val="en-US"/>
        </w:rPr>
        <w:t>.</w:t>
      </w:r>
      <w:r w:rsidR="003F1009">
        <w:rPr>
          <w:noProof/>
          <w:lang w:val="en-US"/>
        </w:rPr>
        <w:t>8</w:t>
      </w:r>
      <w:r w:rsidRPr="00891880">
        <w:fldChar w:fldCharType="end"/>
      </w:r>
      <w:r w:rsidRPr="00891880">
        <w:rPr>
          <w:lang w:val="en-US"/>
        </w:rPr>
        <w:t xml:space="preserve"> </w:t>
      </w:r>
      <w:r w:rsidR="00023982" w:rsidRPr="00891880">
        <w:t>reveals</w:t>
      </w:r>
      <w:r w:rsidR="00023982" w:rsidRPr="00E71157">
        <w:t xml:space="preserve"> that this work’s proposed recycling route does not perform as environmentally friendly as the incumbent technology </w:t>
      </w:r>
      <w:r w:rsidR="00946171">
        <w:rPr>
          <w:lang w:val="en-US"/>
        </w:rPr>
        <w:t xml:space="preserve">in </w:t>
      </w:r>
      <w:r w:rsidR="00023982" w:rsidRPr="00E71157">
        <w:t xml:space="preserve">all impact categories, except in ozone layer depletion. </w:t>
      </w:r>
    </w:p>
    <w:p w14:paraId="3C139BBA" w14:textId="77777777" w:rsidR="007C3042" w:rsidRDefault="007C3042" w:rsidP="00023982"/>
    <w:p w14:paraId="15C18164" w14:textId="5A3A3407" w:rsidR="00023982" w:rsidRPr="008F1E9F" w:rsidRDefault="008F1E9F" w:rsidP="00023982">
      <w:pPr>
        <w:rPr>
          <w:lang w:val="en-US"/>
        </w:rPr>
      </w:pPr>
      <w:r w:rsidRPr="00891880">
        <w:rPr>
          <w:lang w:val="en-US"/>
        </w:rPr>
        <w:t xml:space="preserve">Figure </w:t>
      </w:r>
      <w:r w:rsidR="00122D68">
        <w:rPr>
          <w:lang w:val="en-US"/>
        </w:rPr>
        <w:t>4</w:t>
      </w:r>
      <w:r w:rsidR="000B0C89" w:rsidRPr="00891880">
        <w:rPr>
          <w:lang w:val="en-US"/>
        </w:rPr>
        <w:t>.</w:t>
      </w:r>
      <w:r w:rsidR="003F1009">
        <w:rPr>
          <w:lang w:val="en-US"/>
        </w:rPr>
        <w:t>9</w:t>
      </w:r>
      <w:r w:rsidR="00F60D98" w:rsidRPr="00891880">
        <w:rPr>
          <w:lang w:val="en-US"/>
        </w:rPr>
        <w:t xml:space="preserve"> show</w:t>
      </w:r>
      <w:r w:rsidRPr="00891880">
        <w:rPr>
          <w:lang w:val="en-US"/>
        </w:rPr>
        <w:t>s</w:t>
      </w:r>
      <w:r w:rsidR="00F60D98" w:rsidRPr="008F1E9F">
        <w:rPr>
          <w:lang w:val="en-US"/>
        </w:rPr>
        <w:t xml:space="preserve"> the comparison </w:t>
      </w:r>
      <w:r>
        <w:rPr>
          <w:lang w:val="en-US"/>
        </w:rPr>
        <w:t>between the incumbent technology environmental performance vs. the performance of the recycling route</w:t>
      </w:r>
      <w:r w:rsidR="00946171">
        <w:rPr>
          <w:lang w:val="en-US"/>
        </w:rPr>
        <w:t xml:space="preserve"> </w:t>
      </w:r>
      <w:r>
        <w:rPr>
          <w:lang w:val="en-US"/>
        </w:rPr>
        <w:t>considering</w:t>
      </w:r>
      <w:r w:rsidR="00B36992">
        <w:rPr>
          <w:lang w:val="en-US"/>
        </w:rPr>
        <w:t xml:space="preserve"> the </w:t>
      </w:r>
      <w:r w:rsidR="007D4860">
        <w:rPr>
          <w:lang w:val="en-US"/>
        </w:rPr>
        <w:t xml:space="preserve">results of the </w:t>
      </w:r>
      <w:r w:rsidR="00B36992">
        <w:rPr>
          <w:lang w:val="en-US"/>
        </w:rPr>
        <w:t xml:space="preserve">sensitivity </w:t>
      </w:r>
      <w:r w:rsidR="007D4860">
        <w:rPr>
          <w:lang w:val="en-US"/>
        </w:rPr>
        <w:t>tests</w:t>
      </w:r>
      <w:r w:rsidR="00F60D98" w:rsidRPr="008F1E9F">
        <w:rPr>
          <w:lang w:val="en-US"/>
        </w:rPr>
        <w:t xml:space="preserve">. </w:t>
      </w:r>
    </w:p>
    <w:p w14:paraId="361AA8F9" w14:textId="6BC71937" w:rsidR="00AB2A68" w:rsidRDefault="00AB2A68" w:rsidP="00AB2A68">
      <w:pPr>
        <w:rPr>
          <w:lang w:val="en-US"/>
        </w:rPr>
      </w:pPr>
    </w:p>
    <w:p w14:paraId="1360DE8E" w14:textId="43122019" w:rsidR="00E71157" w:rsidRDefault="00616623" w:rsidP="0092654E">
      <w:pPr>
        <w:jc w:val="center"/>
        <w:rPr>
          <w:lang w:val="en-US"/>
        </w:rPr>
      </w:pPr>
      <w:r w:rsidRPr="00616623">
        <w:rPr>
          <w:noProof/>
        </w:rPr>
        <w:lastRenderedPageBreak/>
        <w:drawing>
          <wp:inline distT="0" distB="0" distL="0" distR="0" wp14:anchorId="29662E6F" wp14:editId="6FA40928">
            <wp:extent cx="6202800" cy="3420000"/>
            <wp:effectExtent l="0" t="0" r="0" b="0"/>
            <wp:docPr id="12" name="Picture 11" descr="A picture containing text, writing implement, stationary, pencil&#10;&#10;Description automatically generated">
              <a:extLst xmlns:a="http://schemas.openxmlformats.org/drawingml/2006/main">
                <a:ext uri="{FF2B5EF4-FFF2-40B4-BE49-F238E27FC236}">
                  <a16:creationId xmlns:a16="http://schemas.microsoft.com/office/drawing/2014/main" id="{4C0CEF09-DE54-334D-A835-6DC1178FC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writing implement, stationary, pencil&#10;&#10;Description automatically generated">
                      <a:extLst>
                        <a:ext uri="{FF2B5EF4-FFF2-40B4-BE49-F238E27FC236}">
                          <a16:creationId xmlns:a16="http://schemas.microsoft.com/office/drawing/2014/main" id="{4C0CEF09-DE54-334D-A835-6DC1178FCEE1}"/>
                        </a:ext>
                      </a:extLst>
                    </pic:cNvPr>
                    <pic:cNvPicPr>
                      <a:picLocks noChangeAspect="1"/>
                    </pic:cNvPicPr>
                  </pic:nvPicPr>
                  <pic:blipFill>
                    <a:blip r:embed="rId29"/>
                    <a:stretch>
                      <a:fillRect/>
                    </a:stretch>
                  </pic:blipFill>
                  <pic:spPr>
                    <a:xfrm>
                      <a:off x="0" y="0"/>
                      <a:ext cx="6202800" cy="3420000"/>
                    </a:xfrm>
                    <a:prstGeom prst="rect">
                      <a:avLst/>
                    </a:prstGeom>
                  </pic:spPr>
                </pic:pic>
              </a:graphicData>
            </a:graphic>
          </wp:inline>
        </w:drawing>
      </w:r>
    </w:p>
    <w:p w14:paraId="1A970AD3" w14:textId="1EB0F688" w:rsidR="000B6D03" w:rsidRDefault="0092654E" w:rsidP="00B017A2">
      <w:pPr>
        <w:pStyle w:val="Caption"/>
        <w:rPr>
          <w:lang w:val="en-US"/>
        </w:rPr>
      </w:pPr>
      <w:r>
        <w:rPr>
          <w:lang w:val="en-US"/>
        </w:rPr>
        <w:t xml:space="preserve">Figure </w:t>
      </w:r>
      <w:r w:rsidR="00850C5D">
        <w:rPr>
          <w:lang w:val="en-US"/>
        </w:rPr>
        <w:t>4</w:t>
      </w:r>
      <w:r>
        <w:rPr>
          <w:lang w:val="en-US"/>
        </w:rPr>
        <w:t>.</w:t>
      </w:r>
      <w:r w:rsidR="003F1009">
        <w:rPr>
          <w:lang w:val="en-US"/>
        </w:rPr>
        <w:t>9</w:t>
      </w:r>
      <w:r>
        <w:rPr>
          <w:lang w:val="en-US"/>
        </w:rPr>
        <w:t xml:space="preserve"> Incumbent technology vs. emerging technology original system and its sensitivity variations. Results are relative to the incumbent technology. Source: author’s image. </w:t>
      </w:r>
    </w:p>
    <w:p w14:paraId="33270FAB" w14:textId="02E07D29" w:rsidR="003037FF" w:rsidRDefault="00ED5FAB" w:rsidP="003037FF">
      <w:pPr>
        <w:rPr>
          <w:lang w:val="en-US"/>
        </w:rPr>
      </w:pPr>
      <w:r w:rsidRPr="00FE3307">
        <w:rPr>
          <w:lang w:val="en-US"/>
        </w:rPr>
        <w:t>The different sensitivity tests yield different outcomes in comparing the environmental performance of the recycling route vs. the incumbent technology. With “Oxalic acid regeneration,” the recycling route does not improve much.</w:t>
      </w:r>
      <w:r w:rsidR="00596973" w:rsidRPr="00FE3307">
        <w:rPr>
          <w:lang w:val="en-US"/>
        </w:rPr>
        <w:t xml:space="preserve"> The same can be said regarding</w:t>
      </w:r>
      <w:r w:rsidR="00C35B8D" w:rsidRPr="00FE3307">
        <w:rPr>
          <w:lang w:val="en-US"/>
        </w:rPr>
        <w:t xml:space="preserve"> </w:t>
      </w:r>
      <w:r w:rsidR="00596973" w:rsidRPr="00FE3307">
        <w:rPr>
          <w:lang w:val="en-US"/>
        </w:rPr>
        <w:t xml:space="preserve">“Maximum price.” </w:t>
      </w:r>
      <w:r w:rsidRPr="00FE3307">
        <w:rPr>
          <w:lang w:val="en-US"/>
        </w:rPr>
        <w:t xml:space="preserve">With “Chemical production, organic,” the system improves in four extra impact categories: freshwater water and terrestrial acidification, marine eutrophication, terrestrial eutrophication, and photochemical ozone creation. With “Allocation by mass,” the system improves in seven extra impact categories, continuing scoring worse than the incumbent technology only in climate change and freshwater eutrophication. </w:t>
      </w:r>
      <w:r w:rsidR="00FE3307" w:rsidRPr="00FE3307">
        <w:rPr>
          <w:lang w:val="en-US"/>
        </w:rPr>
        <w:t>Finally, w</w:t>
      </w:r>
      <w:r w:rsidR="004D6CEF" w:rsidRPr="00FE3307">
        <w:rPr>
          <w:lang w:val="en-US"/>
        </w:rPr>
        <w:t>ith “Minimum price</w:t>
      </w:r>
      <w:r w:rsidR="00FE3307" w:rsidRPr="00FE3307">
        <w:rPr>
          <w:lang w:val="en-US"/>
        </w:rPr>
        <w:t>,</w:t>
      </w:r>
      <w:r w:rsidR="004D6CEF" w:rsidRPr="00FE3307">
        <w:rPr>
          <w:lang w:val="en-US"/>
        </w:rPr>
        <w:t xml:space="preserve">” the system improves in all impact categories. </w:t>
      </w:r>
      <w:r w:rsidRPr="00FE3307">
        <w:rPr>
          <w:lang w:val="en-US"/>
        </w:rPr>
        <w:t xml:space="preserve">Thus, </w:t>
      </w:r>
      <w:r w:rsidR="00EC650D" w:rsidRPr="00FE3307">
        <w:rPr>
          <w:lang w:val="en-US"/>
        </w:rPr>
        <w:t>attributing lower price</w:t>
      </w:r>
      <w:r w:rsidR="00FE3307" w:rsidRPr="00FE3307">
        <w:rPr>
          <w:lang w:val="en-US"/>
        </w:rPr>
        <w:t>s</w:t>
      </w:r>
      <w:r w:rsidR="00EC650D" w:rsidRPr="00FE3307">
        <w:rPr>
          <w:lang w:val="en-US"/>
        </w:rPr>
        <w:t xml:space="preserve"> to compound goods or </w:t>
      </w:r>
      <w:r w:rsidRPr="00FE3307">
        <w:rPr>
          <w:lang w:val="en-US"/>
        </w:rPr>
        <w:t>allocating the non-functional flows of multifunctional processes using mass instead of their economic value favors better the recycling route.</w:t>
      </w:r>
    </w:p>
    <w:p w14:paraId="6BD63B12" w14:textId="77777777" w:rsidR="00ED5FAB" w:rsidRPr="00312BDE" w:rsidRDefault="00ED5FAB" w:rsidP="003037FF">
      <w:pPr>
        <w:rPr>
          <w:lang w:val="en-US"/>
        </w:rPr>
      </w:pPr>
    </w:p>
    <w:p w14:paraId="211C67E2" w14:textId="56DBD63A" w:rsidR="003037FF" w:rsidRDefault="00E71157" w:rsidP="00E71157">
      <w:pPr>
        <w:pStyle w:val="Heading1"/>
      </w:pPr>
      <w:bookmarkStart w:id="90" w:name="_Toc76752289"/>
      <w:r>
        <w:lastRenderedPageBreak/>
        <w:t>Discussion of results</w:t>
      </w:r>
      <w:bookmarkEnd w:id="90"/>
    </w:p>
    <w:p w14:paraId="4AB64C5B" w14:textId="77777777" w:rsidR="00F706C7" w:rsidRPr="003037FF" w:rsidRDefault="00F706C7" w:rsidP="00F706C7">
      <w:pPr>
        <w:pStyle w:val="Heading1"/>
        <w:numPr>
          <w:ilvl w:val="0"/>
          <w:numId w:val="0"/>
        </w:numPr>
      </w:pPr>
    </w:p>
    <w:p w14:paraId="55C4FB3B" w14:textId="77777777" w:rsidR="00F706C7" w:rsidRDefault="00F706C7" w:rsidP="0015740E">
      <w:pPr>
        <w:rPr>
          <w:lang w:val="en-US"/>
        </w:rPr>
      </w:pPr>
      <w:r w:rsidRPr="0078296A">
        <w:rPr>
          <w:lang w:val="en-US"/>
        </w:rPr>
        <w:t>The</w:t>
      </w:r>
      <w:r w:rsidRPr="0058383C">
        <w:rPr>
          <w:lang w:val="en-US"/>
        </w:rPr>
        <w:t xml:space="preserve"> results of the completeness and consistent check are deemed satisfactory. </w:t>
      </w:r>
      <w:r>
        <w:rPr>
          <w:lang w:val="en-US"/>
        </w:rPr>
        <w:t xml:space="preserve">However, data robustness cannot be claimed because </w:t>
      </w:r>
      <w:r w:rsidRPr="0058383C">
        <w:rPr>
          <w:lang w:val="en-US"/>
        </w:rPr>
        <w:t>“more than normal” uncertainty is present</w:t>
      </w:r>
      <w:r>
        <w:rPr>
          <w:lang w:val="en-US"/>
        </w:rPr>
        <w:t xml:space="preserve">. This is </w:t>
      </w:r>
      <w:r w:rsidRPr="0058383C">
        <w:rPr>
          <w:lang w:val="en-US"/>
        </w:rPr>
        <w:t>common to ex-ante analysis</w:t>
      </w:r>
      <w:r>
        <w:rPr>
          <w:lang w:val="en-US"/>
        </w:rPr>
        <w:t>.</w:t>
      </w:r>
    </w:p>
    <w:p w14:paraId="00E6E659" w14:textId="77777777" w:rsidR="00F706C7" w:rsidRDefault="00F706C7" w:rsidP="0015740E">
      <w:pPr>
        <w:rPr>
          <w:lang w:val="en-US"/>
        </w:rPr>
      </w:pPr>
    </w:p>
    <w:p w14:paraId="351F84A1" w14:textId="0396F856" w:rsidR="00F706C7" w:rsidRDefault="008D083B" w:rsidP="0015740E">
      <w:pPr>
        <w:rPr>
          <w:lang w:val="en-US"/>
        </w:rPr>
      </w:pPr>
      <w:r w:rsidRPr="008D083B">
        <w:rPr>
          <w:lang w:val="en-US"/>
        </w:rPr>
        <w:t xml:space="preserve">The contribution analysis of foreground processes identified the RE recovery unit process as burdensome </w:t>
      </w:r>
      <w:r w:rsidR="00A23E22">
        <w:rPr>
          <w:lang w:val="en-US"/>
        </w:rPr>
        <w:t>to</w:t>
      </w:r>
      <w:r w:rsidRPr="008D083B">
        <w:rPr>
          <w:lang w:val="en-US"/>
        </w:rPr>
        <w:t xml:space="preserve"> all impact categories. In addition, in impact categories such as human health (carcinogenic and non-carcinogenic) and ecotoxicity, the fragmentation unit process quarrels for the major contribution. The RE recovery is being flagged </w:t>
      </w:r>
      <w:r w:rsidR="00A23E22">
        <w:rPr>
          <w:lang w:val="en-US"/>
        </w:rPr>
        <w:t>due to</w:t>
      </w:r>
      <w:r w:rsidRPr="008D083B">
        <w:rPr>
          <w:lang w:val="en-US"/>
        </w:rPr>
        <w:t xml:space="preserve"> the input of oxalic acid</w:t>
      </w:r>
      <w:r w:rsidR="00A23E22">
        <w:rPr>
          <w:lang w:val="en-US"/>
        </w:rPr>
        <w:t xml:space="preserve"> in it</w:t>
      </w:r>
      <w:r w:rsidRPr="008D083B">
        <w:rPr>
          <w:lang w:val="en-US"/>
        </w:rPr>
        <w:t>, which is used to precipitate REEs in the pregnant leachate solution. The fragmentation unit</w:t>
      </w:r>
      <w:r w:rsidR="00A23E22">
        <w:rPr>
          <w:lang w:val="en-US"/>
        </w:rPr>
        <w:t xml:space="preserve"> process</w:t>
      </w:r>
      <w:r w:rsidRPr="008D083B">
        <w:rPr>
          <w:lang w:val="en-US"/>
        </w:rPr>
        <w:t xml:space="preserve"> </w:t>
      </w:r>
      <w:r w:rsidR="00A23E22">
        <w:rPr>
          <w:lang w:val="en-US"/>
        </w:rPr>
        <w:t xml:space="preserve">is highlighted </w:t>
      </w:r>
      <w:r w:rsidR="00A23E22" w:rsidRPr="008D083B">
        <w:rPr>
          <w:lang w:val="en-US"/>
        </w:rPr>
        <w:t>in toxicity related impact categories</w:t>
      </w:r>
      <w:r w:rsidR="00A23E22">
        <w:rPr>
          <w:lang w:val="en-US"/>
        </w:rPr>
        <w:t xml:space="preserve"> because of </w:t>
      </w:r>
      <w:r w:rsidRPr="008D083B">
        <w:rPr>
          <w:lang w:val="en-US"/>
        </w:rPr>
        <w:t xml:space="preserve">the treatment of the </w:t>
      </w:r>
      <w:r w:rsidR="00A23E22">
        <w:rPr>
          <w:lang w:val="en-US"/>
        </w:rPr>
        <w:t xml:space="preserve">residual </w:t>
      </w:r>
      <w:r w:rsidRPr="008D083B">
        <w:rPr>
          <w:lang w:val="en-US"/>
        </w:rPr>
        <w:t>dust and its direct emission into the air.</w:t>
      </w:r>
      <w:r w:rsidR="00F706C7">
        <w:rPr>
          <w:lang w:val="en-US"/>
        </w:rPr>
        <w:t xml:space="preserve"> </w:t>
      </w:r>
    </w:p>
    <w:p w14:paraId="152FD2FC" w14:textId="77777777" w:rsidR="00F706C7" w:rsidRDefault="00F706C7" w:rsidP="0015740E">
      <w:pPr>
        <w:rPr>
          <w:lang w:val="en-US"/>
        </w:rPr>
      </w:pPr>
    </w:p>
    <w:p w14:paraId="1013ABD9" w14:textId="293FB887" w:rsidR="00D77111" w:rsidRDefault="00C77736" w:rsidP="0015740E">
      <w:pPr>
        <w:rPr>
          <w:lang w:val="en-US"/>
        </w:rPr>
      </w:pPr>
      <w:r w:rsidRPr="00C77736">
        <w:rPr>
          <w:lang w:val="en-US"/>
        </w:rPr>
        <w:t xml:space="preserve">Regarding the oxalic acid being on the spot, it should be acknowledged that the modeling uses a LCI dataset for its production process retrieved from literature. This is because the </w:t>
      </w:r>
      <w:proofErr w:type="spellStart"/>
      <w:r w:rsidRPr="00C77736">
        <w:rPr>
          <w:lang w:val="en-US"/>
        </w:rPr>
        <w:t>ecoinvent</w:t>
      </w:r>
      <w:proofErr w:type="spellEnd"/>
      <w:r w:rsidRPr="00C77736">
        <w:rPr>
          <w:lang w:val="en-US"/>
        </w:rPr>
        <w:t xml:space="preserve"> database lacks a specific dataset representing the production of oxalic acid. There are two routes for producing oxalic acid, biological and chemical (Riemenschneider &amp; </w:t>
      </w:r>
      <w:proofErr w:type="spellStart"/>
      <w:r w:rsidRPr="00C77736">
        <w:rPr>
          <w:lang w:val="en-US"/>
        </w:rPr>
        <w:t>Tanifuji</w:t>
      </w:r>
      <w:proofErr w:type="spellEnd"/>
      <w:r w:rsidRPr="00C77736">
        <w:rPr>
          <w:lang w:val="en-US"/>
        </w:rPr>
        <w:t>, 2011). The chemical production route is recognized as highly emissive</w:t>
      </w:r>
      <w:r>
        <w:rPr>
          <w:lang w:val="en-US"/>
        </w:rPr>
        <w:t xml:space="preserve"> </w:t>
      </w:r>
      <w:r w:rsidR="00F706C7">
        <w:rPr>
          <w:lang w:val="en-US"/>
        </w:rPr>
        <w:fldChar w:fldCharType="begin" w:fldLock="1"/>
      </w:r>
      <w:r w:rsidR="00F706C7">
        <w:rPr>
          <w:lang w:val="en-US"/>
        </w:rPr>
        <w:instrText>ADDIN CSL_CITATION {"citationItems":[{"id":"ITEM-1","itemData":{"DOI":"10.1021/es302192t","ISSN":"0013936X","PMID":"23323842","abstract":"Life cycle assessment (LCA) was applied to hydrometallurgical treatments carried out using a new portable prototype plant for the recovery of valuable metals from waste electrical and electronic equipment (WEEE). The plant was fed with the WEEE residues from physical processes for the recycling of fluorescent lamps, cathode ray tubes (CRTs), Li-ion accumulators and printed circuit boards (PCBs). Leaching with sulfuric acid was carried out, followed by metal recovery by selective precipitation. A final step of wastewater treatment with lime was performed. The recovered metals included yttrium, zinc, cobalt, lithium, copper, gold, and silver. The category of global warming potential was the most critical one considering the specifications for southern European territories, with 13.3 kg CO2/kg recovered metal from the powders/residues from fluorescent lamps, 19.2 kg CO2/kg from CRTs, 27.0 kg CO 2/kg from Li-ion accumulators and 25.9 kg CO2/kg from PCBs. Data also show that metal extraction steps have the highest load for the environment. In general, these processes appear beneficial for the environment in terms of CO2 emissions, especially for metal recovery from WEEE residues from fluorescent lamps and CRTs. © 2013 American Chemical Society.","author":[{"dropping-particle":"","family":"Rocchetti","given":"Laura","non-dropping-particle":"","parse-names":false,"suffix":""},{"dropping-particle":"","family":"Vegliò","given":"Francesco","non-dropping-particle":"","parse-names":false,"suffix":""},{"dropping-particle":"","family":"Kopacek","given":"Bernd","non-dropping-particle":"","parse-names":false,"suffix":""},{"dropping-particle":"","family":"Beolchini","given":"Francesca","non-dropping-particle":"","parse-names":false,"suffix":""}],"container-title":"Environmental Science and Technology","id":"ITEM-1","issue":"3","issued":{"date-parts":[["2013"]]},"page":"1581-1588","title":"Environmental impact assessment of hydrometallurgical processes for metal recovery from WEEE residues using a portable prototype plant","type":"article-journal","volume":"47"},"uris":["http://www.mendeley.com/documents/?uuid=27cc76c8-c8fb-4129-b19a-1b8fdb4634ec"]}],"mendeley":{"formattedCitation":"(Rocchetti et al., 2013)","plainTextFormattedCitation":"(Rocchetti et al., 2013)","previouslyFormattedCitation":"(Rocchetti et al., 2013)"},"properties":{"noteIndex":0},"schema":"https://github.com/citation-style-language/schema/raw/master/csl-citation.json"}</w:instrText>
      </w:r>
      <w:r w:rsidR="00F706C7">
        <w:rPr>
          <w:lang w:val="en-US"/>
        </w:rPr>
        <w:fldChar w:fldCharType="separate"/>
      </w:r>
      <w:r w:rsidR="00F706C7" w:rsidRPr="005617B5">
        <w:rPr>
          <w:noProof/>
          <w:lang w:val="en-US"/>
        </w:rPr>
        <w:t>(Rocchetti et al., 2013)</w:t>
      </w:r>
      <w:r w:rsidR="00F706C7">
        <w:rPr>
          <w:lang w:val="en-US"/>
        </w:rPr>
        <w:fldChar w:fldCharType="end"/>
      </w:r>
      <w:r w:rsidR="00F706C7" w:rsidRPr="0058383C">
        <w:rPr>
          <w:lang w:val="en-US"/>
        </w:rPr>
        <w:t>.</w:t>
      </w:r>
      <w:r w:rsidR="00F706C7">
        <w:rPr>
          <w:lang w:val="en-US"/>
        </w:rPr>
        <w:t xml:space="preserve"> The inventory provided by </w:t>
      </w:r>
      <w:r w:rsidR="00891880">
        <w:rPr>
          <w:lang w:val="en-US"/>
        </w:rPr>
        <w:fldChar w:fldCharType="begin" w:fldLock="1"/>
      </w:r>
      <w:r w:rsidR="00891880">
        <w:rPr>
          <w:lang w:val="en-US"/>
        </w:rPr>
        <w:instrText>ADDIN CSL_CITATION {"citationItems":[{"id":"ITEM-1","itemData":{"DOI":"10.1016/j.jclepro.2020.122464","ISSN":"09596526","abstract":"Scandium (Sc) is the most expensive rare earth element and is widely considered as one of the most critical materials for various emerging applications such as the third-generation Solid Oxide Fuel Cell (SOFC) battery. The global Sc demand is expected to increase rapidly, while its supply is mainly constrained by limited mineral reserve and environmental burdens associated with its production. There are few Sc deposits distributed in the world, with small reserves and complicated extraction processes. A large amount of Sc is mainly concentrated in tailings and has not been extracted in large quantities. Besides, detailed assessments on the potential environmental impacts of rare earths production, and Sc in particular, are very rare. This study aims to fill this gap to assess the environmental impacts of the production of Sc2O3, where the technical processes are modelled based on a recent project of Sc recovery from rare earths tailings in Bayan Obo mine. The environmental impacts of 5 major processes and 22 sub-processes involved in the beneficiation stage and the smelting stage have been evaluated with the synergies of various inventory data. It is found that the beneficiation stage accounts for 88% of the overall impact, around 56% of which is contributed by the secondary separation process. Among the ten assessed categories, Human toxicity non-cancer (HTNC) and Global Warming Air (GWA) are the top two significant impacts caused by Sc2O3 production. Through comparative analysis with published results, it's found that the environmental impact of Sc2O3 production from the tailings of Bayan Obo mine are much lower than those of direct production from the mixed rare earths ores. Our hotspot analysis identifies that the consumption of steam in Fe separation (II) and oxalic acid in oxalic acid precipitation are the major contributors to the total environmental impacts of Sc2O3 production. Thus, strategies to reduce their use and improve environmental performance in their production are highly encouraged. This study can provide a basis for sustainable raw material sourcing for the clean development of the third-generation SOFC battery.","author":[{"dropping-particle":"","family":"Wang","given":"Lu","non-dropping-particle":"","parse-names":false,"suffix":""},{"dropping-particle":"","family":"Wang","given":"Peng","non-dropping-particle":"","parse-names":false,"suffix":""},{"dropping-particle":"","family":"Chen","given":"Wei Qiang","non-dropping-particle":"","parse-names":false,"suffix":""},{"dropping-particle":"","family":"Wang","given":"Qian Qian","non-dropping-particle":"","parse-names":false,"suffix":""},{"dropping-particle":"","family":"Lu","given":"Hu Sheng","non-dropping-particle":"","parse-names":false,"suffix":""}],"container-title":"Journal of Cleaner Production","id":"ITEM-1","issued":{"date-parts":[["2020"]]},"page":"122464","publisher":"Elsevier Ltd","title":"Environmental impacts of scandium oxide production from rare earths tailings of Bayan Obo Mine","type":"article-journal","volume":"270"},"uris":["http://www.mendeley.com/documents/?uuid=c46a8acf-9284-4048-9b42-3c524fcf6c73"]}],"mendeley":{"formattedCitation":"(Wang et al., 2020)","manualFormatting":"Wang et al. (2020)","plainTextFormattedCitation":"(Wang et al., 2020)","previouslyFormattedCitation":"(Wang et al., 2020)"},"properties":{"noteIndex":0},"schema":"https://github.com/citation-style-language/schema/raw/master/csl-citation.json"}</w:instrText>
      </w:r>
      <w:r w:rsidR="00891880">
        <w:rPr>
          <w:lang w:val="en-US"/>
        </w:rPr>
        <w:fldChar w:fldCharType="separate"/>
      </w:r>
      <w:r w:rsidR="00891880" w:rsidRPr="00760482">
        <w:rPr>
          <w:noProof/>
          <w:lang w:val="en-US"/>
        </w:rPr>
        <w:t>Wang et al.</w:t>
      </w:r>
      <w:r w:rsidR="00891880">
        <w:rPr>
          <w:noProof/>
          <w:lang w:val="en-US"/>
        </w:rPr>
        <w:t xml:space="preserve"> (</w:t>
      </w:r>
      <w:r w:rsidR="00891880" w:rsidRPr="00760482">
        <w:rPr>
          <w:noProof/>
          <w:lang w:val="en-US"/>
        </w:rPr>
        <w:t>2020)</w:t>
      </w:r>
      <w:r w:rsidR="00891880">
        <w:rPr>
          <w:lang w:val="en-US"/>
        </w:rPr>
        <w:fldChar w:fldCharType="end"/>
      </w:r>
      <w:r w:rsidR="00F706C7">
        <w:rPr>
          <w:lang w:val="en-US"/>
        </w:rPr>
        <w:t xml:space="preserve">, </w:t>
      </w:r>
      <w:r w:rsidRPr="00C77736">
        <w:rPr>
          <w:lang w:val="en-US"/>
        </w:rPr>
        <w:t>used in the model, corresponds to this route. However, the biological production route</w:t>
      </w:r>
      <w:r w:rsidR="00AB01CE">
        <w:rPr>
          <w:lang w:val="en-US"/>
        </w:rPr>
        <w:t>,</w:t>
      </w:r>
      <w:r w:rsidRPr="00C77736">
        <w:rPr>
          <w:lang w:val="en-US"/>
        </w:rPr>
        <w:t xml:space="preserve"> modeled in the LCA work for REEs recycling</w:t>
      </w:r>
      <w:r>
        <w:rPr>
          <w:lang w:val="en-US"/>
        </w:rPr>
        <w:t xml:space="preserve"> </w:t>
      </w:r>
      <w:r w:rsidR="00F706C7" w:rsidRPr="0058383C">
        <w:rPr>
          <w:lang w:val="en-US"/>
        </w:rPr>
        <w:t xml:space="preserve">of </w:t>
      </w:r>
      <w:r w:rsidR="00F706C7">
        <w:rPr>
          <w:lang w:val="en-US"/>
        </w:rPr>
        <w:fldChar w:fldCharType="begin" w:fldLock="1"/>
      </w:r>
      <w:r w:rsidR="00F706C7">
        <w:rPr>
          <w:lang w:val="en-US"/>
        </w:rPr>
        <w:instrText>ADDIN CSL_CITATION {"citationItems":[{"id":"ITEM-1","itemData":{"DOI":"10.1021/es302192t","ISSN":"0013936X","PMID":"23323842","abstract":"Life cycle assessment (LCA) was applied to hydrometallurgical treatments carried out using a new portable prototype plant for the recovery of valuable metals from waste electrical and electronic equipment (WEEE). The plant was fed with the WEEE residues from physical processes for the recycling of fluorescent lamps, cathode ray tubes (CRTs), Li-ion accumulators and printed circuit boards (PCBs). Leaching with sulfuric acid was carried out, followed by metal recovery by selective precipitation. A final step of wastewater treatment with lime was performed. The recovered metals included yttrium, zinc, cobalt, lithium, copper, gold, and silver. The category of global warming potential was the most critical one considering the specifications for southern European territories, with 13.3 kg CO2/kg recovered metal from the powders/residues from fluorescent lamps, 19.2 kg CO2/kg from CRTs, 27.0 kg CO 2/kg from Li-ion accumulators and 25.9 kg CO2/kg from PCBs. Data also show that metal extraction steps have the highest load for the environment. In general, these processes appear beneficial for the environment in terms of CO2 emissions, especially for metal recovery from WEEE residues from fluorescent lamps and CRTs. © 2013 American Chemical Society.","author":[{"dropping-particle":"","family":"Rocchetti","given":"Laura","non-dropping-particle":"","parse-names":false,"suffix":""},{"dropping-particle":"","family":"Vegliò","given":"Francesco","non-dropping-particle":"","parse-names":false,"suffix":""},{"dropping-particle":"","family":"Kopacek","given":"Bernd","non-dropping-particle":"","parse-names":false,"suffix":""},{"dropping-particle":"","family":"Beolchini","given":"Francesca","non-dropping-particle":"","parse-names":false,"suffix":""}],"container-title":"Environmental Science and Technology","id":"ITEM-1","issue":"3","issued":{"date-parts":[["2013"]]},"page":"1581-1588","title":"Environmental impact assessment of hydrometallurgical processes for metal recovery from WEEE residues using a portable prototype plant","type":"article-journal","volume":"47"},"uris":["http://www.mendeley.com/documents/?uuid=27cc76c8-c8fb-4129-b19a-1b8fdb4634ec"]}],"mendeley":{"formattedCitation":"(Rocchetti et al., 2013)","manualFormatting":"Rocchetti et al. (2013)","plainTextFormattedCitation":"(Rocchetti et al., 2013)","previouslyFormattedCitation":"(Rocchetti et al., 2013)"},"properties":{"noteIndex":0},"schema":"https://github.com/citation-style-language/schema/raw/master/csl-citation.json"}</w:instrText>
      </w:r>
      <w:r w:rsidR="00F706C7">
        <w:rPr>
          <w:lang w:val="en-US"/>
        </w:rPr>
        <w:fldChar w:fldCharType="separate"/>
      </w:r>
      <w:r w:rsidR="00F706C7" w:rsidRPr="005617B5">
        <w:rPr>
          <w:noProof/>
          <w:lang w:val="en-US"/>
        </w:rPr>
        <w:t>Rocchetti et al.</w:t>
      </w:r>
      <w:r w:rsidR="00F706C7">
        <w:rPr>
          <w:noProof/>
          <w:lang w:val="en-US"/>
        </w:rPr>
        <w:t xml:space="preserve"> (</w:t>
      </w:r>
      <w:r w:rsidR="00F706C7" w:rsidRPr="005617B5">
        <w:rPr>
          <w:noProof/>
          <w:lang w:val="en-US"/>
        </w:rPr>
        <w:t>2013)</w:t>
      </w:r>
      <w:r w:rsidR="00F706C7">
        <w:rPr>
          <w:lang w:val="en-US"/>
        </w:rPr>
        <w:fldChar w:fldCharType="end"/>
      </w:r>
      <w:r w:rsidR="00AB01CE">
        <w:rPr>
          <w:lang w:val="en-US"/>
        </w:rPr>
        <w:t>,</w:t>
      </w:r>
      <w:r w:rsidR="00F706C7">
        <w:rPr>
          <w:lang w:val="en-US"/>
        </w:rPr>
        <w:t xml:space="preserve"> also presents the oxalic acid as a hot spot. </w:t>
      </w:r>
    </w:p>
    <w:p w14:paraId="176AF2E3" w14:textId="512DB6CC" w:rsidR="00F706C7" w:rsidRDefault="00D77111" w:rsidP="0015740E">
      <w:pPr>
        <w:rPr>
          <w:lang w:val="en-US"/>
        </w:rPr>
      </w:pPr>
      <w:r w:rsidRPr="00D77111">
        <w:rPr>
          <w:lang w:val="en-US"/>
        </w:rPr>
        <w:t xml:space="preserve">Conversely, other studies that preferred using a proxy from the </w:t>
      </w:r>
      <w:proofErr w:type="spellStart"/>
      <w:r w:rsidRPr="00D77111">
        <w:rPr>
          <w:lang w:val="en-US"/>
        </w:rPr>
        <w:t>ecoinvent</w:t>
      </w:r>
      <w:proofErr w:type="spellEnd"/>
      <w:r w:rsidRPr="00D77111">
        <w:rPr>
          <w:lang w:val="en-US"/>
        </w:rPr>
        <w:t xml:space="preserve"> database to approximate the input of oxalic acid do not have the chemical reagent highlighted </w:t>
      </w:r>
      <w:r w:rsidR="00F706C7" w:rsidRPr="008107BE">
        <w:rPr>
          <w:lang w:val="en-US"/>
        </w:rPr>
        <w:fldChar w:fldCharType="begin" w:fldLock="1"/>
      </w:r>
      <w:r w:rsidR="00F706C7" w:rsidRPr="008107BE">
        <w:rPr>
          <w:lang w:val="en-US"/>
        </w:rPr>
        <w:instrText>ADDIN CSL_CITATION {"citationItems":[{"id":"ITEM-1","itemData":{"DOI":"10.1371/journal.pone.0101298","ISSN":"19326203","PMID":"24999810","abstract":"We have assembled extensive information on the cradle-to-gate environmental burdens of 63 metals in their major use forms, and illustrated the interconnectedness of metal production systems. Related cumulative energy use, global warming potential, human health implications and ecosystem damage are estimated by metal life cycle stage (i.e., mining, purification, and refining). For some elements, these are the first life cycle estimates of environmental impacts reported in the literature. We show that, if compared on a per kilogram basis, the platinum group metals and gold display the highest environmental burdens, while many of the major industrial metals (e.g., iron, manganese, titanium) are found at the lower end of the environmental impacts scale. If compared on the basis of their global annual production in 2008, iron and aluminum display the largest impacts, and thallium and tellurium the lowest. With the exception of a few metals, environmental impacts of the majority of elements are dominated by the purification and refining stages in which metals are transformed from a concentrate into their metallic form. Out of the 63 metals investigated, 42 metals are obtained as coproducts in multi output processes. We test the sensitivity of varying allocation rationales, in which the environmental burden are allocated to the various metal and mineral products, on the overall results. Monte-Carlo simulation is applied to further investigate the stability of our results. This analysis is the most comprehensive life cycle comparison of metals to date and allows for the first time a complete bottom-up estimate of life cycle impacts of the metals and mining sector globally. We estimate global direct and indirect greenhouse gas emissions in 2008 at 3.4 Gt CO2-eq per year and primary energy use at 49 EJ per year (9.5% of global use), and report the shares for all metals to both impact categories. © 2014 Nuss, Eckelman.","author":[{"dropping-particle":"","family":"Nuss","given":"Philip","non-dropping-particle":"","parse-names":false,"suffix":""},{"dropping-particle":"","family":"Eckelman","given":"Matthew J.","non-dropping-particle":"","parse-names":false,"suffix":""}],"container-title":"PLoS ONE","id":"ITEM-1","issue":"7","issued":{"date-parts":[["2014"]]},"page":"1-12","title":"Life cycle assessment of metals: A scientific synthesis","type":"article-journal","volume":"9"},"uris":["http://www.mendeley.com/documents/?uuid=708ae3d0-c3ef-4bfb-9718-0123b4b099aa"]},{"id":"ITEM-2","itemData":{"DOI":"10.1016/j.jenvman.2017.07.076","ISSN":"10958630","PMID":"28783022","abstract":"Over the past decade, Rare Earth Elements (REEs) have gained special interests due to their significance in many industrial applications, especially those related to clean energy. While REEs production is known to cause damage to the ecosystem, only a handful of Life Cycle Assessment (LCA) investigations have been conducted in recent years, mainly due to lack of data and information. This is especially true for the solvent extraction separation of REEs from aqueous solution which is a challenging step in the REEs production route. In the current investigation, an LCA is carried out on a typical REE solvent extraction process using P204/kerosene and the energy/material flows and emissions data were collected from two different solvent extraction facilities in Inner Mongolia and Fujian provinces in China. In order to develop life cycle inventories, Ecoinvent 3 and SimaPro 8 software together with energy/mass stoichiometry and balance were utilized. TRACI and ILCD were applied as impact assessment tools and LCA outcomes were employed to examine and determine ecological burdens of the REEs solvent extraction operation. Based on the results, in comparison with the production of generic organic solvent in the Ecoinvent dataset, P204 production has greater burdens on all TRACI impact categories. However, due to the small amount of consumption, the contribution of P204 remains minimal. Additionally, sodium hydroxide and hydrochloric acid are the two impactful chemicals on most environmental categories used in the solvent extraction operation. On average, the solvent extraction step accounts for 30% of the total environmental impacts associated with individual REOs. Finally, opportunities and challenges for an enhanced environmental performance of the REEs solvent extraction operation were investigated.","author":[{"dropping-particle":"","family":"Vahidi","given":"Ehsan","non-dropping-particle":"","parse-names":false,"suffix":""},{"dropping-particle":"","family":"Zhao","given":"Fu","non-dropping-particle":"","parse-names":false,"suffix":""}],"container-title":"Journal of Environmental Management","id":"ITEM-2","issued":{"date-parts":[["2017"]]},"page":"255-263","publisher":"Elsevier Ltd","title":"Environmental life cycle assessment on the separation of rare earth oxides through solvent extraction","type":"article-journal","volume":"203"},"uris":["http://www.mendeley.com/documents/?uuid=929badc4-70ad-444c-9ae4-2bdcc292d0b8"]}],"mendeley":{"formattedCitation":"(Nuss &amp; Eckelman, 2014; Vahidi &amp; Zhao, 2017)","plainTextFormattedCitation":"(Nuss &amp; Eckelman, 2014; Vahidi &amp; Zhao, 2017)","previouslyFormattedCitation":"(Nuss &amp; Eckelman, 2014; Vahidi &amp; Zhao, 2017)"},"properties":{"noteIndex":0},"schema":"https://github.com/citation-style-language/schema/raw/master/csl-citation.json"}</w:instrText>
      </w:r>
      <w:r w:rsidR="00F706C7" w:rsidRPr="008107BE">
        <w:rPr>
          <w:lang w:val="en-US"/>
        </w:rPr>
        <w:fldChar w:fldCharType="separate"/>
      </w:r>
      <w:r w:rsidR="00F706C7" w:rsidRPr="008107BE">
        <w:rPr>
          <w:noProof/>
          <w:lang w:val="en-US"/>
        </w:rPr>
        <w:t>(Nuss &amp; Eckelman, 2014;</w:t>
      </w:r>
      <w:r w:rsidR="00F706C7" w:rsidRPr="008107BE">
        <w:rPr>
          <w:lang w:val="en-US"/>
        </w:rPr>
        <w:fldChar w:fldCharType="end"/>
      </w:r>
      <w:r w:rsidR="0029575E" w:rsidRPr="008107BE">
        <w:rPr>
          <w:lang w:val="en-US"/>
        </w:rPr>
        <w:t xml:space="preserve"> </w:t>
      </w:r>
      <w:r w:rsidR="00F706C7" w:rsidRPr="008107BE">
        <w:rPr>
          <w:lang w:val="en-US"/>
        </w:rPr>
        <w:fldChar w:fldCharType="begin" w:fldLock="1"/>
      </w:r>
      <w:r w:rsidR="00F706C7" w:rsidRPr="008107BE">
        <w:rPr>
          <w:lang w:val="en-US"/>
        </w:rPr>
        <w:instrText>ADDIN CSL_CITATION {"citationItems":[{"id":"ITEM-1","itemData":{"DOI":"10.1371/journal.pone.0101298","ISSN":"19326203","PMID":"24999810","abstract":"We have assembled extensive information on the cradle-to-gate environmental burdens of 63 metals in their major use forms, and illustrated the interconnectedness of metal production systems. Related cumulative energy use, global warming potential, human health implications and ecosystem damage are estimated by metal life cycle stage (i.e., mining, purification, and refining). For some elements, these are the first life cycle estimates of environmental impacts reported in the literature. We show that, if compared on a per kilogram basis, the platinum group metals and gold display the highest environmental burdens, while many of the major industrial metals (e.g., iron, manganese, titanium) are found at the lower end of the environmental impacts scale. If compared on the basis of their global annual production in 2008, iron and aluminum display the largest impacts, and thallium and tellurium the lowest. With the exception of a few metals, environmental impacts of the majority of elements are dominated by the purification and refining stages in which metals are transformed from a concentrate into their metallic form. Out of the 63 metals investigated, 42 metals are obtained as coproducts in multi output processes. We test the sensitivity of varying allocation rationales, in which the environmental burden are allocated to the various metal and mineral products, on the overall results. Monte-Carlo simulation is applied to further investigate the stability of our results. This analysis is the most comprehensive life cycle comparison of metals to date and allows for the first time a complete bottom-up estimate of life cycle impacts of the metals and mining sector globally. We estimate global direct and indirect greenhouse gas emissions in 2008 at 3.4 Gt CO2-eq per year and primary energy use at 49 EJ per year (9.5% of global use), and report the shares for all metals to both impact categories. © 2014 Nuss, Eckelman.","author":[{"dropping-particle":"","family":"Nuss","given":"Philip","non-dropping-particle":"","parse-names":false,"suffix":""},{"dropping-particle":"","family":"Eckelman","given":"Matthew J.","non-dropping-particle":"","parse-names":false,"suffix":""}],"container-title":"PLoS ONE","id":"ITEM-1","issue":"7","issued":{"date-parts":[["2014"]]},"page":"1-12","title":"Life cycle assessment of metals: A scientific synthesis","type":"article-journal","volume":"9"},"uris":["http://www.mendeley.com/documents/?uuid=708ae3d0-c3ef-4bfb-9718-0123b4b099aa"]},{"id":"ITEM-2","itemData":{"DOI":"10.1016/j.resconrec.2016.05.006","ISSN":"18790658","abstract":"Rare earth elements (REEs) have found applications in the aerospace, automotive, consumer electronics and lighting industries, among others. A special class of REEs known as heavy rare earths (HREEs) is of particular importance to energy applications. With the growing clean energy technologies incorporating HREEs, it is valuable to examine their environmental emissions and energy requirements. Currently, extraction of HREEs is mainly carried out in China, where they are extracted mainly via open pit mining of bastnasite and/or monazite and leaching of ion-adsorption clays. Leach mining varies significantly from open pit mining technique in that the ores have much lower REE content but REEs stay as cations thus there is no need for physical and chemical beneficiation. To date limited life cycle assessment (LCA) studies have been done on REEs production and all of them are for the bastnasite/monazite route. This paper presents the first LCA of in-situ leach mining of REEs from ion adsorption clays in southern China. The function unit was defined as production of 1 kg of mixed rare earth oxides (REOs) of purity 92%. Ecoinvent 3.0 database was adopted for inventory analysis with material and energy flow information gathered from Chinese literature. To facilitate the use of results in U.S. and EU, TRACI and ILCD in SimaPro 8 were used for environmental impact assessment and cumulative energy demand was also considered as one additional category. The results showed that the environmental impacts for REOs derived from ion adsorption clays are similar in categories such as global warming and cumulative energy demand, but differs significantly in categories of eutrophication and acidification. Since the content of high value HREEs is much higher in ion adsorption clays, when economic value based allocation is used individual REO from in situ leaching has lower environmental impacts across all categories considered. With estimates of HREEs derived from ion-adsorption clays accounting for approximately 35% of the Chinese output, this LCA is a step towards getting a full understanding of the true environmental impact of technologies incorporating HREEs.","author":[{"dropping-particle":"","family":"Vahidi","given":"Ehsan","non-dropping-particle":"","parse-names":false,"suffix":""},{"dropping-particle":"","family":"Navarro","given":"Julio","non-dropping-particle":"","parse-names":false,"suffix":""},{"dropping-particle":"","family":"Zhao","given":"Fu","non-dropping-particle":"","parse-names":false,"suffix":""}],"container-title":"Resources, Conservation and Recycling","id":"ITEM-2","issued":{"date-parts":[["2016"]]},"page":"1-11","publisher":"Elsevier B.V.","title":"An initial life cycle assessment of rare earth oxides production from ion-adsorption clays","type":"article-journal","volume":"113"},"uris":["http://www.mendeley.com/documents/?uuid=6a9fa437-81f9-4cc6-8915-1f0665273070"]}],"mendeley":{"formattedCitation":"(Nuss &amp; Eckelman, 2014; Vahidi et al., 2016)","plainTextFormattedCitation":"(Nuss &amp; Eckelman, 2014; Vahidi et al., 2016)","previouslyFormattedCitation":"(Nuss &amp; Eckelman, 2014; Vahidi et al., 2016)"},"properties":{"noteIndex":0},"schema":"https://github.com/citation-style-language/schema/raw/master/csl-citation.json"}</w:instrText>
      </w:r>
      <w:r w:rsidR="00F706C7" w:rsidRPr="008107BE">
        <w:rPr>
          <w:lang w:val="en-US"/>
        </w:rPr>
        <w:fldChar w:fldCharType="separate"/>
      </w:r>
      <w:r w:rsidR="00F706C7" w:rsidRPr="008107BE">
        <w:rPr>
          <w:noProof/>
          <w:lang w:val="en-US"/>
        </w:rPr>
        <w:t>Vahidi et al., 2016</w:t>
      </w:r>
      <w:r w:rsidR="0029575E" w:rsidRPr="008107BE">
        <w:rPr>
          <w:noProof/>
          <w:lang w:val="en-US"/>
        </w:rPr>
        <w:t>;</w:t>
      </w:r>
      <w:r w:rsidR="00F706C7" w:rsidRPr="008107BE">
        <w:rPr>
          <w:lang w:val="en-US"/>
        </w:rPr>
        <w:fldChar w:fldCharType="end"/>
      </w:r>
      <w:r w:rsidR="0029575E" w:rsidRPr="008107BE">
        <w:rPr>
          <w:noProof/>
          <w:lang w:val="en-US"/>
        </w:rPr>
        <w:t xml:space="preserve"> Vahidi &amp; Zhao, 2017).</w:t>
      </w:r>
      <w:r w:rsidR="00F706C7">
        <w:rPr>
          <w:lang w:val="en-US"/>
        </w:rPr>
        <w:t xml:space="preserve"> </w:t>
      </w:r>
      <w:r w:rsidR="00A35373">
        <w:rPr>
          <w:lang w:val="en-US"/>
        </w:rPr>
        <w:t>For the route, t</w:t>
      </w:r>
      <w:r w:rsidRPr="00D77111">
        <w:rPr>
          <w:lang w:val="en-US"/>
        </w:rPr>
        <w:t>his is evaluated in one of the sensitivity tests, where a general proxy for producing organic chemicals substitutes the actual modeling of oxalic acid. As a result, the system's environmental performance improves, mainly in the impact categories where oxalic acid is a major contributor (improvements reach more than 80%). Unfortunately, the author lacks the knowledge to judge the fairness of the dataset representing the production process of oxalic acid. Due to that, it is unclear what is more robust to the model.</w:t>
      </w:r>
    </w:p>
    <w:p w14:paraId="184EA8D3" w14:textId="77777777" w:rsidR="00D77111" w:rsidRDefault="00D77111" w:rsidP="0015740E">
      <w:pPr>
        <w:rPr>
          <w:lang w:val="en-US"/>
        </w:rPr>
      </w:pPr>
    </w:p>
    <w:p w14:paraId="7CF4A768" w14:textId="0383AF98" w:rsidR="00F706C7" w:rsidRDefault="007E7957" w:rsidP="0015740E">
      <w:pPr>
        <w:rPr>
          <w:lang w:val="en-US"/>
        </w:rPr>
      </w:pPr>
      <w:r w:rsidRPr="007E7957">
        <w:rPr>
          <w:lang w:val="en-US"/>
        </w:rPr>
        <w:lastRenderedPageBreak/>
        <w:t xml:space="preserve">Regarding the fragmentation unit process being spotted mainly in the toxicity related impact categories, it should be acknowledged that the ILCD LCIAM approach adopted uses the </w:t>
      </w:r>
      <w:proofErr w:type="spellStart"/>
      <w:r w:rsidRPr="007E7957">
        <w:rPr>
          <w:lang w:val="en-US"/>
        </w:rPr>
        <w:t>USEtox</w:t>
      </w:r>
      <w:proofErr w:type="spellEnd"/>
      <w:r w:rsidRPr="007E7957">
        <w:rPr>
          <w:lang w:val="en-US"/>
        </w:rPr>
        <w:t xml:space="preserve"> characterization model in those categories. The </w:t>
      </w:r>
      <w:proofErr w:type="spellStart"/>
      <w:r w:rsidRPr="007E7957">
        <w:rPr>
          <w:lang w:val="en-US"/>
        </w:rPr>
        <w:t>USEtox</w:t>
      </w:r>
      <w:proofErr w:type="spellEnd"/>
      <w:r w:rsidRPr="007E7957">
        <w:rPr>
          <w:lang w:val="en-US"/>
        </w:rPr>
        <w:t xml:space="preserve"> model has very high and uncertain CFs for metals</w:t>
      </w:r>
      <w:r>
        <w:rPr>
          <w:lang w:val="en-US"/>
        </w:rPr>
        <w:t xml:space="preserve"> </w:t>
      </w:r>
      <w:r w:rsidR="00F706C7">
        <w:rPr>
          <w:lang w:val="en-US"/>
        </w:rPr>
        <w:fldChar w:fldCharType="begin" w:fldLock="1"/>
      </w:r>
      <w:r w:rsidR="00F706C7">
        <w:rPr>
          <w:lang w:val="en-US"/>
        </w:rPr>
        <w:instrText>ADDIN CSL_CITATION {"citationItems":[{"id":"ITEM-1","itemData":{"DOI":"10.1007/s11367-015-0958-8","ISSN":"16147502","abstract":"Purpose: Assessing comprehensively the overall environmental impacts of a region remains a major challenge. Within life cycle assessment (LCA), this evaluation is performed calculating normalisation factors (NFs) at different scales. Normalisation represents an optional step of LCA according to ISO 14040/44 which may help in understanding the relative magnitude of the impact associated to a product when compared to a reference value. In order to enhance the robustness and comprehensiveness of NFs, this paper presents a methodology for building an extended domestic inventory of emission and resources extraction. The domestic inventory refers to emissions and extractions due to the processes located within a geographical region, Europe (EU 27), in 2010. A robust regional inventory is a fundamental element for supporting the calculation of global factors, often resulting form extrapolation and upscaling from regional ones. Methods: The NFs for EU 27 in 2010 are based on extensive data collection and the application of extrapolation strategies for data gaps filling. The inventory is based on domestic emissions into air, water and soil and on resource extracted in EU, adopting a production-based approach. A hierarchy is developed for selection of data sources based on their robustness and quality. Data gap filling is based on several proxy indicators, specific for each impact category, capitalising existing statistics on pressure indicators (e.g. estimating ionising radiation emissions based on data of electricity production from nuclear power plants). To calculate NFs, the inventory is characterised using the International reference Life Cycle Data System (ILCD) Handbook (EC-JRC 2011a) midpoint indicators. Results and discussion: The resulting NFs present several added values compared to earlier normalisation exercises based on domestic inventories, namely more complete inventory, based on wide variety of sources; more comprehensive coverage of the flows within each impact category; overall evaluation of the robustness of the final figures; and robustness evaluation of the data sources. Contribution analysis shows that few flows (NOx, SOx, NH4, etc.) are driving the impacts of several impact categories, and the choice of the data sources is particularly crucial, as this may lead to differences in the NFs. A qualitative uncertainty assessment is reported for each impact category. Besides, in order to test the robustness of the NFs, a sensitivity analysis on …","author":[{"dropping-particle":"","family":"Sala","given":"Serenella","non-dropping-particle":"","parse-names":false,"suffix":""},{"dropping-particle":"","family":"Benini","given":"Lorenzo","non-dropping-particle":"","parse-names":false,"suffix":""},{"dropping-particle":"","family":"Mancini","given":"Lucia","non-dropping-particle":"","parse-names":false,"suffix":""},{"dropping-particle":"","family":"Pant","given":"Rana","non-dropping-particle":"","parse-names":false,"suffix":""}],"container-title":"International Journal of Life Cycle Assessment","id":"ITEM-1","issue":"11","issued":{"date-parts":[["2015"]]},"page":"1568-1585","title":"Integrated assessment of environmental impact of Europe in 2010: data sources and extrapolation strategies for calculating normalisation factors","type":"article-journal","volume":"20"},"uris":["http://www.mendeley.com/documents/?uuid=e3eab5e8-c9d0-48d8-8280-3454f20000e3"]}],"mendeley":{"formattedCitation":"(Sala et al., 2015)","plainTextFormattedCitation":"(Sala et al., 2015)","previouslyFormattedCitation":"(Sala et al., 2015)"},"properties":{"noteIndex":0},"schema":"https://github.com/citation-style-language/schema/raw/master/csl-citation.json"}</w:instrText>
      </w:r>
      <w:r w:rsidR="00F706C7">
        <w:rPr>
          <w:lang w:val="en-US"/>
        </w:rPr>
        <w:fldChar w:fldCharType="separate"/>
      </w:r>
      <w:r w:rsidR="00F706C7" w:rsidRPr="00B35DA6">
        <w:rPr>
          <w:noProof/>
          <w:lang w:val="en-US"/>
        </w:rPr>
        <w:t>(Sala et al., 2015)</w:t>
      </w:r>
      <w:r w:rsidR="00F706C7">
        <w:rPr>
          <w:lang w:val="en-US"/>
        </w:rPr>
        <w:fldChar w:fldCharType="end"/>
      </w:r>
      <w:r w:rsidR="00F706C7">
        <w:rPr>
          <w:lang w:val="en-US"/>
        </w:rPr>
        <w:t xml:space="preserve">. </w:t>
      </w:r>
      <w:r w:rsidRPr="007E7957">
        <w:rPr>
          <w:lang w:val="en-US"/>
        </w:rPr>
        <w:t xml:space="preserve">Indeed, the dust generated in the fragmentation process is composed mainly of metals. In this process, HDDs are torn apart to obtain the magnetic powder. The model assumes that about 10% of the mass of fragmented HDDs is lost as dust. The dust is assumed to be captured by the plant’s scrubber system to be treated accordingly. The modeling of the dust treatment is approximated by the proxy “treatment of fly ash and scrubber sludge, hazardous waste incineration” from the </w:t>
      </w:r>
      <w:proofErr w:type="spellStart"/>
      <w:r w:rsidRPr="007E7957">
        <w:rPr>
          <w:lang w:val="en-US"/>
        </w:rPr>
        <w:t>ecoinvent</w:t>
      </w:r>
      <w:proofErr w:type="spellEnd"/>
      <w:r w:rsidRPr="007E7957">
        <w:rPr>
          <w:lang w:val="en-US"/>
        </w:rPr>
        <w:t xml:space="preserve"> database. </w:t>
      </w:r>
      <w:r w:rsidR="001E13A2">
        <w:rPr>
          <w:lang w:val="en-US"/>
        </w:rPr>
        <w:t>It is assumed that a</w:t>
      </w:r>
      <w:r w:rsidRPr="007E7957">
        <w:rPr>
          <w:lang w:val="en-US"/>
        </w:rPr>
        <w:t xml:space="preserve"> small percentage of the dust spaces out to the atmosphere, which is modeled considering </w:t>
      </w:r>
      <w:proofErr w:type="spellStart"/>
      <w:r w:rsidRPr="007E7957">
        <w:rPr>
          <w:lang w:val="en-US"/>
        </w:rPr>
        <w:t>ecoinvent’s</w:t>
      </w:r>
      <w:proofErr w:type="spellEnd"/>
      <w:r w:rsidRPr="007E7957">
        <w:rPr>
          <w:lang w:val="en-US"/>
        </w:rPr>
        <w:t xml:space="preserve"> assumptions for the direct emissions in “treatment of waste electric and electronic equipment, shredding” </w:t>
      </w:r>
      <w:r w:rsidR="00F706C7" w:rsidRPr="000E74CA">
        <w:rPr>
          <w:lang w:val="en-US"/>
        </w:rPr>
        <w:t>(refer to</w:t>
      </w:r>
      <w:r w:rsidR="00F706C7">
        <w:rPr>
          <w:lang w:val="en-US"/>
        </w:rPr>
        <w:t xml:space="preserve"> </w:t>
      </w:r>
      <w:r w:rsidR="00F706C7">
        <w:rPr>
          <w:lang w:val="en-US"/>
        </w:rPr>
        <w:fldChar w:fldCharType="begin"/>
      </w:r>
      <w:r w:rsidR="00F706C7">
        <w:rPr>
          <w:lang w:val="en-US"/>
        </w:rPr>
        <w:instrText xml:space="preserve"> REF _Ref74849615 \w \h </w:instrText>
      </w:r>
      <w:r w:rsidR="0015740E">
        <w:rPr>
          <w:lang w:val="en-US"/>
        </w:rPr>
        <w:instrText xml:space="preserve"> \* MERGEFORMAT </w:instrText>
      </w:r>
      <w:r w:rsidR="00F706C7">
        <w:rPr>
          <w:lang w:val="en-US"/>
        </w:rPr>
      </w:r>
      <w:r w:rsidR="00F706C7">
        <w:rPr>
          <w:lang w:val="en-US"/>
        </w:rPr>
        <w:fldChar w:fldCharType="separate"/>
      </w:r>
      <w:r w:rsidR="00F706C7">
        <w:rPr>
          <w:lang w:val="en-US"/>
        </w:rPr>
        <w:t>appendix A</w:t>
      </w:r>
      <w:r w:rsidR="00F706C7">
        <w:rPr>
          <w:lang w:val="en-US"/>
        </w:rPr>
        <w:fldChar w:fldCharType="end"/>
      </w:r>
      <w:r w:rsidR="00F706C7">
        <w:rPr>
          <w:lang w:val="en-US"/>
        </w:rPr>
        <w:t xml:space="preserve"> </w:t>
      </w:r>
      <w:r w:rsidR="00F706C7" w:rsidRPr="000E74CA">
        <w:rPr>
          <w:lang w:val="en-US"/>
        </w:rPr>
        <w:t>for detail)</w:t>
      </w:r>
      <w:r w:rsidR="00F706C7">
        <w:rPr>
          <w:lang w:val="en-US"/>
        </w:rPr>
        <w:t xml:space="preserve">. </w:t>
      </w:r>
      <w:r w:rsidR="001E13A2">
        <w:rPr>
          <w:lang w:val="en-US"/>
        </w:rPr>
        <w:t>In this way</w:t>
      </w:r>
      <w:r w:rsidRPr="007E7957">
        <w:rPr>
          <w:lang w:val="en-US"/>
        </w:rPr>
        <w:t xml:space="preserve">, the modeling of metal emissions into the air is based on the diverse feed </w:t>
      </w:r>
      <w:r w:rsidRPr="00BF6B0E">
        <w:rPr>
          <w:lang w:val="en-US"/>
        </w:rPr>
        <w:t>of</w:t>
      </w:r>
      <w:r w:rsidR="00F706C7" w:rsidRPr="00BF6B0E">
        <w:rPr>
          <w:lang w:val="en-US"/>
        </w:rPr>
        <w:t xml:space="preserve"> WEEE</w:t>
      </w:r>
      <w:r w:rsidRPr="00BF6B0E">
        <w:rPr>
          <w:lang w:val="en-US"/>
        </w:rPr>
        <w:t>,</w:t>
      </w:r>
      <w:r w:rsidR="00F706C7">
        <w:rPr>
          <w:lang w:val="en-US"/>
        </w:rPr>
        <w:t xml:space="preserve"> a</w:t>
      </w:r>
      <w:r w:rsidR="00F706C7" w:rsidRPr="000E74CA">
        <w:rPr>
          <w:lang w:val="en-US"/>
        </w:rPr>
        <w:t>lthough this work deals only with HDDs</w:t>
      </w:r>
      <w:r w:rsidR="00F706C7">
        <w:rPr>
          <w:lang w:val="en-US"/>
        </w:rPr>
        <w:t xml:space="preserve">. </w:t>
      </w:r>
    </w:p>
    <w:p w14:paraId="50C742C8" w14:textId="77777777" w:rsidR="00F706C7" w:rsidRDefault="00F706C7" w:rsidP="0015740E">
      <w:pPr>
        <w:rPr>
          <w:lang w:val="en-US"/>
        </w:rPr>
      </w:pPr>
    </w:p>
    <w:p w14:paraId="76B16B08" w14:textId="734A663F" w:rsidR="00CA2AA8" w:rsidRPr="00CA2AA8" w:rsidRDefault="00CA2AA8" w:rsidP="00951B96">
      <w:pPr>
        <w:rPr>
          <w:lang w:val="en-US"/>
        </w:rPr>
      </w:pPr>
      <w:r w:rsidRPr="00CA2AA8">
        <w:rPr>
          <w:lang w:val="en-US"/>
        </w:rPr>
        <w:t xml:space="preserve">The use of proxies for approximation of processes’ modeling is a common practice in LCA (ex-post and ex-ante), and it has its limitations. This is the case when using the proxy for the dust treatment. In this process, </w:t>
      </w:r>
      <w:proofErr w:type="spellStart"/>
      <w:r w:rsidRPr="00CA2AA8">
        <w:rPr>
          <w:lang w:val="en-US"/>
        </w:rPr>
        <w:t>ecoinvent</w:t>
      </w:r>
      <w:proofErr w:type="spellEnd"/>
      <w:r w:rsidRPr="00CA2AA8">
        <w:rPr>
          <w:lang w:val="en-US"/>
        </w:rPr>
        <w:t xml:space="preserve"> approximates chromium emissions to water from leachate of waste residual material landfills as 100% chromium VI (Doka G., 2009). In fact, the environmental flow contributing to human health carcinogenic effects is revealed as chromium VI coming from the proxy. </w:t>
      </w:r>
      <w:r w:rsidR="009E6D77">
        <w:rPr>
          <w:lang w:val="en-US"/>
        </w:rPr>
        <w:t xml:space="preserve">However, </w:t>
      </w:r>
      <w:r w:rsidR="009E6D77" w:rsidRPr="00CA2AA8">
        <w:rPr>
          <w:lang w:val="en-US"/>
        </w:rPr>
        <w:t xml:space="preserve">the chromium content in HDDs is minimal (0,1-0,5 </w:t>
      </w:r>
      <w:proofErr w:type="spellStart"/>
      <w:r w:rsidR="009E6D77" w:rsidRPr="00CA2AA8">
        <w:rPr>
          <w:lang w:val="en-US"/>
        </w:rPr>
        <w:t>wt</w:t>
      </w:r>
      <w:proofErr w:type="spellEnd"/>
      <w:r w:rsidR="009E6D77" w:rsidRPr="00CA2AA8">
        <w:rPr>
          <w:lang w:val="en-US"/>
        </w:rPr>
        <w:t>%) (</w:t>
      </w:r>
      <w:proofErr w:type="spellStart"/>
      <w:r w:rsidR="009E6D77" w:rsidRPr="00CA2AA8">
        <w:rPr>
          <w:lang w:val="en-US"/>
        </w:rPr>
        <w:t>Abrahami</w:t>
      </w:r>
      <w:proofErr w:type="spellEnd"/>
      <w:r w:rsidR="009E6D77" w:rsidRPr="00CA2AA8">
        <w:rPr>
          <w:lang w:val="en-US"/>
        </w:rPr>
        <w:t xml:space="preserve"> et al., 2015)</w:t>
      </w:r>
      <w:r w:rsidR="009E6D77">
        <w:rPr>
          <w:lang w:val="en-US"/>
        </w:rPr>
        <w:t xml:space="preserve">. </w:t>
      </w:r>
      <w:r w:rsidRPr="00CA2AA8">
        <w:rPr>
          <w:lang w:val="en-US"/>
        </w:rPr>
        <w:t xml:space="preserve">Thus, the robustness of using </w:t>
      </w:r>
      <w:proofErr w:type="spellStart"/>
      <w:r w:rsidRPr="00CA2AA8">
        <w:rPr>
          <w:lang w:val="en-US"/>
        </w:rPr>
        <w:t>ecoinvent’s</w:t>
      </w:r>
      <w:proofErr w:type="spellEnd"/>
      <w:r w:rsidRPr="00CA2AA8">
        <w:rPr>
          <w:lang w:val="en-US"/>
        </w:rPr>
        <w:t xml:space="preserve"> process </w:t>
      </w:r>
      <w:r w:rsidR="009E6D77">
        <w:rPr>
          <w:lang w:val="en-US"/>
        </w:rPr>
        <w:t xml:space="preserve">as a proxy </w:t>
      </w:r>
      <w:r w:rsidRPr="00CA2AA8">
        <w:rPr>
          <w:lang w:val="en-US"/>
        </w:rPr>
        <w:t>for the treatment of fly ash and scrubber sludge</w:t>
      </w:r>
      <w:r w:rsidR="009E6D77">
        <w:rPr>
          <w:lang w:val="en-US"/>
        </w:rPr>
        <w:t xml:space="preserve"> </w:t>
      </w:r>
      <w:r w:rsidRPr="00CA2AA8">
        <w:rPr>
          <w:lang w:val="en-US"/>
        </w:rPr>
        <w:t>is questionable.</w:t>
      </w:r>
      <w:r w:rsidR="009E6D77">
        <w:rPr>
          <w:lang w:val="en-US"/>
        </w:rPr>
        <w:t xml:space="preserve"> So, </w:t>
      </w:r>
      <w:r w:rsidRPr="00CA2AA8">
        <w:rPr>
          <w:lang w:val="en-US"/>
        </w:rPr>
        <w:t xml:space="preserve">the impact on human health carcinogenic effects is probably flawed. </w:t>
      </w:r>
    </w:p>
    <w:p w14:paraId="217F99E5" w14:textId="72E2CDBD" w:rsidR="00AF0878" w:rsidRDefault="00CA2AA8" w:rsidP="00951B96">
      <w:pPr>
        <w:rPr>
          <w:lang w:val="en-US"/>
        </w:rPr>
      </w:pPr>
      <w:r w:rsidRPr="00CA2AA8">
        <w:rPr>
          <w:lang w:val="en-US"/>
        </w:rPr>
        <w:t>The approximation of the direct emissions into the air from the emissions of a shredding process for WEEE can be said more robust. The emissions of zinc and copper (contributing to human health non-carcinogenic effects and freshwater ecotoxicity, respectively) can potentially reflect the actual emissions because the content of zinc and copper in HDDs is more expressive (</w:t>
      </w:r>
      <w:proofErr w:type="spellStart"/>
      <w:r w:rsidRPr="00CA2AA8">
        <w:rPr>
          <w:lang w:val="en-US"/>
        </w:rPr>
        <w:t>Abrahami</w:t>
      </w:r>
      <w:proofErr w:type="spellEnd"/>
      <w:r w:rsidRPr="00CA2AA8">
        <w:rPr>
          <w:lang w:val="en-US"/>
        </w:rPr>
        <w:t xml:space="preserve"> et al., 2015). However, the low robustness of the </w:t>
      </w:r>
      <w:proofErr w:type="spellStart"/>
      <w:r w:rsidRPr="00CA2AA8">
        <w:rPr>
          <w:lang w:val="en-US"/>
        </w:rPr>
        <w:t>USEtox</w:t>
      </w:r>
      <w:proofErr w:type="spellEnd"/>
      <w:r w:rsidRPr="00CA2AA8">
        <w:rPr>
          <w:lang w:val="en-US"/>
        </w:rPr>
        <w:t xml:space="preserve"> characterization model for metals poses an extra issue to the analysis. Therefore, the outcome for the human health non-carcinogenic effects and freshwater ecotoxicity categories is useful in a relative sense and can be flawed</w:t>
      </w:r>
      <w:r w:rsidR="00951B96">
        <w:rPr>
          <w:lang w:val="en-US"/>
        </w:rPr>
        <w:t>.</w:t>
      </w:r>
    </w:p>
    <w:p w14:paraId="6FAA2238" w14:textId="77777777" w:rsidR="00CA2AA8" w:rsidRDefault="00CA2AA8" w:rsidP="00CA2AA8">
      <w:pPr>
        <w:rPr>
          <w:lang w:val="en-US"/>
        </w:rPr>
      </w:pPr>
    </w:p>
    <w:p w14:paraId="1E06417E" w14:textId="3BD90366" w:rsidR="00F706C7" w:rsidRDefault="00AF0878" w:rsidP="0015740E">
      <w:pPr>
        <w:rPr>
          <w:lang w:val="en-US"/>
        </w:rPr>
      </w:pPr>
      <w:r w:rsidRPr="00AF0878">
        <w:rPr>
          <w:lang w:val="en-US"/>
        </w:rPr>
        <w:lastRenderedPageBreak/>
        <w:t>In the sensitivity tests, the environmental performance of the recycling route showed to be very sensitive to both the input of oxalic acid and the way to model it. When proposing the regeneration of the</w:t>
      </w:r>
      <w:r w:rsidR="00092A21">
        <w:rPr>
          <w:lang w:val="en-US"/>
        </w:rPr>
        <w:t xml:space="preserve"> </w:t>
      </w:r>
      <w:r w:rsidRPr="00AF0878">
        <w:rPr>
          <w:lang w:val="en-US"/>
        </w:rPr>
        <w:t>excess of the chemical, the minor improvement is 11% in human health carcinogenic effects. However, it reaches an improvement of 42% in impact categories such as marine and terrestrial eutrophication</w:t>
      </w:r>
      <w:r w:rsidR="00AF2E27">
        <w:rPr>
          <w:lang w:val="en-US"/>
        </w:rPr>
        <w:t xml:space="preserve"> (where oxalic acid is a major contributor)</w:t>
      </w:r>
      <w:r w:rsidRPr="00AF0878">
        <w:rPr>
          <w:lang w:val="en-US"/>
        </w:rPr>
        <w:t xml:space="preserve">. When using an </w:t>
      </w:r>
      <w:proofErr w:type="spellStart"/>
      <w:r w:rsidRPr="00AF0878">
        <w:rPr>
          <w:lang w:val="en-US"/>
        </w:rPr>
        <w:t>ecoinvent’s</w:t>
      </w:r>
      <w:proofErr w:type="spellEnd"/>
      <w:r w:rsidRPr="00AF0878">
        <w:rPr>
          <w:lang w:val="en-US"/>
        </w:rPr>
        <w:t xml:space="preserve"> process as a proxy to model the production of the chemical, the improvements range from 18% to 79%.</w:t>
      </w:r>
    </w:p>
    <w:p w14:paraId="1606D266" w14:textId="77777777" w:rsidR="00AF0878" w:rsidRDefault="00AF0878" w:rsidP="0015740E">
      <w:pPr>
        <w:rPr>
          <w:lang w:val="en-US"/>
        </w:rPr>
      </w:pPr>
    </w:p>
    <w:p w14:paraId="6F6733F3" w14:textId="0F6143A6" w:rsidR="00270FFB" w:rsidRDefault="00AF0878" w:rsidP="00AD46F0">
      <w:pPr>
        <w:rPr>
          <w:lang w:val="en-US"/>
        </w:rPr>
      </w:pPr>
      <w:r w:rsidRPr="00AF0878">
        <w:rPr>
          <w:lang w:val="en-US"/>
        </w:rPr>
        <w:t xml:space="preserve">The sensitivity result for an alternative way to allocate multifunctional processes shows that the environmental profile of the system passes from harmful to benefic. This is a reason that makes "multifunctionality" a heated topic in the LCA community </w:t>
      </w:r>
      <w:r w:rsidR="00F706C7" w:rsidRPr="001008CE">
        <w:rPr>
          <w:lang w:val="en-US"/>
        </w:rPr>
        <w:fldChar w:fldCharType="begin" w:fldLock="1"/>
      </w:r>
      <w:r w:rsidR="00F706C7" w:rsidRPr="001008CE">
        <w:rPr>
          <w:lang w:val="en-US"/>
        </w:rPr>
        <w:instrText>ADDIN CSL_CITATION {"citationItems":[{"id":"ITEM-1","itemData":{"DOI":"10.3390/en13143579","ISSN":"19961073","abstract":"The standard ISO 14044:2006 defines the hierarchical steps to follow when solving multifunctionality issues in life cycle assessment (LCA). However, the practical implementation of such a hierarchy has been debated for twenty-five years leading to different implementation practices from LCA practitioners. The first part of this study discussed the main steps where the ISO hierarchy has been implemented differently and explored current multifunctionality practices in peer-reviewed studies. A text-mining process was applied to quantitatively assess such practices in the 532 multifunctional case studies found in the literature. In the second part of the study, citation network analysis (CNA) was used to identify the major publications that influenced the development of the multifunctionality-debate in LCA, i.e., the key-route main path. The identified publications were then reviewed to detect the origins of the different practices and their underlying theories. Based on these insights, this study provided some \"food for thought\"on current practices to move towards consistent methodology. We believe that such an advancement is urgently needed for better positioning LCA as a tool for sustainability decision-making. In particular, consistent allocation practices could be especially beneficial in bioeconomy sectors, where production processes are usually multifunctional, and where current allocation practices are not harmonized yet.","author":[{"dropping-particle":"","family":"Moretti","given":"Christian","non-dropping-particle":"","parse-names":false,"suffix":""},{"dropping-particle":"","family":"Corona","given":"Blanca","non-dropping-particle":"","parse-names":false,"suffix":""},{"dropping-particle":"","family":"Edwards","given":"Robert","non-dropping-particle":"","parse-names":false,"suffix":""},{"dropping-particle":"","family":"Junginger","given":"Martin","non-dropping-particle":"","parse-names":false,"suffix":""},{"dropping-particle":"","family":"Moro","given":"Alberto","non-dropping-particle":"","parse-names":false,"suffix":""},{"dropping-particle":"","family":"Rocco","given":"Matteo","non-dropping-particle":"","parse-names":false,"suffix":""},{"dropping-particle":"","family":"Shen","given":"Li","non-dropping-particle":"","parse-names":false,"suffix":""}],"container-title":"Energies","id":"ITEM-1","issue":"14","issued":{"date-parts":[["2020"]]},"page":"1-24","title":"Reviewing ISO compliant multifunctionality practices in environmental life cycle modeling","type":"article-journal","volume":"13"},"uris":["http://www.mendeley.com/documents/?uuid=a48788b1-fd32-4d10-8b6c-1e98ded421a5"]}],"mendeley":{"formattedCitation":"(Moretti et al., 2020)","plainTextFormattedCitation":"(Moretti et al., 2020)","previouslyFormattedCitation":"(Moretti et al., 2020)"},"properties":{"noteIndex":0},"schema":"https://github.com/citation-style-language/schema/raw/master/csl-citation.json"}</w:instrText>
      </w:r>
      <w:r w:rsidR="00F706C7" w:rsidRPr="001008CE">
        <w:rPr>
          <w:lang w:val="en-US"/>
        </w:rPr>
        <w:fldChar w:fldCharType="separate"/>
      </w:r>
      <w:r w:rsidR="00F706C7" w:rsidRPr="001008CE">
        <w:rPr>
          <w:noProof/>
          <w:lang w:val="en-US"/>
        </w:rPr>
        <w:t>(Moretti et al., 2020</w:t>
      </w:r>
      <w:r w:rsidR="00876D93" w:rsidRPr="001008CE">
        <w:rPr>
          <w:noProof/>
          <w:lang w:val="en-US"/>
        </w:rPr>
        <w:t>;</w:t>
      </w:r>
      <w:r w:rsidR="00F706C7" w:rsidRPr="001008CE">
        <w:rPr>
          <w:lang w:val="en-US"/>
        </w:rPr>
        <w:fldChar w:fldCharType="end"/>
      </w:r>
      <w:r w:rsidR="00876D93" w:rsidRPr="001008CE">
        <w:rPr>
          <w:lang w:val="en-US"/>
        </w:rPr>
        <w:t xml:space="preserve"> </w:t>
      </w:r>
      <w:r w:rsidR="00F706C7" w:rsidRPr="001008CE">
        <w:rPr>
          <w:lang w:val="en-US"/>
        </w:rPr>
        <w:fldChar w:fldCharType="begin" w:fldLock="1"/>
      </w:r>
      <w:r w:rsidR="00F706C7" w:rsidRPr="001008CE">
        <w:rPr>
          <w:lang w:val="en-US"/>
        </w:rPr>
        <w:instrText>ADDIN CSL_CITATION {"citationItems":[{"id":"ITEM-1","itemData":{"DOI":"10.1016/j.algal.2019.101770","ISSN":"22119264","abstract":"Microalgae are a promising feedstock for sustainable fuel and nutritional products. To be economically viable, algal biorefineries will need to produce multiple products, such as nutraceuticals and animal feed, in addition to fuel. Life cycle assessment (LCA) has been applied widely to algal biorefineries, but results vary across studies. Here we address two methodological challenges that can lead to variability in LCAs of multi-product algal biorefineries: the choice of functional unit and the method used to handle co-products. LCA was conducted for an algal biorefinery that produces two representative products—fuel and animal feed—using three functional units: (1) 1 MJ fuel, (2) 1 kg animal feed, and (3) 1 ha of production area, coupled with the system expansion method. For the fuel-based functional unit, the system expansion method was compared to impact allocation based on mass, energy, and market value of the biorefinery products. The choice of functional unit affects the results for several environmental indicators. For ecosystem quality, the choice of functional unit can change the overall balance of environmental impacts from harmful to beneficial. The effect of functional unit on climate change depends on the boundary considered in the model—i.e., “well to gate” or “well to wheels”. When a fuel-based functional unit is used, the choice of co-product handling method (i.e., allocation versus the system expansion method) affects environmental impacts, such as ecosystem quality and climate change, differently. For LCAs that use a fuel-based functional unit to compare algal biofuel to other fuels, multiple co-product handling methods should be analyzed and presented to stakeholders. A land based functional unit coupled with the system expansion method can be used to improve LCAs that compare among multi-product algal biorefineries.","author":[{"dropping-particle":"","family":"Sills","given":"Deborah L.","non-dropping-particle":"","parse-names":false,"suffix":""},{"dropping-particle":"","family":"Doren","given":"Léda Gerber","non-dropping-particle":"Van","parse-names":false,"suffix":""},{"dropping-particle":"","family":"Beal","given":"Colin","non-dropping-particle":"","parse-names":false,"suffix":""},{"dropping-particle":"","family":"Raynor","given":"Elizabeth","non-dropping-particle":"","parse-names":false,"suffix":""}],"container-title":"Algal Research","id":"ITEM-1","issue":"September 2019","issued":{"date-parts":[["2020"]]},"page":"101770","publisher":"Elsevier","title":"The effect of functional unit and co-product handling methods on life cycle assessment of an algal biorefinery","type":"article-journal","volume":"46"},"uris":["http://www.mendeley.com/documents/?uuid=e0b3d397-0f05-4127-9e02-f52621548513"]}],"mendeley":{"formattedCitation":"(Sills et al., 2020)","plainTextFormattedCitation":"(Sills et al., 2020)","previouslyFormattedCitation":"(Sills et al., 2020)"},"properties":{"noteIndex":0},"schema":"https://github.com/citation-style-language/schema/raw/master/csl-citation.json"}</w:instrText>
      </w:r>
      <w:r w:rsidR="00F706C7" w:rsidRPr="001008CE">
        <w:rPr>
          <w:lang w:val="en-US"/>
        </w:rPr>
        <w:fldChar w:fldCharType="separate"/>
      </w:r>
      <w:r w:rsidR="00F706C7" w:rsidRPr="001008CE">
        <w:rPr>
          <w:noProof/>
          <w:lang w:val="en-US"/>
        </w:rPr>
        <w:t>Sills et al., 2020)</w:t>
      </w:r>
      <w:r w:rsidR="00F706C7" w:rsidRPr="001008CE">
        <w:rPr>
          <w:lang w:val="en-US"/>
        </w:rPr>
        <w:fldChar w:fldCharType="end"/>
      </w:r>
      <w:r w:rsidR="00F706C7" w:rsidRPr="001008CE">
        <w:rPr>
          <w:lang w:val="en-US"/>
        </w:rPr>
        <w:t xml:space="preserve">. </w:t>
      </w:r>
      <w:r w:rsidRPr="001008CE">
        <w:rPr>
          <w:lang w:val="en-US"/>
        </w:rPr>
        <w:t>As discussed in the methodology section, the economic all</w:t>
      </w:r>
      <w:r w:rsidRPr="00AF0878">
        <w:rPr>
          <w:lang w:val="en-US"/>
        </w:rPr>
        <w:t>ocation is more representative for modeling the system's environmental impacts. However, it should be acknowledged that in this work the method is limited due to the ex-ante stage of the analysis. At this point, compound goods co-produced in the system such as cake, filtrate solution 1, and solid-liquid suspension are not commercialized and are having their prices approximated as proportional to the price of the elements in the composition. The composition is also estimated because</w:t>
      </w:r>
      <w:r w:rsidR="00206D48">
        <w:rPr>
          <w:lang w:val="en-US"/>
        </w:rPr>
        <w:t xml:space="preserve"> (roughly)</w:t>
      </w:r>
      <w:r w:rsidRPr="00AF0878">
        <w:rPr>
          <w:lang w:val="en-US"/>
        </w:rPr>
        <w:t xml:space="preserve">, at such a stage, neither chemical simulation nor chemical experiments have been carried. The estimate is through the mass ratio </w:t>
      </w:r>
      <w:r w:rsidR="00677549">
        <w:rPr>
          <w:lang w:val="en-US"/>
        </w:rPr>
        <w:t>of</w:t>
      </w:r>
      <w:r w:rsidRPr="00AF0878">
        <w:rPr>
          <w:lang w:val="en-US"/>
        </w:rPr>
        <w:t xml:space="preserve"> the component and the good, which has low robustness to reflect a change in input </w:t>
      </w:r>
      <w:r w:rsidR="00677549">
        <w:rPr>
          <w:lang w:val="en-US"/>
        </w:rPr>
        <w:t>to</w:t>
      </w:r>
      <w:r w:rsidRPr="00AF0878">
        <w:rPr>
          <w:lang w:val="en-US"/>
        </w:rPr>
        <w:t xml:space="preserve"> the system, ending up affecting the allocation of burdens. For example, when modeling the regeneration of oxalic acid, the limitation creates a 10% increase (instead of a decrease) in the allocation factor of the solid-liquid suspension (compound good). Thus, the environmental profile of the system is "rough." It is potentially smaller. </w:t>
      </w:r>
    </w:p>
    <w:p w14:paraId="7612E661" w14:textId="345489F9" w:rsidR="00A514FB" w:rsidRDefault="00A514FB" w:rsidP="00AD46F0">
      <w:pPr>
        <w:rPr>
          <w:lang w:val="en-US"/>
        </w:rPr>
      </w:pPr>
      <w:r w:rsidRPr="00A514FB">
        <w:rPr>
          <w:lang w:val="en-US"/>
        </w:rPr>
        <w:t xml:space="preserve">Considering this, alternative price approaches are proposed to evaluate the sensitivity of the results. The new approaches approximate the price of compound goods to the price of a single component in the composition. Firstly, to the cheapest component and secondly to the most expensive. The results show that lowering the price yields </w:t>
      </w:r>
      <w:r w:rsidR="00451419">
        <w:rPr>
          <w:lang w:val="en-US"/>
        </w:rPr>
        <w:t>better</w:t>
      </w:r>
      <w:r w:rsidRPr="00A514FB">
        <w:rPr>
          <w:lang w:val="en-US"/>
        </w:rPr>
        <w:t xml:space="preserve"> environmental performance because it removes more burden</w:t>
      </w:r>
      <w:r w:rsidR="00451419">
        <w:rPr>
          <w:lang w:val="en-US"/>
        </w:rPr>
        <w:t>s</w:t>
      </w:r>
      <w:r w:rsidRPr="00A514FB">
        <w:rPr>
          <w:lang w:val="en-US"/>
        </w:rPr>
        <w:t xml:space="preserve"> </w:t>
      </w:r>
      <w:r w:rsidR="00451419" w:rsidRPr="00A514FB">
        <w:rPr>
          <w:lang w:val="en-US"/>
        </w:rPr>
        <w:t xml:space="preserve">upstream </w:t>
      </w:r>
      <w:r w:rsidRPr="00A514FB">
        <w:rPr>
          <w:lang w:val="en-US"/>
        </w:rPr>
        <w:t xml:space="preserve">to the filtrate 1 unit process, which includes the regenerated acetic acid. A slight improvement in the environmental performance is also observed when the price of compound goods is approximated to the most expensive. In this case, it is because less upstream burden to the filtration 1 unit process is removed from the system. The outcomes corroborate that the original price approach attributes more burden to the system, mainly when comparing with the minimum price approach. However, the intermediate price that the original approach attributes represent better the elemental </w:t>
      </w:r>
      <w:r w:rsidRPr="00A514FB">
        <w:rPr>
          <w:lang w:val="en-US"/>
        </w:rPr>
        <w:lastRenderedPageBreak/>
        <w:t xml:space="preserve">composition of the good. It does not void the economic value of any component. As deciding on the price is subjective at this ex-ante stage, the author is more comfortable with the intermediate price attributed in the original approach of the modeling. </w:t>
      </w:r>
    </w:p>
    <w:p w14:paraId="36936AB0" w14:textId="1F5D3108" w:rsidR="00AD46F0" w:rsidRPr="0057443E" w:rsidRDefault="00C24CCC" w:rsidP="00AD46F0">
      <w:pPr>
        <w:rPr>
          <w:lang w:val="en-US"/>
        </w:rPr>
      </w:pPr>
      <w:r w:rsidRPr="00A514FB">
        <w:rPr>
          <w:lang w:val="en-US"/>
        </w:rPr>
        <w:t>Such variations h</w:t>
      </w:r>
      <w:r w:rsidR="00AF0878" w:rsidRPr="00A514FB">
        <w:rPr>
          <w:lang w:val="en-US"/>
        </w:rPr>
        <w:t>ighlight that allocation assessments need to consider the life cycle tradeoffs and provide this information to stakeholders and decision-makers to avoid "greenwashing."</w:t>
      </w:r>
      <w:r w:rsidRPr="00A514FB">
        <w:rPr>
          <w:lang w:val="en-US"/>
        </w:rPr>
        <w:t xml:space="preserve"> The same can be said regarding the results of the sensitivity test to mass allocation. Allocating by mass also yields a considerable improvement to the performance of all impact categories (on average 56%). T</w:t>
      </w:r>
      <w:r w:rsidR="00AF0878" w:rsidRPr="00A514FB">
        <w:rPr>
          <w:lang w:val="en-US"/>
        </w:rPr>
        <w:t>he favorable results are mainly because</w:t>
      </w:r>
      <w:r w:rsidR="007719B8" w:rsidRPr="00A514FB">
        <w:rPr>
          <w:lang w:val="en-US"/>
        </w:rPr>
        <w:t xml:space="preserve"> </w:t>
      </w:r>
      <w:r w:rsidR="00AF0878" w:rsidRPr="00A514FB">
        <w:rPr>
          <w:lang w:val="en-US"/>
        </w:rPr>
        <w:t>more upstream burdens to the filtration 1 unit process are removed from the system</w:t>
      </w:r>
      <w:r w:rsidRPr="00A514FB">
        <w:rPr>
          <w:lang w:val="en-US"/>
        </w:rPr>
        <w:t xml:space="preserve"> too</w:t>
      </w:r>
      <w:r w:rsidR="00AF0878" w:rsidRPr="00A514FB">
        <w:rPr>
          <w:lang w:val="en-US"/>
        </w:rPr>
        <w:t xml:space="preserve">. </w:t>
      </w:r>
      <w:r w:rsidR="007719B8" w:rsidRPr="00A514FB">
        <w:rPr>
          <w:lang w:val="en-US"/>
        </w:rPr>
        <w:t>However, a</w:t>
      </w:r>
      <w:r w:rsidR="00AF0878" w:rsidRPr="00A514FB">
        <w:rPr>
          <w:lang w:val="en-US"/>
        </w:rPr>
        <w:t xml:space="preserve"> practical comprehension of the recycling route is necessary to judge whether </w:t>
      </w:r>
      <w:r w:rsidR="008E1BFD">
        <w:rPr>
          <w:lang w:val="en-US"/>
        </w:rPr>
        <w:t xml:space="preserve">consider </w:t>
      </w:r>
      <w:r w:rsidR="00AF0878" w:rsidRPr="00A514FB">
        <w:rPr>
          <w:lang w:val="en-US"/>
        </w:rPr>
        <w:t>such removal of burdens is realistic. This is more complicated at the ex-ante stage, so the discussion will be limited to show the facts. All in all, the exercise provides more fuel to the heated discussion around multifunctionality in LCA, especially in ex-ante LCAs. The premature analysis can have extra challenges because the co-products' market penetration may not be well-defined</w:t>
      </w:r>
      <w:r w:rsidR="008E1BFD">
        <w:rPr>
          <w:lang w:val="en-US"/>
        </w:rPr>
        <w:t xml:space="preserve"> yet</w:t>
      </w:r>
      <w:r w:rsidR="00AF0878" w:rsidRPr="00A514FB">
        <w:rPr>
          <w:lang w:val="en-US"/>
        </w:rPr>
        <w:t>, which is problematic to represent the system's burdens.</w:t>
      </w:r>
    </w:p>
    <w:p w14:paraId="635794B6" w14:textId="77777777" w:rsidR="00F706C7" w:rsidRPr="00C04BA1" w:rsidRDefault="00F706C7" w:rsidP="00C04BA1">
      <w:pPr>
        <w:rPr>
          <w:lang w:val="en-US"/>
        </w:rPr>
      </w:pPr>
    </w:p>
    <w:p w14:paraId="5D4107E8" w14:textId="0F40FA9A" w:rsidR="00E1065C" w:rsidRPr="00E1065C" w:rsidRDefault="00E1065C" w:rsidP="00E1065C">
      <w:pPr>
        <w:rPr>
          <w:lang w:val="en-US"/>
        </w:rPr>
      </w:pPr>
      <w:r w:rsidRPr="00E1065C">
        <w:rPr>
          <w:lang w:val="en-US"/>
        </w:rPr>
        <w:t xml:space="preserve">The results from the comparative analysis between the environmental performance of the incumbent technology vs. the recycling route were unexpected. It shows the recycling route as more burdensome than the primary production route for all impact categories, except in ozone layer depletion. </w:t>
      </w:r>
      <w:r w:rsidR="00D053BA">
        <w:rPr>
          <w:lang w:val="en-US"/>
        </w:rPr>
        <w:t>However, i</w:t>
      </w:r>
      <w:r w:rsidRPr="00E1065C">
        <w:rPr>
          <w:lang w:val="en-US"/>
        </w:rPr>
        <w:t xml:space="preserve">t should be acknowledged the modeling difference in the precipitating agent of the two routes. In the primary production route, dioctyl phosphate </w:t>
      </w:r>
      <w:r w:rsidR="00F706C7">
        <w:rPr>
          <w:lang w:val="en-US"/>
        </w:rPr>
        <w:t>(</w:t>
      </w:r>
      <w:r w:rsidR="00F706C7" w:rsidRPr="00E959F5">
        <w:rPr>
          <w:lang w:val="en-US"/>
        </w:rPr>
        <w:t>P204)</w:t>
      </w:r>
      <w:r w:rsidR="00F706C7">
        <w:rPr>
          <w:lang w:val="en-US"/>
        </w:rPr>
        <w:t xml:space="preserve"> </w:t>
      </w:r>
      <w:r w:rsidRPr="00E1065C">
        <w:rPr>
          <w:lang w:val="en-US"/>
        </w:rPr>
        <w:t xml:space="preserve">is the organic chemical inputted into the system, and its production process is approximated by a proxy from </w:t>
      </w:r>
      <w:proofErr w:type="spellStart"/>
      <w:r w:rsidRPr="00E1065C">
        <w:rPr>
          <w:lang w:val="en-US"/>
        </w:rPr>
        <w:t>ecoinvent</w:t>
      </w:r>
      <w:proofErr w:type="spellEnd"/>
      <w:r w:rsidRPr="00E1065C">
        <w:rPr>
          <w:lang w:val="en-US"/>
        </w:rPr>
        <w:t xml:space="preserve"> (“chemical production, organic”). While in the recycling route, oxalic acid is used, and it is attempted the actual modeling of its production process.</w:t>
      </w:r>
    </w:p>
    <w:p w14:paraId="31F0EB3A" w14:textId="6A1974FB" w:rsidR="00F706C7" w:rsidRDefault="00E1065C" w:rsidP="00E1065C">
      <w:pPr>
        <w:rPr>
          <w:lang w:val="en-US"/>
        </w:rPr>
      </w:pPr>
      <w:r w:rsidRPr="00E1065C">
        <w:rPr>
          <w:lang w:val="en-US"/>
        </w:rPr>
        <w:t>It should be noted that when the same proxy is applied to the recycling route</w:t>
      </w:r>
      <w:r w:rsidR="00D053BA">
        <w:rPr>
          <w:lang w:val="en-US"/>
        </w:rPr>
        <w:t xml:space="preserve"> (in one of the sensitivity tests)</w:t>
      </w:r>
      <w:r w:rsidRPr="00E1065C">
        <w:rPr>
          <w:lang w:val="en-US"/>
        </w:rPr>
        <w:t xml:space="preserve">, its environmental profile </w:t>
      </w:r>
      <w:r w:rsidR="00D053BA">
        <w:rPr>
          <w:lang w:val="en-US"/>
        </w:rPr>
        <w:t>turns more</w:t>
      </w:r>
      <w:r w:rsidRPr="00E1065C">
        <w:rPr>
          <w:lang w:val="en-US"/>
        </w:rPr>
        <w:t xml:space="preserve"> </w:t>
      </w:r>
      <w:r w:rsidR="00D053BA">
        <w:rPr>
          <w:lang w:val="en-US"/>
        </w:rPr>
        <w:t>beneficial</w:t>
      </w:r>
      <w:r w:rsidRPr="00E1065C">
        <w:rPr>
          <w:lang w:val="en-US"/>
        </w:rPr>
        <w:t>, and the system performs environmentally better than the primary production in five out of ten impact categories</w:t>
      </w:r>
      <w:r w:rsidR="00F706C7">
        <w:rPr>
          <w:lang w:val="en-US"/>
        </w:rPr>
        <w:t xml:space="preserve">. </w:t>
      </w:r>
      <w:r w:rsidR="00D053BA">
        <w:rPr>
          <w:lang w:val="en-US"/>
        </w:rPr>
        <w:t>For</w:t>
      </w:r>
      <w:r w:rsidRPr="00E1065C">
        <w:rPr>
          <w:lang w:val="en-US"/>
        </w:rPr>
        <w:t xml:space="preserve"> the primary production model,</w:t>
      </w:r>
      <w:r>
        <w:rPr>
          <w:lang w:val="en-US"/>
        </w:rPr>
        <w:t xml:space="preserve"> </w:t>
      </w:r>
      <w:r w:rsidR="008C0D0B" w:rsidRPr="008107BE">
        <w:rPr>
          <w:noProof/>
          <w:lang w:val="en-US"/>
        </w:rPr>
        <w:t>Vahidi &amp; Zhao</w:t>
      </w:r>
      <w:r w:rsidR="008C0D0B">
        <w:rPr>
          <w:noProof/>
          <w:lang w:val="en-US"/>
        </w:rPr>
        <w:t xml:space="preserve"> (</w:t>
      </w:r>
      <w:r w:rsidR="008C0D0B" w:rsidRPr="008107BE">
        <w:rPr>
          <w:noProof/>
          <w:lang w:val="en-US"/>
        </w:rPr>
        <w:t>2017</w:t>
      </w:r>
      <w:r w:rsidR="008C0D0B">
        <w:rPr>
          <w:noProof/>
          <w:lang w:val="en-US"/>
        </w:rPr>
        <w:t>)</w:t>
      </w:r>
      <w:r w:rsidRPr="00E1065C">
        <w:rPr>
          <w:lang w:val="en-US"/>
        </w:rPr>
        <w:t xml:space="preserve"> affirm that using the proxy instead of the manufacturing inventory for P204 leads to less environmental impacts. This is because P204 is a specialty solvent with a long production pathway</w:t>
      </w:r>
      <w:r w:rsidR="00557D3D">
        <w:rPr>
          <w:lang w:val="en-US"/>
        </w:rPr>
        <w:t xml:space="preserve"> (</w:t>
      </w:r>
      <w:proofErr w:type="spellStart"/>
      <w:r w:rsidR="00557D3D" w:rsidRPr="008107BE">
        <w:rPr>
          <w:noProof/>
          <w:lang w:val="en-US"/>
        </w:rPr>
        <w:t>Vahidi</w:t>
      </w:r>
      <w:proofErr w:type="spellEnd"/>
      <w:r w:rsidR="00557D3D" w:rsidRPr="008107BE">
        <w:rPr>
          <w:noProof/>
          <w:lang w:val="en-US"/>
        </w:rPr>
        <w:t xml:space="preserve"> &amp; Zhao</w:t>
      </w:r>
      <w:r w:rsidR="00557D3D">
        <w:rPr>
          <w:noProof/>
          <w:lang w:val="en-US"/>
        </w:rPr>
        <w:t xml:space="preserve">, </w:t>
      </w:r>
      <w:r w:rsidR="00557D3D" w:rsidRPr="008107BE">
        <w:rPr>
          <w:noProof/>
          <w:lang w:val="en-US"/>
        </w:rPr>
        <w:t>2017</w:t>
      </w:r>
      <w:r w:rsidR="00557D3D">
        <w:rPr>
          <w:noProof/>
          <w:lang w:val="en-US"/>
        </w:rPr>
        <w:t>)</w:t>
      </w:r>
      <w:r w:rsidRPr="00E1065C">
        <w:rPr>
          <w:lang w:val="en-US"/>
        </w:rPr>
        <w:t>. Thus, incorporating the actual modeling of P204 in the primary production can worsen its environmental profile. However, it is not clear the consequences of this change in the model</w:t>
      </w:r>
      <w:r w:rsidR="004F2D97">
        <w:rPr>
          <w:lang w:val="en-US"/>
        </w:rPr>
        <w:t>ing</w:t>
      </w:r>
      <w:r w:rsidRPr="00E1065C">
        <w:rPr>
          <w:lang w:val="en-US"/>
        </w:rPr>
        <w:t xml:space="preserve"> of the incumbent technology to the comparative analysis with the recycling route.  </w:t>
      </w:r>
      <w:r w:rsidR="00F706C7">
        <w:rPr>
          <w:lang w:val="en-US"/>
        </w:rPr>
        <w:t xml:space="preserve">  </w:t>
      </w:r>
    </w:p>
    <w:p w14:paraId="027CD323" w14:textId="77777777" w:rsidR="00F706C7" w:rsidRDefault="00F706C7" w:rsidP="0015740E">
      <w:pPr>
        <w:rPr>
          <w:lang w:val="en-US"/>
        </w:rPr>
      </w:pPr>
    </w:p>
    <w:p w14:paraId="09BC88A3" w14:textId="77777777" w:rsidR="00F706C7" w:rsidRDefault="00F706C7" w:rsidP="0015740E">
      <w:pPr>
        <w:rPr>
          <w:lang w:val="en-US"/>
        </w:rPr>
      </w:pPr>
      <w:r>
        <w:rPr>
          <w:lang w:val="en-US"/>
        </w:rPr>
        <w:lastRenderedPageBreak/>
        <w:t xml:space="preserve">Regarding the normalized results of the environmental profile of the product system, it shows a </w:t>
      </w:r>
      <w:r w:rsidRPr="00B36C5E">
        <w:rPr>
          <w:lang w:val="en-US"/>
        </w:rPr>
        <w:t>peculiarity</w:t>
      </w:r>
      <w:r>
        <w:rPr>
          <w:lang w:val="en-US"/>
        </w:rPr>
        <w:t xml:space="preserve"> in the ozone layer depletion impact category.</w:t>
      </w:r>
      <w:r w:rsidRPr="00B36C5E">
        <w:rPr>
          <w:lang w:val="en-US"/>
        </w:rPr>
        <w:t xml:space="preserve"> </w:t>
      </w:r>
      <w:r>
        <w:rPr>
          <w:lang w:val="en-US"/>
        </w:rPr>
        <w:t xml:space="preserve">The system is potentially </w:t>
      </w:r>
      <w:r w:rsidRPr="00B36C5E">
        <w:rPr>
          <w:lang w:val="en-US"/>
        </w:rPr>
        <w:t xml:space="preserve">not </w:t>
      </w:r>
      <w:r>
        <w:rPr>
          <w:lang w:val="en-US"/>
        </w:rPr>
        <w:t xml:space="preserve">harmful to the </w:t>
      </w:r>
      <w:r w:rsidRPr="00B36C5E">
        <w:rPr>
          <w:lang w:val="en-US"/>
        </w:rPr>
        <w:t>Earth’s ozone layer</w:t>
      </w:r>
      <w:r>
        <w:rPr>
          <w:lang w:val="en-US"/>
        </w:rPr>
        <w:t xml:space="preserve">. </w:t>
      </w:r>
      <w:r w:rsidRPr="00B36C5E">
        <w:rPr>
          <w:lang w:val="en-US"/>
        </w:rPr>
        <w:t xml:space="preserve">The same cannot be said for freshwater ecotoxicity. An assertation regarding the little normalized score in this impact category could be biased due to the low robustness of its NFs, which is linked to the limitation present in the </w:t>
      </w:r>
      <w:proofErr w:type="spellStart"/>
      <w:r w:rsidRPr="00B36C5E">
        <w:rPr>
          <w:lang w:val="en-US"/>
        </w:rPr>
        <w:t>USEtox</w:t>
      </w:r>
      <w:proofErr w:type="spellEnd"/>
      <w:r w:rsidRPr="00B36C5E">
        <w:rPr>
          <w:lang w:val="en-US"/>
        </w:rPr>
        <w:t xml:space="preserve"> model’s CFs for metals. </w:t>
      </w:r>
      <w:r>
        <w:rPr>
          <w:lang w:val="en-US"/>
        </w:rPr>
        <w:t xml:space="preserve">In the same way, normalized results for </w:t>
      </w:r>
      <w:r w:rsidRPr="00B36C5E">
        <w:rPr>
          <w:lang w:val="en-US"/>
        </w:rPr>
        <w:t>human health carcinogenic</w:t>
      </w:r>
      <w:r>
        <w:rPr>
          <w:lang w:val="en-US"/>
        </w:rPr>
        <w:t xml:space="preserve"> and </w:t>
      </w:r>
      <w:r w:rsidRPr="00B36C5E">
        <w:rPr>
          <w:lang w:val="en-US"/>
        </w:rPr>
        <w:t>non-carcinogenic effects</w:t>
      </w:r>
      <w:r>
        <w:rPr>
          <w:lang w:val="en-US"/>
        </w:rPr>
        <w:t xml:space="preserve"> are probably flawed</w:t>
      </w:r>
      <w:r w:rsidRPr="00B36C5E">
        <w:rPr>
          <w:lang w:val="en-US"/>
        </w:rPr>
        <w:t>.</w:t>
      </w:r>
      <w:r>
        <w:rPr>
          <w:lang w:val="en-US"/>
        </w:rPr>
        <w:t xml:space="preserve"> </w:t>
      </w:r>
    </w:p>
    <w:p w14:paraId="20D27B0F" w14:textId="77777777" w:rsidR="00F706C7" w:rsidRDefault="00F706C7" w:rsidP="0015740E">
      <w:pPr>
        <w:rPr>
          <w:lang w:val="en-US"/>
        </w:rPr>
      </w:pPr>
    </w:p>
    <w:p w14:paraId="45C7AE81" w14:textId="2BC0F867" w:rsidR="00F706C7" w:rsidRDefault="00F706C7" w:rsidP="0015740E">
      <w:pPr>
        <w:rPr>
          <w:lang w:val="en-US"/>
        </w:rPr>
      </w:pPr>
      <w:r>
        <w:rPr>
          <w:lang w:val="en-US"/>
        </w:rPr>
        <w:t xml:space="preserve">On the other hand, the high normalized results in </w:t>
      </w:r>
      <w:r w:rsidRPr="00B36C5E">
        <w:rPr>
          <w:lang w:val="en-US"/>
        </w:rPr>
        <w:t>freshwater and terrestrial acidification, terrestrial eutrophication, and photochemical ozone creation possibly indicate that the product system contributes to burdens in those categories, mainly for photochemical ozone creation</w:t>
      </w:r>
      <w:r>
        <w:rPr>
          <w:lang w:val="en-US"/>
        </w:rPr>
        <w:t xml:space="preserve">. </w:t>
      </w:r>
      <w:r w:rsidRPr="00B36C5E">
        <w:rPr>
          <w:lang w:val="en-US"/>
        </w:rPr>
        <w:t xml:space="preserve">The contribution analysis </w:t>
      </w:r>
      <w:r>
        <w:rPr>
          <w:lang w:val="en-US"/>
        </w:rPr>
        <w:t xml:space="preserve">of the environmental flows </w:t>
      </w:r>
      <w:r w:rsidRPr="00B36C5E">
        <w:rPr>
          <w:lang w:val="en-US"/>
        </w:rPr>
        <w:t xml:space="preserve">to the NFs </w:t>
      </w:r>
      <w:r w:rsidR="00035FC4">
        <w:rPr>
          <w:lang w:val="en-US"/>
        </w:rPr>
        <w:t xml:space="preserve">in </w:t>
      </w:r>
      <w:r w:rsidR="00BB6964">
        <w:rPr>
          <w:lang w:val="en-US"/>
        </w:rPr>
        <w:fldChar w:fldCharType="begin"/>
      </w:r>
      <w:r w:rsidR="00BB6964">
        <w:rPr>
          <w:lang w:val="en-US"/>
        </w:rPr>
        <w:instrText xml:space="preserve"> REF _Ref76735326 \h </w:instrText>
      </w:r>
      <w:r w:rsidR="00BB6964">
        <w:rPr>
          <w:lang w:val="en-US"/>
        </w:rPr>
      </w:r>
      <w:r w:rsidR="00BB6964">
        <w:rPr>
          <w:lang w:val="en-US"/>
        </w:rPr>
        <w:fldChar w:fldCharType="separate"/>
      </w:r>
      <w:r w:rsidR="00BB6964">
        <w:t xml:space="preserve">Figure </w:t>
      </w:r>
      <w:r w:rsidR="00BB6964">
        <w:rPr>
          <w:noProof/>
        </w:rPr>
        <w:t>E</w:t>
      </w:r>
      <w:r w:rsidR="00BB6964">
        <w:t>.</w:t>
      </w:r>
      <w:r w:rsidR="00BB6964">
        <w:rPr>
          <w:noProof/>
        </w:rPr>
        <w:t>2</w:t>
      </w:r>
      <w:r w:rsidR="00BB6964">
        <w:rPr>
          <w:lang w:val="en-US"/>
        </w:rPr>
        <w:fldChar w:fldCharType="end"/>
      </w:r>
      <w:r w:rsidR="00BB6964">
        <w:rPr>
          <w:lang w:val="en-US"/>
        </w:rPr>
        <w:t xml:space="preserve"> </w:t>
      </w:r>
      <w:r>
        <w:rPr>
          <w:lang w:val="en-US"/>
        </w:rPr>
        <w:t xml:space="preserve">in </w:t>
      </w:r>
      <w:r>
        <w:rPr>
          <w:lang w:val="en-US"/>
        </w:rPr>
        <w:fldChar w:fldCharType="begin"/>
      </w:r>
      <w:r>
        <w:rPr>
          <w:lang w:val="en-US"/>
        </w:rPr>
        <w:instrText xml:space="preserve"> REF _Ref74913424 \w \h </w:instrText>
      </w:r>
      <w:r w:rsidR="0015740E">
        <w:rPr>
          <w:lang w:val="en-US"/>
        </w:rPr>
        <w:instrText xml:space="preserve"> \* MERGEFORMAT </w:instrText>
      </w:r>
      <w:r>
        <w:rPr>
          <w:lang w:val="en-US"/>
        </w:rPr>
      </w:r>
      <w:r>
        <w:rPr>
          <w:lang w:val="en-US"/>
        </w:rPr>
        <w:fldChar w:fldCharType="separate"/>
      </w:r>
      <w:r>
        <w:rPr>
          <w:lang w:val="en-US"/>
        </w:rPr>
        <w:t>appendix E</w:t>
      </w:r>
      <w:r>
        <w:rPr>
          <w:lang w:val="en-US"/>
        </w:rPr>
        <w:fldChar w:fldCharType="end"/>
      </w:r>
      <w:r>
        <w:rPr>
          <w:lang w:val="en-US"/>
        </w:rPr>
        <w:t xml:space="preserve"> </w:t>
      </w:r>
      <w:r w:rsidRPr="00B36C5E">
        <w:rPr>
          <w:lang w:val="en-US"/>
        </w:rPr>
        <w:t>shows that NOx highly contributes to those categories. The product system</w:t>
      </w:r>
      <w:r>
        <w:rPr>
          <w:lang w:val="en-US"/>
        </w:rPr>
        <w:t xml:space="preserve">’s </w:t>
      </w:r>
      <w:r w:rsidRPr="00B36C5E">
        <w:rPr>
          <w:lang w:val="en-US"/>
        </w:rPr>
        <w:t>NOx emissions originate mainly from</w:t>
      </w:r>
      <w:r w:rsidR="00017835">
        <w:rPr>
          <w:lang w:val="en-US"/>
        </w:rPr>
        <w:t xml:space="preserve"> </w:t>
      </w:r>
      <w:r w:rsidRPr="00B36C5E">
        <w:rPr>
          <w:lang w:val="en-US"/>
        </w:rPr>
        <w:t>oxalic acid production</w:t>
      </w:r>
      <w:r>
        <w:rPr>
          <w:lang w:val="en-US"/>
        </w:rPr>
        <w:t xml:space="preserve">. </w:t>
      </w:r>
      <w:r w:rsidR="007133DB">
        <w:rPr>
          <w:lang w:val="en-US"/>
        </w:rPr>
        <w:t>Therefore, c</w:t>
      </w:r>
      <w:r w:rsidRPr="00B36C5E">
        <w:rPr>
          <w:lang w:val="en-US"/>
        </w:rPr>
        <w:t>orroborat</w:t>
      </w:r>
      <w:r>
        <w:rPr>
          <w:lang w:val="en-US"/>
        </w:rPr>
        <w:t>ing</w:t>
      </w:r>
      <w:r w:rsidR="007133DB">
        <w:rPr>
          <w:lang w:val="en-US"/>
        </w:rPr>
        <w:t xml:space="preserve"> </w:t>
      </w:r>
      <w:r>
        <w:rPr>
          <w:lang w:val="en-US"/>
        </w:rPr>
        <w:t xml:space="preserve">the product system’s contribution analysis, which </w:t>
      </w:r>
      <w:r w:rsidRPr="00B36C5E">
        <w:rPr>
          <w:lang w:val="en-US"/>
        </w:rPr>
        <w:t>identifi</w:t>
      </w:r>
      <w:r>
        <w:rPr>
          <w:lang w:val="en-US"/>
        </w:rPr>
        <w:t xml:space="preserve">ed oxalic acid as a hotspot in </w:t>
      </w:r>
      <w:r w:rsidRPr="00B36C5E">
        <w:rPr>
          <w:lang w:val="en-US"/>
        </w:rPr>
        <w:t>freshwater and terrestrial acidification, terrestrial eutrophication, and photochemical ozone creation</w:t>
      </w:r>
      <w:r>
        <w:rPr>
          <w:lang w:val="en-US"/>
        </w:rPr>
        <w:t>.</w:t>
      </w:r>
    </w:p>
    <w:p w14:paraId="7900FAE6" w14:textId="464452E0" w:rsidR="009D72E8" w:rsidRPr="00077884" w:rsidRDefault="00502831" w:rsidP="001413E4">
      <w:pPr>
        <w:spacing w:before="0" w:after="0" w:line="240" w:lineRule="auto"/>
        <w:contextualSpacing w:val="0"/>
        <w:jc w:val="left"/>
        <w:rPr>
          <w:lang w:val="en-US"/>
        </w:rPr>
      </w:pPr>
      <w:r>
        <w:rPr>
          <w:lang w:val="en-US"/>
        </w:rPr>
        <w:br w:type="page"/>
      </w:r>
    </w:p>
    <w:p w14:paraId="3E0E349F" w14:textId="6DF27D7F" w:rsidR="006E1313" w:rsidRDefault="00877A7B" w:rsidP="006E1313">
      <w:pPr>
        <w:pStyle w:val="Heading1"/>
      </w:pPr>
      <w:bookmarkStart w:id="91" w:name="_Toc76752290"/>
      <w:r w:rsidRPr="009A215A">
        <w:lastRenderedPageBreak/>
        <w:t>Conclusion</w:t>
      </w:r>
      <w:r w:rsidR="00931C04">
        <w:t>s</w:t>
      </w:r>
      <w:r w:rsidRPr="009A215A">
        <w:t xml:space="preserve"> and recommendations</w:t>
      </w:r>
      <w:bookmarkEnd w:id="91"/>
    </w:p>
    <w:p w14:paraId="0AC565CE" w14:textId="77777777" w:rsidR="00EB2552" w:rsidRPr="009A215A" w:rsidRDefault="00EB2552" w:rsidP="00EB2552"/>
    <w:p w14:paraId="1D26FA48" w14:textId="07C444CC" w:rsidR="00EB2552" w:rsidRDefault="00190DB6" w:rsidP="00EB2552">
      <w:pPr>
        <w:rPr>
          <w:lang w:val="en-US"/>
        </w:rPr>
      </w:pPr>
      <w:r>
        <w:rPr>
          <w:lang w:val="en-US"/>
        </w:rPr>
        <w:t>T</w:t>
      </w:r>
      <w:r w:rsidRPr="00DE1F97">
        <w:rPr>
          <w:lang w:val="en-US"/>
        </w:rPr>
        <w:t>he findings raise strategic questions to the problem-solution space, revealing possible constraints to the environmental performance of the emerging technology: the use of oxalic acid and the design of the fragmentation process.</w:t>
      </w:r>
      <w:r>
        <w:rPr>
          <w:lang w:val="en-US"/>
        </w:rPr>
        <w:t xml:space="preserve"> However, t</w:t>
      </w:r>
      <w:r w:rsidR="00EB2552">
        <w:rPr>
          <w:lang w:val="en-US"/>
        </w:rPr>
        <w:t xml:space="preserve">he results of this study are </w:t>
      </w:r>
      <w:r w:rsidR="00EB2552" w:rsidRPr="00DE1F97">
        <w:rPr>
          <w:lang w:val="en-US"/>
        </w:rPr>
        <w:t xml:space="preserve">not robust due to the ex-ante nature of the analysis and cannot be taken for granted. </w:t>
      </w:r>
      <w:r w:rsidRPr="00DE1F97">
        <w:rPr>
          <w:lang w:val="en-US"/>
        </w:rPr>
        <w:t>Nonetheless</w:t>
      </w:r>
      <w:r w:rsidR="00EB2552" w:rsidRPr="00DE1F97">
        <w:rPr>
          <w:lang w:val="en-US"/>
        </w:rPr>
        <w:t>, the outcome showed to be a valuable informative exercise that can be cumulatively added with future research.</w:t>
      </w:r>
    </w:p>
    <w:p w14:paraId="7B5C6B5A" w14:textId="77777777" w:rsidR="00EB2552" w:rsidRDefault="00EB2552" w:rsidP="00EB2552">
      <w:pPr>
        <w:rPr>
          <w:lang w:val="en-US"/>
        </w:rPr>
      </w:pPr>
    </w:p>
    <w:p w14:paraId="5B4DFF2C" w14:textId="066988C0" w:rsidR="006E6B2D" w:rsidRDefault="00B05BAF" w:rsidP="00EB2552">
      <w:pPr>
        <w:rPr>
          <w:lang w:val="en-US"/>
        </w:rPr>
      </w:pPr>
      <w:r w:rsidRPr="00B05BAF">
        <w:rPr>
          <w:lang w:val="en-US"/>
        </w:rPr>
        <w:t xml:space="preserve">Oxalic acid is used to precipitate REEs in the pregnant leachate solution. The chemical reaction for precipitation allows the co-production of acetic acid (regeneration of the chemical). However, the contribution analysis alerts that (for the case of this work) the recycled version of the chemical is more burdensome than the chemical produced from raw materials. This is because the oxalic acid is on the background of the regenerated acetic acid. Therefore, chemical recycling should be carefully considered as it may worsen the environmental profile of a product system. </w:t>
      </w:r>
    </w:p>
    <w:p w14:paraId="4DBCB89D" w14:textId="69216019" w:rsidR="00EB2552" w:rsidRDefault="00B05BAF" w:rsidP="00EB2552">
      <w:pPr>
        <w:rPr>
          <w:lang w:val="en-US"/>
        </w:rPr>
      </w:pPr>
      <w:r w:rsidRPr="00B05BAF">
        <w:rPr>
          <w:lang w:val="en-US"/>
        </w:rPr>
        <w:t xml:space="preserve">In this work, it could be beneficial to the system’s environmental profile, instead of retro feeding the regenerated </w:t>
      </w:r>
      <w:r w:rsidR="006E6B2D">
        <w:rPr>
          <w:lang w:val="en-US"/>
        </w:rPr>
        <w:t>acetic acid</w:t>
      </w:r>
      <w:r w:rsidRPr="00B05BAF">
        <w:rPr>
          <w:lang w:val="en-US"/>
        </w:rPr>
        <w:t xml:space="preserve"> into the leaching unit process, forward it to outside the system boundary to be used in another system. Otherwise, the recommendation lies in substituting the </w:t>
      </w:r>
      <w:r w:rsidR="00BA7488">
        <w:rPr>
          <w:lang w:val="en-US"/>
        </w:rPr>
        <w:t>oxalic acid</w:t>
      </w:r>
      <w:r w:rsidRPr="00B05BAF">
        <w:rPr>
          <w:lang w:val="en-US"/>
        </w:rPr>
        <w:t xml:space="preserve"> with another interchangeable precipitating agent that causes lower environmental burdens, also allowing the regeneration of acetic acid. If oxalic acid remains an option to the system, the recommendation lies in regenerating it within the system. The benefit is twofold: it avoids the production of the new resource, and it diminishes the input of the chemical in the system. Alternatively, the adoption of other precipitation techniques should be investigated to achieve better environmental results. Then, re-addressing these points make it possible to inform about the environmental performance of the innovative use of weak acid for leaching. A p</w:t>
      </w:r>
      <w:r w:rsidR="00EE0000">
        <w:rPr>
          <w:lang w:val="en-US"/>
        </w:rPr>
        <w:t>articular</w:t>
      </w:r>
      <w:r w:rsidRPr="00B05BAF">
        <w:rPr>
          <w:lang w:val="en-US"/>
        </w:rPr>
        <w:t xml:space="preserve"> recommendation </w:t>
      </w:r>
      <w:r w:rsidR="00EE0000">
        <w:rPr>
          <w:lang w:val="en-US"/>
        </w:rPr>
        <w:t xml:space="preserve">lies in </w:t>
      </w:r>
      <w:r w:rsidRPr="00B05BAF">
        <w:rPr>
          <w:lang w:val="en-US"/>
        </w:rPr>
        <w:t>collect</w:t>
      </w:r>
      <w:r w:rsidR="00EE0000">
        <w:rPr>
          <w:lang w:val="en-US"/>
        </w:rPr>
        <w:t>ing better data</w:t>
      </w:r>
      <w:r w:rsidRPr="00B05BAF">
        <w:rPr>
          <w:lang w:val="en-US"/>
        </w:rPr>
        <w:t xml:space="preserve"> for the inventory of oxalic acid production and the RE recovery unit process</w:t>
      </w:r>
      <w:r>
        <w:rPr>
          <w:lang w:val="en-US"/>
        </w:rPr>
        <w:t>.</w:t>
      </w:r>
    </w:p>
    <w:p w14:paraId="63BB73BB" w14:textId="77777777" w:rsidR="00B05BAF" w:rsidRDefault="00B05BAF" w:rsidP="00EB2552">
      <w:pPr>
        <w:rPr>
          <w:lang w:val="en-US"/>
        </w:rPr>
      </w:pPr>
    </w:p>
    <w:p w14:paraId="13B22838" w14:textId="05E42734" w:rsidR="00EB2552" w:rsidRDefault="00B05BAF" w:rsidP="00EB2552">
      <w:pPr>
        <w:rPr>
          <w:lang w:val="en-US"/>
        </w:rPr>
      </w:pPr>
      <w:r w:rsidRPr="00B05BAF">
        <w:rPr>
          <w:lang w:val="en-US"/>
        </w:rPr>
        <w:t xml:space="preserve">The re-design of the fragmentation unit process is recommended in a relative sense acknowledging the limitations of the proxy used and the assumptions made. </w:t>
      </w:r>
      <w:r w:rsidR="000E0FFD">
        <w:rPr>
          <w:lang w:val="en-US"/>
        </w:rPr>
        <w:t>In fact, a m</w:t>
      </w:r>
      <w:r w:rsidRPr="00B05BAF">
        <w:rPr>
          <w:lang w:val="en-US"/>
        </w:rPr>
        <w:t xml:space="preserve">ore robust modeling will be possible </w:t>
      </w:r>
      <w:r w:rsidR="000E0FFD">
        <w:rPr>
          <w:lang w:val="en-US"/>
        </w:rPr>
        <w:t xml:space="preserve">only </w:t>
      </w:r>
      <w:r w:rsidRPr="00B05BAF">
        <w:rPr>
          <w:lang w:val="en-US"/>
        </w:rPr>
        <w:t>upon the real existence of the process</w:t>
      </w:r>
      <w:r w:rsidR="00CE3B5C">
        <w:rPr>
          <w:lang w:val="en-US"/>
        </w:rPr>
        <w:t xml:space="preserve"> whe</w:t>
      </w:r>
      <w:r w:rsidR="00B14566">
        <w:rPr>
          <w:lang w:val="en-US"/>
        </w:rPr>
        <w:t>n</w:t>
      </w:r>
      <w:r w:rsidR="00CE3B5C">
        <w:rPr>
          <w:lang w:val="en-US"/>
        </w:rPr>
        <w:t xml:space="preserve"> data can be collected</w:t>
      </w:r>
      <w:r w:rsidRPr="00B05BAF">
        <w:rPr>
          <w:lang w:val="en-US"/>
        </w:rPr>
        <w:t xml:space="preserve">. However, it is valid to recommend improvement on the efficiency of the process, </w:t>
      </w:r>
      <w:r w:rsidRPr="00B05BAF">
        <w:rPr>
          <w:lang w:val="en-US"/>
        </w:rPr>
        <w:lastRenderedPageBreak/>
        <w:t>generating less dust</w:t>
      </w:r>
      <w:r w:rsidR="00FD6E30">
        <w:rPr>
          <w:lang w:val="en-US"/>
        </w:rPr>
        <w:t xml:space="preserve">, once that the dust produced has potential to be problematic to the environmental performance of the system. </w:t>
      </w:r>
      <w:r w:rsidR="006747F3">
        <w:rPr>
          <w:lang w:val="en-US"/>
        </w:rPr>
        <w:t>E</w:t>
      </w:r>
      <w:r w:rsidR="00FD6E30">
        <w:rPr>
          <w:lang w:val="en-US"/>
        </w:rPr>
        <w:t xml:space="preserve">fficiency improvement </w:t>
      </w:r>
      <w:r w:rsidR="00BF063E">
        <w:rPr>
          <w:lang w:val="en-US"/>
        </w:rPr>
        <w:t xml:space="preserve">at ex-ante stage is less expensive and it </w:t>
      </w:r>
      <w:r w:rsidR="00FD6E30">
        <w:rPr>
          <w:lang w:val="en-US"/>
        </w:rPr>
        <w:t>can be reached</w:t>
      </w:r>
      <w:r w:rsidRPr="00B05BAF">
        <w:rPr>
          <w:lang w:val="en-US"/>
        </w:rPr>
        <w:t xml:space="preserve"> by varying parameters such as</w:t>
      </w:r>
      <w:r w:rsidR="000E0FFD">
        <w:rPr>
          <w:lang w:val="en-US"/>
        </w:rPr>
        <w:t xml:space="preserve"> the</w:t>
      </w:r>
      <w:r w:rsidRPr="00B05BAF">
        <w:rPr>
          <w:lang w:val="en-US"/>
        </w:rPr>
        <w:t xml:space="preserve"> mill’s speed and timing, or even changing the </w:t>
      </w:r>
      <w:r w:rsidR="00FD6E30">
        <w:rPr>
          <w:lang w:val="en-US"/>
        </w:rPr>
        <w:t xml:space="preserve">fragmentation </w:t>
      </w:r>
      <w:r w:rsidRPr="00B05BAF">
        <w:rPr>
          <w:lang w:val="en-US"/>
        </w:rPr>
        <w:t>equipment.</w:t>
      </w:r>
    </w:p>
    <w:p w14:paraId="68C9B9E7" w14:textId="77777777" w:rsidR="00B05BAF" w:rsidRDefault="00B05BAF" w:rsidP="00EB2552">
      <w:pPr>
        <w:rPr>
          <w:lang w:val="en-US"/>
        </w:rPr>
      </w:pPr>
    </w:p>
    <w:p w14:paraId="53965E15" w14:textId="77777777" w:rsidR="004E46E4" w:rsidRDefault="00B05BAF" w:rsidP="00EB2552">
      <w:pPr>
        <w:rPr>
          <w:lang w:val="en-US"/>
        </w:rPr>
      </w:pPr>
      <w:r w:rsidRPr="00B05BAF">
        <w:rPr>
          <w:lang w:val="en-US"/>
        </w:rPr>
        <w:t xml:space="preserve">Regarding the comparative analysis, whether the results would favor the recycling route or not, the ex-ante LCA has no means to provide an assertive declaration. Before this is possible, it is necessary to solve critical modeling issues that affect the results, such as having a robust price approach to the economic allocation. A precise stipulation of price is complex and perhaps could benefit from a market study involving experts. </w:t>
      </w:r>
      <w:r w:rsidR="0065334D">
        <w:rPr>
          <w:lang w:val="en-US"/>
        </w:rPr>
        <w:t>However, s</w:t>
      </w:r>
      <w:r w:rsidRPr="00B05BAF">
        <w:rPr>
          <w:lang w:val="en-US"/>
        </w:rPr>
        <w:t>uppose this is not possible, and the approximation of price is to be kept as proportional to the elemental composition of goods, it is recommended to accurately distinguish the composition of a good either by chemical simulation in software or carrying the chemical</w:t>
      </w:r>
      <w:r>
        <w:rPr>
          <w:lang w:val="en-US"/>
        </w:rPr>
        <w:t xml:space="preserve"> </w:t>
      </w:r>
      <w:r w:rsidR="00EB2552">
        <w:rPr>
          <w:lang w:val="en-US"/>
        </w:rPr>
        <w:t>experiments.</w:t>
      </w:r>
      <w:r w:rsidR="000743AE">
        <w:rPr>
          <w:lang w:val="en-US"/>
        </w:rPr>
        <w:t xml:space="preserve"> </w:t>
      </w:r>
    </w:p>
    <w:p w14:paraId="18A56298" w14:textId="77777777" w:rsidR="004E46E4" w:rsidRDefault="004E46E4" w:rsidP="00EB2552">
      <w:pPr>
        <w:rPr>
          <w:lang w:val="en-US"/>
        </w:rPr>
      </w:pPr>
    </w:p>
    <w:p w14:paraId="546A073F" w14:textId="32C4EF79" w:rsidR="004E46E4" w:rsidRDefault="004E46E4" w:rsidP="00EB2552">
      <w:pPr>
        <w:rPr>
          <w:lang w:val="en-US"/>
        </w:rPr>
      </w:pPr>
      <w:r w:rsidRPr="004E46E4">
        <w:rPr>
          <w:lang w:val="en-US"/>
        </w:rPr>
        <w:t xml:space="preserve">With these conclusions and recommendations, it is hoped </w:t>
      </w:r>
      <w:r w:rsidR="00C5514E">
        <w:rPr>
          <w:lang w:val="en-US"/>
        </w:rPr>
        <w:t xml:space="preserve">to </w:t>
      </w:r>
      <w:r w:rsidRPr="004E46E4">
        <w:rPr>
          <w:lang w:val="en-US"/>
        </w:rPr>
        <w:t>hav</w:t>
      </w:r>
      <w:r w:rsidR="00C5514E">
        <w:rPr>
          <w:lang w:val="en-US"/>
        </w:rPr>
        <w:t>e</w:t>
      </w:r>
      <w:r w:rsidRPr="004E46E4">
        <w:rPr>
          <w:lang w:val="en-US"/>
        </w:rPr>
        <w:t xml:space="preserve"> characterized prospective paths for helping to launch the emerging technology in an environmentally sound manner soon</w:t>
      </w:r>
      <w:r>
        <w:rPr>
          <w:lang w:val="en-US"/>
        </w:rPr>
        <w:t>.</w:t>
      </w:r>
    </w:p>
    <w:p w14:paraId="2833B8B9" w14:textId="634257F0" w:rsidR="008A478D" w:rsidRPr="00AD46F0" w:rsidRDefault="008A478D">
      <w:pPr>
        <w:spacing w:before="0" w:after="0" w:line="240" w:lineRule="auto"/>
        <w:contextualSpacing w:val="0"/>
        <w:jc w:val="left"/>
        <w:rPr>
          <w:strike/>
          <w:lang w:val="en-US"/>
        </w:rPr>
      </w:pPr>
      <w:r w:rsidRPr="00AD46F0">
        <w:rPr>
          <w:strike/>
          <w:lang w:val="en-US"/>
        </w:rPr>
        <w:br w:type="page"/>
      </w:r>
    </w:p>
    <w:p w14:paraId="03347E03" w14:textId="596BE686" w:rsidR="008A478D" w:rsidRDefault="008A478D" w:rsidP="008A478D">
      <w:pPr>
        <w:pStyle w:val="Heading1"/>
      </w:pPr>
      <w:bookmarkStart w:id="92" w:name="_Toc76752291"/>
      <w:r>
        <w:lastRenderedPageBreak/>
        <w:t>Suggestion for future research</w:t>
      </w:r>
      <w:bookmarkEnd w:id="92"/>
      <w:r>
        <w:t xml:space="preserve"> </w:t>
      </w:r>
    </w:p>
    <w:p w14:paraId="06E10383" w14:textId="77777777" w:rsidR="00516EFE" w:rsidRDefault="00516EFE" w:rsidP="00516EFE">
      <w:pPr>
        <w:rPr>
          <w:lang w:val="en-US"/>
        </w:rPr>
      </w:pPr>
    </w:p>
    <w:p w14:paraId="4EDD12E9" w14:textId="64AF0F49" w:rsidR="00E033D6" w:rsidRPr="00E033D6" w:rsidRDefault="00E033D6" w:rsidP="00E033D6">
      <w:pPr>
        <w:rPr>
          <w:lang w:val="en-US"/>
        </w:rPr>
      </w:pPr>
      <w:r w:rsidRPr="00E033D6">
        <w:rPr>
          <w:lang w:val="en-US"/>
        </w:rPr>
        <w:t>For future research, it is recommended to investigate how a change in the leaching step's solid-liquid ratio affects the system's environmental burdens considering the throughput of the route. Such sensitivity analysis could not be performed for this work because it requires chemical experiments to provide the data. This is out of this work's scope lacking knowledge and time. However, it is valid because the solid-liquid ratio alters the quantity of chemical</w:t>
      </w:r>
      <w:r w:rsidR="00326699">
        <w:rPr>
          <w:lang w:val="en-US"/>
        </w:rPr>
        <w:t xml:space="preserve"> reagents</w:t>
      </w:r>
      <w:r w:rsidRPr="00E033D6">
        <w:rPr>
          <w:lang w:val="en-US"/>
        </w:rPr>
        <w:t xml:space="preserve"> and (or) the quantity of magnetic powder per batch, which is interesting considering</w:t>
      </w:r>
      <w:r w:rsidR="0081607E">
        <w:rPr>
          <w:lang w:val="en-US"/>
        </w:rPr>
        <w:t xml:space="preserve"> </w:t>
      </w:r>
      <w:r w:rsidRPr="00E033D6">
        <w:rPr>
          <w:lang w:val="en-US"/>
        </w:rPr>
        <w:t xml:space="preserve">both are within the hotspots revealed (RE recovery and fragmentation). </w:t>
      </w:r>
    </w:p>
    <w:p w14:paraId="122B42F3" w14:textId="77777777" w:rsidR="00E033D6" w:rsidRPr="00E033D6" w:rsidRDefault="00E033D6" w:rsidP="00E033D6">
      <w:pPr>
        <w:rPr>
          <w:lang w:val="en-US"/>
        </w:rPr>
      </w:pPr>
    </w:p>
    <w:p w14:paraId="67D149B2" w14:textId="77777777" w:rsidR="00454A03" w:rsidRDefault="00E033D6" w:rsidP="00E033D6">
      <w:pPr>
        <w:rPr>
          <w:lang w:val="en-US"/>
        </w:rPr>
      </w:pPr>
      <w:r w:rsidRPr="00E033D6">
        <w:rPr>
          <w:lang w:val="en-US"/>
        </w:rPr>
        <w:t xml:space="preserve">Another suggestion lies in adjusting the temporal scope of background processes also to reflect the projected future. It is possible to estimate </w:t>
      </w:r>
      <w:proofErr w:type="spellStart"/>
      <w:r w:rsidRPr="00E033D6">
        <w:rPr>
          <w:lang w:val="en-US"/>
        </w:rPr>
        <w:t>ecoinvent's</w:t>
      </w:r>
      <w:proofErr w:type="spellEnd"/>
      <w:r w:rsidRPr="00E033D6">
        <w:rPr>
          <w:lang w:val="en-US"/>
        </w:rPr>
        <w:t xml:space="preserve"> energy dataset into the future using Integrated Assessment Models (IAM). IAM is helpful to assist in understanding how societal choices and human development affect nature. Applied to study climate change, IAM models were used to develop different narratives of society's challenges for adaptation and mitigation toward 2100 </w:t>
      </w:r>
      <w:r w:rsidR="00470AB9">
        <w:rPr>
          <w:lang w:val="en-US"/>
        </w:rPr>
        <w:fldChar w:fldCharType="begin" w:fldLock="1"/>
      </w:r>
      <w:r w:rsidR="00470AB9">
        <w:rPr>
          <w:lang w:val="en-US"/>
        </w:rPr>
        <w:instrText>ADDIN CSL_CITATION {"citationItems":[{"id":"ITEM-1","itemData":{"DOI":"10.1016/j.gloenvcha.2016.05.009","ISSN":"09593780","abstract":"This paper presents the overview of the Shared Socioeconomic Pathways (SSPs) and their energy, land use, and emissions implications. The SSPs are part of a new scenario framework, established by the climate change research community in order to facilitate the integrated analysis of future climate impacts, vulnerabilities, adaptation, and mitigation. The pathways were developed over the last years as a joint community effort and describe plausible major global developments that together would lead in the future to different challenges for mitigation and adaptation to climate change. The SSPs are based on five narratives describing alternative socio-economic developments, including sustainable development, regional rivalry, inequality, fossil-fueled development, and middle-of-the-road development. The long-term demographic and economic projections of the SSPs depict a wide uncertainty range consistent with the scenario literature. A multi-model approach was used for the elaboration of the energy, land-use and the emissions trajectories of SSP-based scenarios. The baseline scenarios lead to global energy consumption of 400–1200 EJ in 2100, and feature vastly different land-use dynamics, ranging from a possible reduction in cropland area up to a massive expansion by more than 700 million hectares by 2100. The associated annual CO2 emissions of the baseline scenarios range from about 25 GtCO2 to more than 120 GtCO2 per year by 2100. With respect to mitigation, we find that associated costs strongly depend on three factors: (1) the policy assumptions, (2) the socio-economic narrative, and (3) the stringency of the target. The carbon price for reaching the target of 2.6 W/m2 that is consistent with a temperature change limit of 2 °C, differs in our analysis thus by about a factor of three across the SSP marker scenarios. Moreover, many models could not reach this target from the SSPs with high mitigation challenges. While the SSPs were designed to represent different mitigation and adaptation challenges, the resulting narratives and quantifications span a wide range of different futures broadly representative of the current literature. This allows their subsequent use and development in new assessments and research projects. Critical next steps for the community scenario process will, among others, involve regional and sectoral extensions, further elaboration of the adaptation and impacts dimension, as well as employing the SSP scenarios with the new generatio…","author":[{"dropping-particle":"","family":"Riahi","given":"Keywan","non-dropping-particle":"","parse-names":false,"suffix":""},{"dropping-particle":"","family":"Vuuren","given":"Detlef P.","non-dropping-particle":"van","parse-names":false,"suffix":""},{"dropping-particle":"","family":"Kriegler","given":"Elmar","non-dropping-particle":"","parse-names":false,"suffix":""},{"dropping-particle":"","family":"Edmonds","given":"Jae","non-dropping-particle":"","parse-names":false,"suffix":""},{"dropping-particle":"","family":"O'Neill","given":"Brian C.","non-dropping-particle":"","parse-names":false,"suffix":""},{"dropping-particle":"","family":"Fujimori","given":"Shinichiro","non-dropping-particle":"","parse-names":false,"suffix":""},{"dropping-particle":"","family":"Bauer","given":"Nico","non-dropping-particle":"","parse-names":false,"suffix":""},{"dropping-particle":"","family":"Calvin","given":"Katherine","non-dropping-particle":"","parse-names":false,"suffix":""},{"dropping-particle":"","family":"Dellink","given":"Rob","non-dropping-particle":"","parse-names":false,"suffix":""},{"dropping-particle":"","family":"Fricko","given":"Oliver","non-dropping-particle":"","parse-names":false,"suffix":""},{"dropping-particle":"","family":"Lutz","given":"Wolfgang","non-dropping-particle":"","parse-names":false,"suffix":""},{"dropping-particle":"","family":"Popp","given":"Alexander","non-dropping-particle":"","parse-names":false,"suffix":""},{"dropping-particle":"","family":"Cuaresma","given":"Jesus Crespo","non-dropping-particle":"","parse-names":false,"suffix":""},{"dropping-particle":"","family":"KC","given":"Samir","non-dropping-particle":"","parse-names":false,"suffix":""},{"dropping-particle":"","family":"Leimbach","given":"Marian","non-dropping-particle":"","parse-names":false,"suffix":""},{"dropping-particle":"","family":"Jiang","given":"Leiwen","non-dropping-particle":"","parse-names":false,"suffix":""},{"dropping-particle":"","family":"Kram","given":"Tom","non-dropping-particle":"","parse-names":false,"suffix":""},{"dropping-particle":"","family":"Rao","given":"Shilpa","non-dropping-particle":"","parse-names":false,"suffix":""},{"dropping-particle":"","family":"Emmerling","given":"Johannes","non-dropping-particle":"","parse-names":false,"suffix":""},{"dropping-particle":"","family":"Ebi","given":"Kristie","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Silva","given":"Lara Aleluia","non-dropping-particle":"Da","parse-names":false,"suffix":""},{"dropping-particle":"","family":"Smith","given":"Steve","non-dropping-particle":"","parse-names":false,"suffix":""},{"dropping-particle":"","family":"Stehfest","given":"Elke","non-dropping-particle":"","parse-names":false,"suffix":""},{"dropping-particle":"","family":"Bosetti","given":"Valentina","non-dropping-particle":"","parse-names":false,"suffix":""},{"dropping-particle":"","family":"Eom","given":"Jiyong","non-dropping-particle":"","parse-names":false,"suffix":""},{"dropping-particle":"","family":"Gernaat","given":"David","non-dropping-particle":"","parse-names":false,"suffix":""},{"dropping-particle":"","family":"Masui","given":"Toshihiko","non-dropping-particle":"","parse-names":false,"suffix":""},{"dropping-particle":"","family":"Rogelj","given":"Joeri","non-dropping-particle":"","parse-names":false,"suffix":""},{"dropping-particle":"","family":"Strefler","given":"Jessica","non-dropping-particle":"","parse-names":false,"suffix":""},{"dropping-particle":"","family":"Drouet","given":"Laurent","non-dropping-particle":"","parse-names":false,"suffix":""},{"dropping-particle":"","family":"Krey","given":"Volker","non-dropping-particle":"","parse-names":false,"suffix":""},{"dropping-particle":"","family":"Luderer","given":"Gunnar","non-dropping-particle":"","parse-names":false,"suffix":""},{"dropping-particle":"","family":"Harmsen","given":"Mathijs","non-dropping-particle":"","parse-names":false,"suffix":""},{"dropping-particle":"","family":"Takahashi","given":"Kiyoshi","non-dropping-particle":"","parse-names":false,"suffix":""},{"dropping-particle":"","family":"Baumstark","given":"Lavinia","non-dropping-particle":"","parse-names":false,"suffix":""},{"dropping-particle":"","family":"Doelman","given":"Jonathan C.","non-dropping-particle":"","parse-names":false,"suffix":""},{"dropping-particle":"","family":"Kainuma","given":"Mikiko","non-dropping-particle":"","parse-names":false,"suffix":""},{"dropping-particle":"","family":"Klimont","given":"Zbigniew","non-dropping-particle":"","parse-names":false,"suffix":""},{"dropping-particle":"","family":"Marangoni","given":"Giacomo","non-dropping-particle":"","parse-names":false,"suffix":""},{"dropping-particle":"","family":"Lotze-Campen","given":"Hermann","non-dropping-particle":"","parse-names":false,"suffix":""},{"dropping-particle":"","family":"Obersteiner","given":"Michael","non-dropping-particle":"","parse-names":false,"suffix":""},{"dropping-particle":"","family":"Tabeau","given":"Andrzej","non-dropping-particle":"","parse-names":false,"suffix":""},{"dropping-particle":"","family":"Tavoni","given":"Massimo","non-dropping-particle":"","parse-names":false,"suffix":""}],"container-title":"Global Environmental Change","id":"ITEM-1","issued":{"date-parts":[["2017"]]},"page":"153-168","title":"The Shared Socioeconomic Pathways and their energy, land use, and greenhouse gas emissions implications: An overview","type":"article-journal","volume":"42"},"uris":["http://www.mendeley.com/documents/?uuid=a71da9bf-e23a-4e8c-8732-4bb296bf9f84"]}],"mendeley":{"formattedCitation":"(Riahi et al., 2017)","plainTextFormattedCitation":"(Riahi et al., 2017)","previouslyFormattedCitation":"(Riahi et al., 2017)"},"properties":{"noteIndex":0},"schema":"https://github.com/citation-style-language/schema/raw/master/csl-citation.json"}</w:instrText>
      </w:r>
      <w:r w:rsidR="00470AB9">
        <w:rPr>
          <w:lang w:val="en-US"/>
        </w:rPr>
        <w:fldChar w:fldCharType="separate"/>
      </w:r>
      <w:r w:rsidR="00470AB9" w:rsidRPr="00470AB9">
        <w:rPr>
          <w:noProof/>
          <w:lang w:val="en-US"/>
        </w:rPr>
        <w:t>(Riahi et al., 2017)</w:t>
      </w:r>
      <w:r w:rsidR="00470AB9">
        <w:rPr>
          <w:lang w:val="en-US"/>
        </w:rPr>
        <w:fldChar w:fldCharType="end"/>
      </w:r>
      <w:r w:rsidR="00470AB9">
        <w:rPr>
          <w:lang w:val="en-US"/>
        </w:rPr>
        <w:t>.</w:t>
      </w:r>
      <w:r w:rsidRPr="00E033D6">
        <w:rPr>
          <w:lang w:val="en-US"/>
        </w:rPr>
        <w:t xml:space="preserve"> Those narratives are the Shared Socioeconomic Pathways (SSPs). The IMAGE IAM </w:t>
      </w:r>
      <w:r w:rsidR="00470AB9">
        <w:rPr>
          <w:lang w:val="en-US"/>
        </w:rPr>
        <w:fldChar w:fldCharType="begin" w:fldLock="1"/>
      </w:r>
      <w:r w:rsidR="00470AB9">
        <w:rPr>
          <w:lang w:val="en-US"/>
        </w:rPr>
        <w:instrText>ADDIN CSL_CITATION {"citationItems":[{"id":"ITEM-1","itemData":{"ISBN":"9781303056789","ISSN":"02782715 (ISSN)","PMID":"1355732874","abstract":"Many factors combine to drive the growth in health spending worldwide, but the introduction of new technologies, drugs, and therapies is probably the most important. However, in contrast to other industries, innovations in health care have not tended to reduce the need for labor. In fact, labor still accounts for the largest proportion of expenditures in many health systems. But labor-saving technologies, workforce innovations, and patient self-care approaches are now emerging and altering health care's labor structure. For example, in Mexico more than one million households pay \\$5 per month to access a health advice hotline before setting foot in a physician's office. In India assembly line-style eye surgery has dramatically reduced cost without sacrificing quality. Policy makers should focus on such labor-saving innovations; reform reimbursement systems to encourage them; tackle professionals' resistance; and remove regulatory barriers. Bold experiments to redesign health services around patient self-care approaches are also warranted. © 2013 Project HOPE-The People-to-People Health Foundation, Inc.","author":[{"dropping-particle":"","family":"Stehfest, E., van Vuuren, D., Kram, T., Bouwman, L., Alkemade, R., Bakkenes, M., Biemans, H., Bouwman, A., den Elzen, M., Janse, J., Lucas, P., van Minnen, J., Müller, C., Prins","given":"A.","non-dropping-particle":"","parse-names":false,"suffix":""}],"id":"ITEM-1","issued":{"date-parts":[["2014"]]},"number-of-pages":"30","title":"Image 3.0","type":"book"},"uris":["http://www.mendeley.com/documents/?uuid=50865a93-dc9d-4f24-8df4-3bd612712f3d"]}],"mendeley":{"formattedCitation":"(Stehfest, E., van Vuuren, D., Kram, T., Bouwman, L., Alkemade, R., Bakkenes, M., Biemans, H., Bouwman, A., den Elzen, M., Janse, J., Lucas, P., van Minnen, J., Müller, C., Prins, 2014)","manualFormatting":"(Stehfest et al., 2014)","plainTextFormattedCitation":"(Stehfest, E., van Vuuren, D., Kram, T., Bouwman, L., Alkemade, R., Bakkenes, M., Biemans, H., Bouwman, A., den Elzen, M., Janse, J., Lucas, P., van Minnen, J., Müller, C., Prins, 2014)","previouslyFormattedCitation":"(Stehfest, E., van Vuuren, D., Kram, T., Bouwman, L., Alkemade, R., Bakkenes, M., Biemans, H., Bouwman, A., den Elzen, M., Janse, J., Lucas, P., van Minnen, J., Müller, C., Prins, 2014)"},"properties":{"noteIndex":0},"schema":"https://github.com/citation-style-language/schema/raw/master/csl-citation.json"}</w:instrText>
      </w:r>
      <w:r w:rsidR="00470AB9">
        <w:rPr>
          <w:lang w:val="en-US"/>
        </w:rPr>
        <w:fldChar w:fldCharType="separate"/>
      </w:r>
      <w:r w:rsidR="00470AB9" w:rsidRPr="00470AB9">
        <w:rPr>
          <w:noProof/>
          <w:lang w:val="en-US"/>
        </w:rPr>
        <w:t>(Stehfest</w:t>
      </w:r>
      <w:r w:rsidR="00470AB9">
        <w:rPr>
          <w:noProof/>
          <w:lang w:val="en-US"/>
        </w:rPr>
        <w:t xml:space="preserve"> et al., </w:t>
      </w:r>
      <w:r w:rsidR="00470AB9" w:rsidRPr="00470AB9">
        <w:rPr>
          <w:noProof/>
          <w:lang w:val="en-US"/>
        </w:rPr>
        <w:t>2014)</w:t>
      </w:r>
      <w:r w:rsidR="00470AB9">
        <w:rPr>
          <w:lang w:val="en-US"/>
        </w:rPr>
        <w:fldChar w:fldCharType="end"/>
      </w:r>
      <w:r w:rsidR="00470AB9">
        <w:rPr>
          <w:lang w:val="en-US"/>
        </w:rPr>
        <w:t xml:space="preserve"> </w:t>
      </w:r>
      <w:r w:rsidRPr="00E033D6">
        <w:rPr>
          <w:lang w:val="en-US"/>
        </w:rPr>
        <w:t xml:space="preserve">and the </w:t>
      </w:r>
      <w:proofErr w:type="spellStart"/>
      <w:r w:rsidRPr="00E033D6">
        <w:rPr>
          <w:lang w:val="en-US"/>
        </w:rPr>
        <w:t>ecoinvent</w:t>
      </w:r>
      <w:proofErr w:type="spellEnd"/>
      <w:r w:rsidRPr="00E033D6">
        <w:rPr>
          <w:lang w:val="en-US"/>
        </w:rPr>
        <w:t xml:space="preserve"> database </w:t>
      </w:r>
      <w:r w:rsidR="00470AB9">
        <w:rPr>
          <w:lang w:val="en-US"/>
        </w:rPr>
        <w:fldChar w:fldCharType="begin" w:fldLock="1"/>
      </w:r>
      <w:r w:rsidR="00470AB9">
        <w:rPr>
          <w:lang w:val="en-US"/>
        </w:rPr>
        <w:instrText>ADDIN CSL_CITATION {"citationItems":[{"id":"ITEM-1","itemData":{"DOI":"10.1007/s11367-016-1087-8","ISSN":"16147502","abstract":"Purpose: Good background data are an important requirement in LCA. Practitioners generally make use of LCI databases for such data, and the ecoinvent database is the largest transparent unit-process LCI database worldwide. Since its first release in 2003, it has been continuously updated, and version 3 was published in 2013. The release of version 3 introduced several significant methodological and technological improvements, besides a large number of new and updated datasets. The aim was to expand the content of the database, set the foundation for a truly global database, support regionalized LCIA, offer multiple system models, allow for easier integration of data from different regions, and reduce maintenance efforts. This article describes the methodological developments. Methods: Modeling choices and raw data were separated in version 3, which enables the application of different sets of modeling choices, or system models, to the same raw data with little effort. This includes one system model for Consequential LCA. Flow properties were added to all exchanges in the database, giving more information on the inventory and allowing a fast calculation of mass and other balances. With version 3.1, the database is generally water-balanced, and water use and consumption can be determined. Consumption mixes called market datasets were consistently added to the database, and global background data was added, often as an extrapolation from regional data. Results and discussion: In combination with hundreds of new unit processes from regions outside Europe, these changes lead to an improved modeling of global supply chains, and a more realistic distribution of impacts in regionalized LCIA. The new mixes also facilitate further regionalization due to the availability of background data for all regions. Conclusions: With version 3, the ecoinvent database substantially expands the goals and scopes of LCA studies it can support. The new system models allow new, different studies to be performed. Global supply chains and market datasets significantly increase the relevance of the database outside of Europe, and regionalized LCA is supported by the data. Datasets are more transparent, include more information, and support, e.g., water balances. The developments also support easier collaboration with other database initiatives, as demonstrated by a first successful collaboration with a data project in Québec. Version 3 has set the foundation for expanding ecoinvent …","author":[{"dropping-particle":"","family":"Wernet","given":"Gregor","non-dropping-particle":"","parse-names":false,"suffix":""},{"dropping-particle":"","family":"Bauer","given":"Christian","non-dropping-particle":"","parse-names":false,"suffix":""},{"dropping-particle":"","family":"Steubing","given":"Bernhard","non-dropping-particle":"","parse-names":false,"suffix":""},{"dropping-particle":"","family":"Reinhard","given":"Jürgen","non-dropping-particle":"","parse-names":false,"suffix":""},{"dropping-particle":"","family":"Moreno-Ruiz","given":"Emilia","non-dropping-particle":"","parse-names":false,"suffix":""},{"dropping-particle":"","family":"Weidema","given":"Bo","non-dropping-particle":"","parse-names":false,"suffix":""}],"container-title":"International Journal of Life Cycle Assessment","id":"ITEM-1","issue":"9","issued":{"date-parts":[["2016"]]},"page":"1218-1230","publisher":"The International Journal of Life Cycle Assessment","title":"The ecoinvent database version 3 (part I): overview and methodology","type":"article-journal","volume":"21"},"uris":["http://www.mendeley.com/documents/?uuid=7c5c108f-1285-4cb4-9254-b99ca9b55085"]}],"mendeley":{"formattedCitation":"(Wernet et al., 2016)","plainTextFormattedCitation":"(Wernet et al., 2016)","previouslyFormattedCitation":"(Wernet et al., 2016)"},"properties":{"noteIndex":0},"schema":"https://github.com/citation-style-language/schema/raw/master/csl-citation.json"}</w:instrText>
      </w:r>
      <w:r w:rsidR="00470AB9">
        <w:rPr>
          <w:lang w:val="en-US"/>
        </w:rPr>
        <w:fldChar w:fldCharType="separate"/>
      </w:r>
      <w:r w:rsidR="00470AB9" w:rsidRPr="00470AB9">
        <w:rPr>
          <w:noProof/>
          <w:lang w:val="en-US"/>
        </w:rPr>
        <w:t>(Wernet et al., 2016)</w:t>
      </w:r>
      <w:r w:rsidR="00470AB9">
        <w:rPr>
          <w:lang w:val="en-US"/>
        </w:rPr>
        <w:fldChar w:fldCharType="end"/>
      </w:r>
      <w:r w:rsidR="00470AB9">
        <w:rPr>
          <w:lang w:val="en-US"/>
        </w:rPr>
        <w:t xml:space="preserve"> </w:t>
      </w:r>
      <w:r w:rsidRPr="00E033D6">
        <w:rPr>
          <w:lang w:val="en-US"/>
        </w:rPr>
        <w:t xml:space="preserve">were combined in the work of </w:t>
      </w:r>
      <w:r w:rsidR="00470AB9">
        <w:rPr>
          <w:lang w:val="en-US"/>
        </w:rPr>
        <w:fldChar w:fldCharType="begin" w:fldLock="1"/>
      </w:r>
      <w:r w:rsidR="008507C9">
        <w:rPr>
          <w:lang w:val="en-US"/>
        </w:rPr>
        <w:instrText>ADDIN CSL_CITATION {"citationItems":[{"id":"ITEM-1","itemData":{"DOI":"10.1111/jiec.12825","ISSN":"15309290","abstract":"Prospective life cycle assessment (LCA) needs to deal with the large epistemological uncertainty about the future to support more robust future environmental impact assessments of technologies. This study proposes a novel approach that systematically changes the background processes in a prospective LCA based on scenarios of an integrated assessment model (IAM), the IMAGE model. Consistent worldwide scenarios from IMAGE are evaluated in the life cycle inventory using ecoinvent v3.3. To test the approach, only the electricity sector was changed in a prospective LCA of an internal combustion engine vehicle (ICEV) and an electric vehicle (EV) using six baseline and mitigation climate scenarios until 2050. This case study shows that changes in the electricity background can be very important for the environmental impacts of EV. Also, the approach demonstrates that the relative environmental performance of EV and ICEV over time is more complex and multifaceted than previously assumed. Uncertainty due to future developments manifests in different impacts depending on the product (EV or ICEV), the impact category, and the scenario and year considered. More robust prospective LCAs can be achieved, particularly for emerging technologies, by expanding this approach to other economic sectors beyond electricity background changes and mobility applications as well as by including uncertainty and changes in foreground parameters. A more systematic and structured composition of future inventory databases driven by IAM scenarios helps to acknowledge epistemological uncertainty and to increase the temporal consistency of foreground and background systems in LCAs of emerging technologies.","author":[{"dropping-particle":"","family":"Mendoza Beltran","given":"Angelica","non-dropping-particle":"","parse-names":false,"suffix":""},{"dropping-particle":"","family":"Cox","given":"Brian","non-dropping-particle":"","parse-names":false,"suffix":""},{"dropping-particle":"","family":"Mutel","given":"Chris","non-dropping-particle":"","parse-names":false,"suffix":""},{"dropping-particle":"","family":"Vuuren","given":"Detlef P.","non-dropping-particle":"van","parse-names":false,"suffix":""},{"dropping-particle":"","family":"Font Vivanco","given":"David","non-dropping-particle":"","parse-names":false,"suffix":""},{"dropping-particle":"","family":"Deetman","given":"Sebastiaan","non-dropping-particle":"","parse-names":false,"suffix":""},{"dropping-particle":"","family":"Edelenbosch","given":"Oreane Y.","non-dropping-particle":"","parse-names":false,"suffix":""},{"dropping-particle":"","family":"Guinée","given":"Jeroen","non-dropping-particle":"","parse-names":false,"suffix":""},{"dropping-particle":"","family":"Tukker","given":"Arnold","non-dropping-particle":"","parse-names":false,"suffix":""}],"container-title":"Journal of Industrial Ecology","id":"ITEM-1","issue":"1","issued":{"date-parts":[["2020"]]},"page":"64-79","title":"When the Background Matters: Using Scenarios from Integrated Assessment Models in Prospective Life Cycle Assessment","type":"article-journal","volume":"24"},"uris":["http://www.mendeley.com/documents/?uuid=23005091-6e6d-4a82-ae06-d55842ce3334"]}],"mendeley":{"formattedCitation":"(Mendoza Beltran et al., 2020)","manualFormatting":"Mendoza Beltran et al. (2020)","plainTextFormattedCitation":"(Mendoza Beltran et al., 2020)","previouslyFormattedCitation":"(Mendoza Beltran et al., 2020)"},"properties":{"noteIndex":0},"schema":"https://github.com/citation-style-language/schema/raw/master/csl-citation.json"}</w:instrText>
      </w:r>
      <w:r w:rsidR="00470AB9">
        <w:rPr>
          <w:lang w:val="en-US"/>
        </w:rPr>
        <w:fldChar w:fldCharType="separate"/>
      </w:r>
      <w:r w:rsidR="00470AB9" w:rsidRPr="00470AB9">
        <w:rPr>
          <w:noProof/>
          <w:lang w:val="en-US"/>
        </w:rPr>
        <w:t>Mendoza Beltran et al</w:t>
      </w:r>
      <w:r w:rsidR="00470AB9">
        <w:rPr>
          <w:noProof/>
          <w:lang w:val="en-US"/>
        </w:rPr>
        <w:t>.</w:t>
      </w:r>
      <w:r w:rsidR="00470AB9" w:rsidRPr="00470AB9">
        <w:rPr>
          <w:noProof/>
          <w:lang w:val="en-US"/>
        </w:rPr>
        <w:t xml:space="preserve"> </w:t>
      </w:r>
      <w:r w:rsidR="00470AB9">
        <w:rPr>
          <w:noProof/>
          <w:lang w:val="en-US"/>
        </w:rPr>
        <w:t>(</w:t>
      </w:r>
      <w:r w:rsidR="00470AB9" w:rsidRPr="00470AB9">
        <w:rPr>
          <w:noProof/>
          <w:lang w:val="en-US"/>
        </w:rPr>
        <w:t>2020)</w:t>
      </w:r>
      <w:r w:rsidR="00470AB9">
        <w:rPr>
          <w:lang w:val="en-US"/>
        </w:rPr>
        <w:fldChar w:fldCharType="end"/>
      </w:r>
      <w:r w:rsidR="00470AB9">
        <w:rPr>
          <w:lang w:val="en-US"/>
        </w:rPr>
        <w:t xml:space="preserve"> </w:t>
      </w:r>
      <w:r w:rsidRPr="00E033D6">
        <w:rPr>
          <w:lang w:val="en-US"/>
        </w:rPr>
        <w:t xml:space="preserve">to drive the </w:t>
      </w:r>
      <w:proofErr w:type="spellStart"/>
      <w:r w:rsidRPr="00E033D6">
        <w:rPr>
          <w:lang w:val="en-US"/>
        </w:rPr>
        <w:t>ecoinvent</w:t>
      </w:r>
      <w:proofErr w:type="spellEnd"/>
      <w:r w:rsidRPr="00E033D6">
        <w:rPr>
          <w:lang w:val="en-US"/>
        </w:rPr>
        <w:t xml:space="preserve"> electricity dataset into the future considering the SSP2 narrative "middle of the road."</w:t>
      </w:r>
      <w:r w:rsidR="00356EC4">
        <w:rPr>
          <w:lang w:val="en-US"/>
        </w:rPr>
        <w:t xml:space="preserve"> </w:t>
      </w:r>
    </w:p>
    <w:p w14:paraId="588DAC5F" w14:textId="77777777" w:rsidR="00454A03" w:rsidRDefault="00454A03" w:rsidP="00E033D6">
      <w:pPr>
        <w:rPr>
          <w:lang w:val="en-US"/>
        </w:rPr>
      </w:pPr>
    </w:p>
    <w:p w14:paraId="2D9FF038" w14:textId="7C2F6C6C" w:rsidR="00583088" w:rsidRPr="00DF7B25" w:rsidRDefault="00E033D6" w:rsidP="00E033D6">
      <w:pPr>
        <w:rPr>
          <w:lang w:val="en-US"/>
        </w:rPr>
      </w:pPr>
      <w:r w:rsidRPr="00E033D6">
        <w:rPr>
          <w:lang w:val="en-US"/>
        </w:rPr>
        <w:t xml:space="preserve">For the recycling route, it could be valuable to perform an ex-ante </w:t>
      </w:r>
      <w:proofErr w:type="gramStart"/>
      <w:r w:rsidR="00806FC7" w:rsidRPr="00E033D6">
        <w:rPr>
          <w:lang w:val="en-US"/>
        </w:rPr>
        <w:t>scenario</w:t>
      </w:r>
      <w:r w:rsidR="0081607E">
        <w:rPr>
          <w:lang w:val="en-US"/>
        </w:rPr>
        <w:t>-</w:t>
      </w:r>
      <w:r w:rsidR="00806FC7" w:rsidRPr="00E033D6">
        <w:rPr>
          <w:lang w:val="en-US"/>
        </w:rPr>
        <w:t>based</w:t>
      </w:r>
      <w:proofErr w:type="gramEnd"/>
      <w:r w:rsidRPr="00E033D6">
        <w:rPr>
          <w:lang w:val="en-US"/>
        </w:rPr>
        <w:t xml:space="preserve"> LCA using the "futuristic" version of the </w:t>
      </w:r>
      <w:proofErr w:type="spellStart"/>
      <w:r w:rsidR="00454A03">
        <w:rPr>
          <w:lang w:val="en-US"/>
        </w:rPr>
        <w:t>ecoinvent</w:t>
      </w:r>
      <w:proofErr w:type="spellEnd"/>
      <w:r w:rsidR="00454A03">
        <w:rPr>
          <w:lang w:val="en-US"/>
        </w:rPr>
        <w:t xml:space="preserve"> </w:t>
      </w:r>
      <w:r w:rsidRPr="00E033D6">
        <w:rPr>
          <w:lang w:val="en-US"/>
        </w:rPr>
        <w:t xml:space="preserve">database in 2030. In this way, the product system's impacts from the energy background could be more representative of the conditions in the future. Bernhard </w:t>
      </w:r>
      <w:proofErr w:type="spellStart"/>
      <w:r w:rsidRPr="00E033D6">
        <w:rPr>
          <w:lang w:val="en-US"/>
        </w:rPr>
        <w:t>Steubing</w:t>
      </w:r>
      <w:proofErr w:type="spellEnd"/>
      <w:r w:rsidRPr="00E033D6">
        <w:rPr>
          <w:lang w:val="en-US"/>
        </w:rPr>
        <w:t xml:space="preserve"> and colleagues from the Institute of Environmental Sciences at Leiden University (CML) are developing a work to facilitate using such modified background database in LCA scenarios through the "superstructure approach." It is encouraged to reach out to their research group for further application of the tool.  </w:t>
      </w:r>
    </w:p>
    <w:p w14:paraId="7D97C7FB" w14:textId="41EA175B" w:rsidR="00931C04" w:rsidRDefault="00931C04" w:rsidP="00900F9A">
      <w:pPr>
        <w:spacing w:before="0" w:after="0" w:line="240" w:lineRule="auto"/>
        <w:contextualSpacing w:val="0"/>
        <w:jc w:val="left"/>
        <w:rPr>
          <w:lang w:val="en-US"/>
        </w:rPr>
      </w:pPr>
      <w:r>
        <w:rPr>
          <w:lang w:val="en-US"/>
        </w:rPr>
        <w:br w:type="page"/>
      </w:r>
    </w:p>
    <w:p w14:paraId="61CC220B" w14:textId="690DB3EF" w:rsidR="00931C04" w:rsidRDefault="00931C04" w:rsidP="00F92ED7">
      <w:pPr>
        <w:pStyle w:val="Heading1"/>
      </w:pPr>
      <w:bookmarkStart w:id="93" w:name="_Toc76752292"/>
      <w:r>
        <w:lastRenderedPageBreak/>
        <w:t>References</w:t>
      </w:r>
      <w:bookmarkEnd w:id="93"/>
    </w:p>
    <w:p w14:paraId="46DD3F7C" w14:textId="6DEE5578" w:rsidR="00931C04" w:rsidRPr="00121A3F" w:rsidRDefault="00931C04" w:rsidP="00931C04"/>
    <w:p w14:paraId="5074188E" w14:textId="3BAE8ADC" w:rsidR="00E92566" w:rsidRPr="001F0027" w:rsidRDefault="00E92566" w:rsidP="001F0027">
      <w:pPr>
        <w:widowControl w:val="0"/>
        <w:autoSpaceDE w:val="0"/>
        <w:autoSpaceDN w:val="0"/>
        <w:adjustRightInd w:val="0"/>
        <w:spacing w:before="0" w:after="0"/>
        <w:ind w:left="480" w:hanging="480"/>
        <w:rPr>
          <w:noProof/>
          <w:lang w:val="en-GB"/>
        </w:rPr>
      </w:pPr>
      <w:r w:rsidRPr="001F0027">
        <w:fldChar w:fldCharType="begin" w:fldLock="1"/>
      </w:r>
      <w:r w:rsidRPr="001F0027">
        <w:instrText xml:space="preserve">ADDIN Mendeley Bibliography CSL_BIBLIOGRAPHY </w:instrText>
      </w:r>
      <w:r w:rsidRPr="001F0027">
        <w:fldChar w:fldCharType="separate"/>
      </w:r>
      <w:r w:rsidRPr="001F0027">
        <w:rPr>
          <w:noProof/>
          <w:lang w:val="en-GB"/>
        </w:rPr>
        <w:t xml:space="preserve">Abrahami, S. T., Xiao, Y., &amp; Yang, Y. (2015). Rare-earth elements recovery from post-consumer hard-disc drives. </w:t>
      </w:r>
      <w:r w:rsidRPr="001F0027">
        <w:rPr>
          <w:i/>
          <w:iCs/>
          <w:noProof/>
          <w:lang w:val="en-GB"/>
        </w:rPr>
        <w:t>Transactions of the Institutions of Mining and Metallurgy, Section C: Mineral Processing and Extractive Metallurgy</w:t>
      </w:r>
      <w:r w:rsidRPr="001F0027">
        <w:rPr>
          <w:noProof/>
          <w:lang w:val="en-GB"/>
        </w:rPr>
        <w:t xml:space="preserve">, </w:t>
      </w:r>
      <w:r w:rsidRPr="001F0027">
        <w:rPr>
          <w:i/>
          <w:iCs/>
          <w:noProof/>
          <w:lang w:val="en-GB"/>
        </w:rPr>
        <w:t>124</w:t>
      </w:r>
      <w:r w:rsidRPr="001F0027">
        <w:rPr>
          <w:noProof/>
          <w:lang w:val="en-GB"/>
        </w:rPr>
        <w:t>(2), 106–115. https://doi.org/10.1179/1743285514Y.0000000084</w:t>
      </w:r>
    </w:p>
    <w:p w14:paraId="531F3B8D"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Alonso, E., Sherman, A. M., Wallington, T. J., Everson, M. P., Field, F. R., Roth, R., &amp; Kirchain, R. E. (2012). Erratum: Evaluating rare earth element availability: A case with revolutionary demand from clean technologies (Environmental Science and Technology (2012) 46:6 (3406-3414) DOI: 10.1021/es203518d). </w:t>
      </w:r>
      <w:r w:rsidRPr="001F0027">
        <w:rPr>
          <w:i/>
          <w:iCs/>
          <w:noProof/>
          <w:lang w:val="en-GB"/>
        </w:rPr>
        <w:t>Environmental Science and Technology</w:t>
      </w:r>
      <w:r w:rsidRPr="001F0027">
        <w:rPr>
          <w:noProof/>
          <w:lang w:val="en-GB"/>
        </w:rPr>
        <w:t xml:space="preserve">, </w:t>
      </w:r>
      <w:r w:rsidRPr="001F0027">
        <w:rPr>
          <w:i/>
          <w:iCs/>
          <w:noProof/>
          <w:lang w:val="en-GB"/>
        </w:rPr>
        <w:t>46</w:t>
      </w:r>
      <w:r w:rsidRPr="001F0027">
        <w:rPr>
          <w:noProof/>
          <w:lang w:val="en-GB"/>
        </w:rPr>
        <w:t>(8), 4684. https://doi.org/10.1021/es3011354</w:t>
      </w:r>
    </w:p>
    <w:p w14:paraId="703C62CB"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Amato, A., Becci, A., Birloaga, I., De Michelis, I., Ferella, F., Innocenzi, V., Ippolito, N. M., Pillar Jimenez Gomez, C., Vegliò, F., &amp; Beolchini, F. (2019). Sustainability analysis of innovative technologies for the rare earth elements recovery. </w:t>
      </w:r>
      <w:r w:rsidRPr="001F0027">
        <w:rPr>
          <w:i/>
          <w:iCs/>
          <w:noProof/>
          <w:lang w:val="en-GB"/>
        </w:rPr>
        <w:t>Renewable and Sustainable Energy Reviews</w:t>
      </w:r>
      <w:r w:rsidRPr="001F0027">
        <w:rPr>
          <w:noProof/>
          <w:lang w:val="en-GB"/>
        </w:rPr>
        <w:t xml:space="preserve">, </w:t>
      </w:r>
      <w:r w:rsidRPr="001F0027">
        <w:rPr>
          <w:i/>
          <w:iCs/>
          <w:noProof/>
          <w:lang w:val="en-GB"/>
        </w:rPr>
        <w:t>106</w:t>
      </w:r>
      <w:r w:rsidRPr="001F0027">
        <w:rPr>
          <w:noProof/>
          <w:lang w:val="en-GB"/>
        </w:rPr>
        <w:t>(December 2018), 41–53. https://doi.org/10.1016/j.rser.2019.02.029</w:t>
      </w:r>
    </w:p>
    <w:p w14:paraId="57A6E607"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Ambaye, T. G., Vaccari, M., Castro, F. D., Prasad, S., &amp; Rtimi, S. (2020). Emerging technologies for the recovery of rare earth elements (REEs) from the end-of-life electronic wastes: a review on progress, challenges, and perspectives. </w:t>
      </w:r>
      <w:r w:rsidRPr="001F0027">
        <w:rPr>
          <w:i/>
          <w:iCs/>
          <w:noProof/>
          <w:lang w:val="en-GB"/>
        </w:rPr>
        <w:t>Environmental Science and Pollution Research</w:t>
      </w:r>
      <w:r w:rsidRPr="001F0027">
        <w:rPr>
          <w:noProof/>
          <w:lang w:val="en-GB"/>
        </w:rPr>
        <w:t xml:space="preserve">, </w:t>
      </w:r>
      <w:r w:rsidRPr="001F0027">
        <w:rPr>
          <w:i/>
          <w:iCs/>
          <w:noProof/>
          <w:lang w:val="en-GB"/>
        </w:rPr>
        <w:t>27</w:t>
      </w:r>
      <w:r w:rsidRPr="001F0027">
        <w:rPr>
          <w:noProof/>
          <w:lang w:val="en-GB"/>
        </w:rPr>
        <w:t>(29), 36052–36074. https://doi.org/10.1007/s11356-020-09630-2</w:t>
      </w:r>
    </w:p>
    <w:p w14:paraId="25804A1E"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Beylot, A., Ménad, N. E., Seron, A., Delain, M., Bizouard, A., Ménard, Y., &amp; Villeneuve, J. (2020). Economic assessment and carbon footprint of recycling rare earths from magnets: Evaluation at lab scale paving the way toward industrialization. </w:t>
      </w:r>
      <w:r w:rsidRPr="001F0027">
        <w:rPr>
          <w:i/>
          <w:iCs/>
          <w:noProof/>
          <w:lang w:val="en-GB"/>
        </w:rPr>
        <w:t>Journal of Industrial Ecology</w:t>
      </w:r>
      <w:r w:rsidRPr="001F0027">
        <w:rPr>
          <w:noProof/>
          <w:lang w:val="en-GB"/>
        </w:rPr>
        <w:t xml:space="preserve">, </w:t>
      </w:r>
      <w:r w:rsidRPr="001F0027">
        <w:rPr>
          <w:i/>
          <w:iCs/>
          <w:noProof/>
          <w:lang w:val="en-GB"/>
        </w:rPr>
        <w:t>24</w:t>
      </w:r>
      <w:r w:rsidRPr="001F0027">
        <w:rPr>
          <w:noProof/>
          <w:lang w:val="en-GB"/>
        </w:rPr>
        <w:t>(1), 128–137. https://doi.org/10.1111/jiec.12943</w:t>
      </w:r>
    </w:p>
    <w:p w14:paraId="45A824DC"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Binnemans, K., Jones, P. T., Blanpain, B., Van Gerven, T., Yang, Y., Walton, A., &amp; Buchert, M. (2013). Recycling of rare earths: A critical review. </w:t>
      </w:r>
      <w:r w:rsidRPr="001F0027">
        <w:rPr>
          <w:i/>
          <w:iCs/>
          <w:noProof/>
          <w:lang w:val="en-GB"/>
        </w:rPr>
        <w:t>Journal of Cleaner Production</w:t>
      </w:r>
      <w:r w:rsidRPr="001F0027">
        <w:rPr>
          <w:noProof/>
          <w:lang w:val="en-GB"/>
        </w:rPr>
        <w:t xml:space="preserve">, </w:t>
      </w:r>
      <w:r w:rsidRPr="001F0027">
        <w:rPr>
          <w:i/>
          <w:iCs/>
          <w:noProof/>
          <w:lang w:val="en-GB"/>
        </w:rPr>
        <w:t>51</w:t>
      </w:r>
      <w:r w:rsidRPr="001F0027">
        <w:rPr>
          <w:noProof/>
          <w:lang w:val="en-GB"/>
        </w:rPr>
        <w:t>, 1–22. https://doi.org/10.1016/j.jclepro.2012.12.037</w:t>
      </w:r>
    </w:p>
    <w:p w14:paraId="5E9ADC18"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pt-BR"/>
        </w:rPr>
        <w:t xml:space="preserve">Bonfante, M. C., Raspini, J. P., Fernandes, I. B., Fernandes, S., Campos, L. M. S., &amp; Alarcon, O. E. (2021). </w:t>
      </w:r>
      <w:r w:rsidRPr="001F0027">
        <w:rPr>
          <w:noProof/>
          <w:lang w:val="en-GB"/>
        </w:rPr>
        <w:t xml:space="preserve">Achieving Sustainable Development Goals in rare earth magnets production: A review on state of the art and SWOT analysis. </w:t>
      </w:r>
      <w:r w:rsidRPr="001F0027">
        <w:rPr>
          <w:i/>
          <w:iCs/>
          <w:noProof/>
          <w:lang w:val="en-GB"/>
        </w:rPr>
        <w:t>Renewable and Sustainable Energy Reviews</w:t>
      </w:r>
      <w:r w:rsidRPr="001F0027">
        <w:rPr>
          <w:noProof/>
          <w:lang w:val="en-GB"/>
        </w:rPr>
        <w:t xml:space="preserve">, </w:t>
      </w:r>
      <w:r w:rsidRPr="001F0027">
        <w:rPr>
          <w:i/>
          <w:iCs/>
          <w:noProof/>
          <w:lang w:val="en-GB"/>
        </w:rPr>
        <w:t>137</w:t>
      </w:r>
      <w:r w:rsidRPr="001F0027">
        <w:rPr>
          <w:noProof/>
          <w:lang w:val="en-GB"/>
        </w:rPr>
        <w:t>(October 2020). https://doi.org/10.1016/j.rser.2020.110616</w:t>
      </w:r>
    </w:p>
    <w:p w14:paraId="75FA6C31"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Börjeson, L., Höjer, M., Dreborg, K. H., Ekvall, T., &amp; Finnveden, G. (2006). </w:t>
      </w:r>
      <w:r w:rsidRPr="001F0027">
        <w:rPr>
          <w:noProof/>
          <w:lang w:val="en-GB"/>
        </w:rPr>
        <w:t xml:space="preserve">Scenario types and techniques: Towards a user’s guide. </w:t>
      </w:r>
      <w:r w:rsidRPr="001F0027">
        <w:rPr>
          <w:i/>
          <w:iCs/>
          <w:noProof/>
          <w:lang w:val="en-GB"/>
        </w:rPr>
        <w:t>Futures</w:t>
      </w:r>
      <w:r w:rsidRPr="001F0027">
        <w:rPr>
          <w:noProof/>
          <w:lang w:val="en-GB"/>
        </w:rPr>
        <w:t xml:space="preserve">, </w:t>
      </w:r>
      <w:r w:rsidRPr="001F0027">
        <w:rPr>
          <w:i/>
          <w:iCs/>
          <w:noProof/>
          <w:lang w:val="en-GB"/>
        </w:rPr>
        <w:t>38</w:t>
      </w:r>
      <w:r w:rsidRPr="001F0027">
        <w:rPr>
          <w:noProof/>
          <w:lang w:val="en-GB"/>
        </w:rPr>
        <w:t>(7), 723–739. https://doi.org/10.1016/j.futures.2005.12.002</w:t>
      </w:r>
    </w:p>
    <w:p w14:paraId="23158E16" w14:textId="6396CDCD" w:rsidR="00E92566" w:rsidRPr="00280DA9" w:rsidRDefault="00E92566" w:rsidP="001F0027">
      <w:pPr>
        <w:widowControl w:val="0"/>
        <w:autoSpaceDE w:val="0"/>
        <w:autoSpaceDN w:val="0"/>
        <w:adjustRightInd w:val="0"/>
        <w:spacing w:before="0" w:after="0"/>
        <w:ind w:left="480" w:hanging="480"/>
        <w:rPr>
          <w:noProof/>
          <w:lang w:val="nl-NL"/>
        </w:rPr>
      </w:pPr>
      <w:r w:rsidRPr="00500D51">
        <w:rPr>
          <w:noProof/>
          <w:lang w:val="nl-NL"/>
        </w:rPr>
        <w:lastRenderedPageBreak/>
        <w:t xml:space="preserve">Buyle, M., Audenaert, A., Billen, P., Boonen, K., &amp; Van Passel, S. (2019). </w:t>
      </w:r>
      <w:r w:rsidRPr="001F0027">
        <w:rPr>
          <w:noProof/>
          <w:lang w:val="en-GB"/>
        </w:rPr>
        <w:t xml:space="preserve">The future of ex-ante LCA? Lessons learned and practical recommendations. </w:t>
      </w:r>
      <w:r w:rsidRPr="00280DA9">
        <w:rPr>
          <w:i/>
          <w:iCs/>
          <w:noProof/>
          <w:lang w:val="nl-NL"/>
        </w:rPr>
        <w:t>Sustainability (Switzerland)</w:t>
      </w:r>
      <w:r w:rsidRPr="00280DA9">
        <w:rPr>
          <w:noProof/>
          <w:lang w:val="nl-NL"/>
        </w:rPr>
        <w:t xml:space="preserve">, </w:t>
      </w:r>
      <w:r w:rsidRPr="00280DA9">
        <w:rPr>
          <w:i/>
          <w:iCs/>
          <w:noProof/>
          <w:lang w:val="nl-NL"/>
        </w:rPr>
        <w:t>11</w:t>
      </w:r>
      <w:r w:rsidRPr="00280DA9">
        <w:rPr>
          <w:noProof/>
          <w:lang w:val="nl-NL"/>
        </w:rPr>
        <w:t>(19), 1–24. https://doi.org/10.3390/su11195456</w:t>
      </w:r>
    </w:p>
    <w:p w14:paraId="0CF8A641"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Cucurachi, S., Van Der Giesen, C., &amp; Guinée, J. (2018). </w:t>
      </w:r>
      <w:r w:rsidRPr="001F0027">
        <w:rPr>
          <w:noProof/>
          <w:lang w:val="en-GB"/>
        </w:rPr>
        <w:t xml:space="preserve">Ex-ante LCA of Emerging Technologies. </w:t>
      </w:r>
      <w:r w:rsidRPr="001F0027">
        <w:rPr>
          <w:i/>
          <w:iCs/>
          <w:noProof/>
          <w:lang w:val="en-GB"/>
        </w:rPr>
        <w:t>Procedia CIRP</w:t>
      </w:r>
      <w:r w:rsidRPr="001F0027">
        <w:rPr>
          <w:noProof/>
          <w:lang w:val="en-GB"/>
        </w:rPr>
        <w:t xml:space="preserve">, </w:t>
      </w:r>
      <w:r w:rsidRPr="001F0027">
        <w:rPr>
          <w:i/>
          <w:iCs/>
          <w:noProof/>
          <w:lang w:val="en-GB"/>
        </w:rPr>
        <w:t>69</w:t>
      </w:r>
      <w:r w:rsidRPr="001F0027">
        <w:rPr>
          <w:noProof/>
          <w:lang w:val="en-GB"/>
        </w:rPr>
        <w:t>(May), 463–468. https://doi.org/10.1016/j.procir.2017.11.005</w:t>
      </w:r>
    </w:p>
    <w:p w14:paraId="3A0ED14C" w14:textId="29A617BC" w:rsidR="00E92566"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De Michelis, I., &amp; Kopacek, B. (2018). HydroWEEE project: Design and construction of a mobile demonstration plant. In </w:t>
      </w:r>
      <w:r w:rsidRPr="001F0027">
        <w:rPr>
          <w:i/>
          <w:iCs/>
          <w:noProof/>
          <w:lang w:val="en-GB"/>
        </w:rPr>
        <w:t>Waste Electrical and Electronic Equipment Recycling: Aqueous Recovery Methods</w:t>
      </w:r>
      <w:r w:rsidRPr="001F0027">
        <w:rPr>
          <w:noProof/>
          <w:lang w:val="en-GB"/>
        </w:rPr>
        <w:t>. Elsevier Ltd. https://doi.org/10.1016/B978-0-08-102057-9.00013-5</w:t>
      </w:r>
    </w:p>
    <w:p w14:paraId="63E9409D" w14:textId="5B869FBC" w:rsidR="00E5441C" w:rsidRDefault="00E5441C" w:rsidP="00E91436">
      <w:pPr>
        <w:ind w:left="567" w:hanging="567"/>
      </w:pPr>
      <w:r w:rsidRPr="00880D2A">
        <w:t>Doka G. (200</w:t>
      </w:r>
      <w:r w:rsidR="000A467A">
        <w:rPr>
          <w:lang w:val="en-US"/>
        </w:rPr>
        <w:t>9</w:t>
      </w:r>
      <w:r w:rsidRPr="00880D2A">
        <w:t>)</w:t>
      </w:r>
      <w:r>
        <w:rPr>
          <w:lang w:val="en-US"/>
        </w:rPr>
        <w:t>.</w:t>
      </w:r>
      <w:r w:rsidRPr="00880D2A">
        <w:t xml:space="preserve"> Life Cycle Inventories of Waste Treatment Services. ecoinvent report No. 13</w:t>
      </w:r>
      <w:r>
        <w:rPr>
          <w:lang w:val="en-US"/>
        </w:rPr>
        <w:t>.</w:t>
      </w:r>
      <w:r w:rsidRPr="00880D2A">
        <w:t xml:space="preserve"> Swiss Centre for Life Cycle Inventories, Dübendorf,</w:t>
      </w:r>
      <w:r w:rsidR="000A467A">
        <w:rPr>
          <w:lang w:val="en-US"/>
        </w:rPr>
        <w:t xml:space="preserve"> </w:t>
      </w:r>
      <w:r w:rsidRPr="00880D2A">
        <w:t>200</w:t>
      </w:r>
      <w:r w:rsidR="000A467A">
        <w:rPr>
          <w:lang w:val="en-US"/>
        </w:rPr>
        <w:t>9</w:t>
      </w:r>
      <w:r w:rsidRPr="00880D2A">
        <w:t xml:space="preserve"> </w:t>
      </w:r>
    </w:p>
    <w:p w14:paraId="65802799" w14:textId="77183FD2" w:rsidR="00E92566" w:rsidRDefault="00E92566" w:rsidP="00E91436">
      <w:pPr>
        <w:widowControl w:val="0"/>
        <w:autoSpaceDE w:val="0"/>
        <w:autoSpaceDN w:val="0"/>
        <w:adjustRightInd w:val="0"/>
        <w:spacing w:before="0" w:after="0"/>
        <w:ind w:left="480" w:hanging="480"/>
        <w:rPr>
          <w:noProof/>
          <w:lang w:val="en-GB"/>
        </w:rPr>
      </w:pPr>
      <w:r w:rsidRPr="00280DA9">
        <w:rPr>
          <w:noProof/>
          <w:lang w:val="en-US"/>
        </w:rPr>
        <w:t xml:space="preserve">Elwert, T., Goldmann, D., Roemer, F., &amp; Schwarz, S. (2017). </w:t>
      </w:r>
      <w:r w:rsidRPr="001F0027">
        <w:rPr>
          <w:noProof/>
          <w:lang w:val="en-GB"/>
        </w:rPr>
        <w:t xml:space="preserve">Recycling of NdFeB Magnets from Electric Drive Motors of (Hybrid) Electric Vehicles. </w:t>
      </w:r>
      <w:r w:rsidRPr="001F0027">
        <w:rPr>
          <w:i/>
          <w:iCs/>
          <w:noProof/>
          <w:lang w:val="en-GB"/>
        </w:rPr>
        <w:t>Journal of Sustainable Metallurgy</w:t>
      </w:r>
      <w:r w:rsidRPr="001F0027">
        <w:rPr>
          <w:noProof/>
          <w:lang w:val="en-GB"/>
        </w:rPr>
        <w:t xml:space="preserve">, </w:t>
      </w:r>
      <w:r w:rsidRPr="001F0027">
        <w:rPr>
          <w:i/>
          <w:iCs/>
          <w:noProof/>
          <w:lang w:val="en-GB"/>
        </w:rPr>
        <w:t>3</w:t>
      </w:r>
      <w:r w:rsidRPr="001F0027">
        <w:rPr>
          <w:noProof/>
          <w:lang w:val="en-GB"/>
        </w:rPr>
        <w:t>(1), 108–121. https://doi.org/10.1007/s40831-016-0085-1</w:t>
      </w:r>
    </w:p>
    <w:p w14:paraId="73363C12" w14:textId="77777777" w:rsidR="002F54BD" w:rsidRDefault="007E5230" w:rsidP="002F54BD">
      <w:pPr>
        <w:ind w:left="567" w:hanging="567"/>
      </w:pPr>
      <w:r w:rsidRPr="00FE30AC">
        <w:t>European Commission - Joint Research Centre - Institute for Environment and Sustainability: International Reference Life Cycle Data System (ILCD) Handbook - General guide for Life Cycle Assessment - Detailed guidance.</w:t>
      </w:r>
      <w:r>
        <w:rPr>
          <w:lang w:val="en-US"/>
        </w:rPr>
        <w:t xml:space="preserve"> (2010).</w:t>
      </w:r>
      <w:r w:rsidRPr="00FE30AC">
        <w:t xml:space="preserve"> First edition March 2010. EUR 24708 EN. Luxembourg. Publications Office of the European Union </w:t>
      </w:r>
    </w:p>
    <w:p w14:paraId="60740C57" w14:textId="55BB5505" w:rsidR="007A42AB" w:rsidRPr="002F54BD" w:rsidRDefault="006E4C4E" w:rsidP="002F54BD">
      <w:pPr>
        <w:ind w:left="567" w:hanging="567"/>
      </w:pPr>
      <w:r>
        <w:rPr>
          <w:lang w:val="en-US"/>
        </w:rPr>
        <w:t>European Commission. (2011</w:t>
      </w:r>
      <w:r w:rsidR="002D2692">
        <w:rPr>
          <w:lang w:val="en-US"/>
        </w:rPr>
        <w:t>a</w:t>
      </w:r>
      <w:r>
        <w:rPr>
          <w:lang w:val="en-US"/>
        </w:rPr>
        <w:t xml:space="preserve">). </w:t>
      </w:r>
      <w:r w:rsidRPr="009F2693">
        <w:rPr>
          <w:i/>
          <w:iCs/>
          <w:lang w:val="en-US"/>
        </w:rPr>
        <w:t>Communication from the Commission to the European Parliament, the Council, the European Economic and Social Committee and the Committee of the regions- Tacking the challenges in commodity markets and on raw materials- COM (2011) 25</w:t>
      </w:r>
      <w:r w:rsidRPr="009F2693">
        <w:rPr>
          <w:lang w:val="en-US"/>
        </w:rPr>
        <w:t>.</w:t>
      </w:r>
      <w:r w:rsidRPr="009F2693">
        <w:t xml:space="preserve"> </w:t>
      </w:r>
      <w:hyperlink r:id="rId30" w:history="1">
        <w:r w:rsidRPr="009F2693">
          <w:rPr>
            <w:rStyle w:val="Hyperlink"/>
            <w:rFonts w:eastAsiaTheme="majorEastAsia"/>
            <w:color w:val="auto"/>
            <w:u w:val="none"/>
            <w:lang w:val="en-US"/>
          </w:rPr>
          <w:t>https://eur-lex.europa.eu/LexUriServ/LexUriServ.do?uri=COM:2011:0025:FIN:en:PDF</w:t>
        </w:r>
      </w:hyperlink>
    </w:p>
    <w:p w14:paraId="310F7F1F" w14:textId="7B785E26" w:rsidR="00115104" w:rsidRDefault="00115104" w:rsidP="00115104">
      <w:pPr>
        <w:ind w:left="567" w:hanging="567"/>
      </w:pPr>
      <w:r w:rsidRPr="00280240">
        <w:t>European Commission-</w:t>
      </w:r>
      <w:r>
        <w:rPr>
          <w:lang w:val="en-US"/>
        </w:rPr>
        <w:t xml:space="preserve"> </w:t>
      </w:r>
      <w:r w:rsidRPr="00280240">
        <w:t>Joint Research Centre - Institute for Environment and Sustainability: International Reference Life Cycle Data System (ILCD) Handbook- Recommendations for Life Cycle Impact Assessment in the European context.</w:t>
      </w:r>
      <w:r>
        <w:rPr>
          <w:lang w:val="en-US"/>
        </w:rPr>
        <w:t xml:space="preserve"> (2011</w:t>
      </w:r>
      <w:r w:rsidR="002D2692">
        <w:rPr>
          <w:lang w:val="en-US"/>
        </w:rPr>
        <w:t>b</w:t>
      </w:r>
      <w:r>
        <w:rPr>
          <w:lang w:val="en-US"/>
        </w:rPr>
        <w:t xml:space="preserve">). </w:t>
      </w:r>
      <w:r w:rsidRPr="00280240">
        <w:t>First edition November 2011. EUR 24571 EN. Luxemburg. Publications Office of the European Union</w:t>
      </w:r>
    </w:p>
    <w:p w14:paraId="78555DE3" w14:textId="3E05494F" w:rsidR="007E5230" w:rsidRPr="007A1BA1" w:rsidRDefault="007A1BA1" w:rsidP="00FB5EF3">
      <w:pPr>
        <w:ind w:left="567" w:hanging="567"/>
        <w:rPr>
          <w:lang w:val="en-US"/>
        </w:rPr>
      </w:pPr>
      <w:r>
        <w:rPr>
          <w:lang w:val="en-US"/>
        </w:rPr>
        <w:t xml:space="preserve">European Commission. (2013). Commission recommendation of 9 April on the use of common methods to measure and communicate the life cycle environmental performance of products and organizations- 2013/179/EU. </w:t>
      </w:r>
      <w:r w:rsidRPr="007A1BA1">
        <w:rPr>
          <w:lang w:val="en-US"/>
        </w:rPr>
        <w:t>https://eur-lex.europa.eu/legal-content/EN/TXT/PDF/?uri=CELEX:32013H0179&amp;from=EN</w:t>
      </w:r>
    </w:p>
    <w:p w14:paraId="4396369A" w14:textId="19417C64" w:rsidR="00EF55C7" w:rsidRPr="00EF55C7" w:rsidRDefault="00EF55C7" w:rsidP="00EF55C7">
      <w:pPr>
        <w:ind w:left="567" w:hanging="567"/>
        <w:rPr>
          <w:lang w:val="en-US"/>
        </w:rPr>
      </w:pPr>
      <w:r>
        <w:rPr>
          <w:lang w:val="en-US"/>
        </w:rPr>
        <w:t xml:space="preserve">European Commission. (2020). </w:t>
      </w:r>
      <w:r w:rsidRPr="009F2693">
        <w:rPr>
          <w:i/>
          <w:iCs/>
          <w:lang w:val="en-US"/>
        </w:rPr>
        <w:t xml:space="preserve">Communication from the Commission to the European Parliament, the Council, the European Economic and Social Committee and the </w:t>
      </w:r>
      <w:r w:rsidRPr="009F2693">
        <w:rPr>
          <w:i/>
          <w:iCs/>
          <w:lang w:val="en-US"/>
        </w:rPr>
        <w:lastRenderedPageBreak/>
        <w:t xml:space="preserve">Committee of the regions- </w:t>
      </w:r>
      <w:r>
        <w:rPr>
          <w:i/>
          <w:iCs/>
          <w:lang w:val="en-US"/>
        </w:rPr>
        <w:t>Critical raw materials resilience: Charting a path towards greater Security and Sustainability</w:t>
      </w:r>
      <w:r w:rsidRPr="009F2693">
        <w:rPr>
          <w:i/>
          <w:iCs/>
          <w:lang w:val="en-US"/>
        </w:rPr>
        <w:t>- COM (20</w:t>
      </w:r>
      <w:r>
        <w:rPr>
          <w:i/>
          <w:iCs/>
          <w:lang w:val="en-US"/>
        </w:rPr>
        <w:t>20</w:t>
      </w:r>
      <w:r w:rsidRPr="009F2693">
        <w:rPr>
          <w:i/>
          <w:iCs/>
          <w:lang w:val="en-US"/>
        </w:rPr>
        <w:t xml:space="preserve">) </w:t>
      </w:r>
      <w:r>
        <w:rPr>
          <w:i/>
          <w:iCs/>
          <w:lang w:val="en-US"/>
        </w:rPr>
        <w:t>474</w:t>
      </w:r>
      <w:r w:rsidRPr="009F2693">
        <w:rPr>
          <w:lang w:val="en-US"/>
        </w:rPr>
        <w:t>.</w:t>
      </w:r>
      <w:r>
        <w:rPr>
          <w:lang w:val="en-US"/>
        </w:rPr>
        <w:t xml:space="preserve"> </w:t>
      </w:r>
      <w:r w:rsidRPr="009F2693">
        <w:rPr>
          <w:lang w:val="en-US"/>
        </w:rPr>
        <w:t>https://eur-lex.europa.eu/legal-content/EN/TXT/?uri=CELEX:52020DC0474</w:t>
      </w:r>
      <w:r>
        <w:rPr>
          <w:lang w:val="en-US"/>
        </w:rPr>
        <w:t xml:space="preserve"> </w:t>
      </w:r>
    </w:p>
    <w:p w14:paraId="007C145E"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Erust, C., Akcil, A., Tuncuk, A., Deveci, H., &amp; Yazici, E. Y. (2021). </w:t>
      </w:r>
      <w:r w:rsidRPr="001F0027">
        <w:rPr>
          <w:noProof/>
          <w:lang w:val="en-GB"/>
        </w:rPr>
        <w:t xml:space="preserve">A Multi-stage Process for Recovery of Neodymium (Nd) and Dysprosium (Dy) from Spent Hard Disc Drives (HDDs). </w:t>
      </w:r>
      <w:r w:rsidRPr="001F0027">
        <w:rPr>
          <w:i/>
          <w:iCs/>
          <w:noProof/>
          <w:lang w:val="en-GB"/>
        </w:rPr>
        <w:t>Mineral Processing and Extractive Metallurgy Review</w:t>
      </w:r>
      <w:r w:rsidRPr="001F0027">
        <w:rPr>
          <w:noProof/>
          <w:lang w:val="en-GB"/>
        </w:rPr>
        <w:t xml:space="preserve">, </w:t>
      </w:r>
      <w:r w:rsidRPr="001F0027">
        <w:rPr>
          <w:i/>
          <w:iCs/>
          <w:noProof/>
          <w:lang w:val="en-GB"/>
        </w:rPr>
        <w:t>42</w:t>
      </w:r>
      <w:r w:rsidRPr="001F0027">
        <w:rPr>
          <w:noProof/>
          <w:lang w:val="en-GB"/>
        </w:rPr>
        <w:t>(2), 90–101. https://doi.org/10.1080/08827508.2019.1692010</w:t>
      </w:r>
    </w:p>
    <w:p w14:paraId="33261053"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Fazio, S., Castellani, V., Sala, S., Schau, E., Secchi, M., &amp; Zampori, L. (2019). </w:t>
      </w:r>
      <w:r w:rsidRPr="001F0027">
        <w:rPr>
          <w:i/>
          <w:iCs/>
          <w:noProof/>
          <w:lang w:val="en-GB"/>
        </w:rPr>
        <w:t>Supporting information to the characterisation factors of recommended EF Life Cycle Impact Assessment methods, EUR 28888 EN, European Commission, Ispra, 2018. ISBN 978-92-79-76742-5.</w:t>
      </w:r>
      <w:r w:rsidRPr="001F0027">
        <w:rPr>
          <w:noProof/>
          <w:lang w:val="en-GB"/>
        </w:rPr>
        <w:t xml:space="preserve"> https://doi.org/10.2760/671368</w:t>
      </w:r>
    </w:p>
    <w:p w14:paraId="564D0024"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Firdaus, M., Rhamdhani, M. A., Durandet, Y., Rankin, W. J., &amp; McGregor, K. (2016). Review of High-Temperature Recovery of Rare Earth (Nd/Dy) from Magnet Waste. </w:t>
      </w:r>
      <w:r w:rsidRPr="001F0027">
        <w:rPr>
          <w:i/>
          <w:iCs/>
          <w:noProof/>
          <w:lang w:val="en-GB"/>
        </w:rPr>
        <w:t>Journal of Sustainable Metallurgy</w:t>
      </w:r>
      <w:r w:rsidRPr="001F0027">
        <w:rPr>
          <w:noProof/>
          <w:lang w:val="en-GB"/>
        </w:rPr>
        <w:t xml:space="preserve">, </w:t>
      </w:r>
      <w:r w:rsidRPr="001F0027">
        <w:rPr>
          <w:i/>
          <w:iCs/>
          <w:noProof/>
          <w:lang w:val="en-GB"/>
        </w:rPr>
        <w:t>2</w:t>
      </w:r>
      <w:r w:rsidRPr="001F0027">
        <w:rPr>
          <w:noProof/>
          <w:lang w:val="en-GB"/>
        </w:rPr>
        <w:t>(4), 276–295. https://doi.org/10.1007/s40831-016-0045-9</w:t>
      </w:r>
    </w:p>
    <w:p w14:paraId="630B4F10"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Gergorić, M. (2018). </w:t>
      </w:r>
      <w:r w:rsidRPr="001F0027">
        <w:rPr>
          <w:i/>
          <w:iCs/>
          <w:noProof/>
          <w:lang w:val="en-GB"/>
        </w:rPr>
        <w:t>Hydrometallurgical Treatment of Neodymium Magnet Waste</w:t>
      </w:r>
      <w:r w:rsidRPr="001F0027">
        <w:rPr>
          <w:noProof/>
          <w:lang w:val="en-GB"/>
        </w:rPr>
        <w:t>.</w:t>
      </w:r>
    </w:p>
    <w:p w14:paraId="285D8831" w14:textId="273E8543" w:rsidR="00842227" w:rsidRPr="001F0027" w:rsidRDefault="00842227" w:rsidP="001F0027">
      <w:pPr>
        <w:widowControl w:val="0"/>
        <w:autoSpaceDE w:val="0"/>
        <w:autoSpaceDN w:val="0"/>
        <w:adjustRightInd w:val="0"/>
        <w:spacing w:before="0" w:after="0"/>
        <w:ind w:left="480" w:hanging="480"/>
        <w:rPr>
          <w:noProof/>
          <w:lang w:val="en-GB"/>
        </w:rPr>
      </w:pPr>
      <w:r w:rsidRPr="00892C21">
        <w:t>Guinée, J.B., Gorrée, M., Heijungs, R., Huppes, G., Kleijn, R., de Koning, A., van Oers, L., Wegener Sleeswijk, A., Suh, S., Udo de Haes, H.A., de Bruijn, H., van Duin, R., Huijbregts, M.A.J., Lindeijer, E., Roorda, A.A.H., van der Ven, B.L., Weidema, B.P.</w:t>
      </w:r>
      <w:r w:rsidRPr="004909E1">
        <w:t xml:space="preserve"> (</w:t>
      </w:r>
      <w:r w:rsidRPr="00892C21">
        <w:t>2002</w:t>
      </w:r>
      <w:r w:rsidRPr="004909E1">
        <w:t>)</w:t>
      </w:r>
      <w:r w:rsidRPr="00892C21">
        <w:t>. Handbook on Life Cycle Assessment. Operational Guide to the ISO Standards. Institute for Environmental Sciences. Leiden University, Leiden</w:t>
      </w:r>
    </w:p>
    <w:p w14:paraId="43B905C2"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Guyonnet, D., Planchon, M., Rollat, A., &amp; Tuduri, J. (2016). Dynamic Representation of Flows and Stocks of Metals in the Economy. In </w:t>
      </w:r>
      <w:r w:rsidRPr="001F0027">
        <w:rPr>
          <w:i/>
          <w:iCs/>
          <w:noProof/>
          <w:lang w:val="en-GB"/>
        </w:rPr>
        <w:t>WEEE Recycling: Research, Development, and Policies</w:t>
      </w:r>
      <w:r w:rsidRPr="001F0027">
        <w:rPr>
          <w:noProof/>
          <w:lang w:val="en-GB"/>
        </w:rPr>
        <w:t>. Elsevier Inc. https://doi.org/10.1016/B978-0-12-803363-0.00002-X</w:t>
      </w:r>
    </w:p>
    <w:p w14:paraId="2C1EC6D5"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Habashi, F. (2005). A short history of hydrometallurgy. </w:t>
      </w:r>
      <w:r w:rsidRPr="001F0027">
        <w:rPr>
          <w:i/>
          <w:iCs/>
          <w:noProof/>
          <w:lang w:val="en-GB"/>
        </w:rPr>
        <w:t>Hydrometallurgy</w:t>
      </w:r>
      <w:r w:rsidRPr="001F0027">
        <w:rPr>
          <w:noProof/>
          <w:lang w:val="en-GB"/>
        </w:rPr>
        <w:t xml:space="preserve">, </w:t>
      </w:r>
      <w:r w:rsidRPr="001F0027">
        <w:rPr>
          <w:i/>
          <w:iCs/>
          <w:noProof/>
          <w:lang w:val="en-GB"/>
        </w:rPr>
        <w:t>79</w:t>
      </w:r>
      <w:r w:rsidRPr="001F0027">
        <w:rPr>
          <w:noProof/>
          <w:lang w:val="en-GB"/>
        </w:rPr>
        <w:t>(1–2), 15–22. https://doi.org/10.1016/j.hydromet.2004.01.008</w:t>
      </w:r>
    </w:p>
    <w:p w14:paraId="72BF5EB1" w14:textId="34928251" w:rsidR="00117804" w:rsidRPr="00117804" w:rsidRDefault="00117804" w:rsidP="00117804">
      <w:pPr>
        <w:ind w:left="567" w:hanging="567"/>
      </w:pPr>
      <w:r w:rsidRPr="00121A3F">
        <w:t>Hischier R., Classen M., Lehmann M. and Scharnhorst W. (2007)</w:t>
      </w:r>
      <w:r>
        <w:rPr>
          <w:lang w:val="en-US"/>
        </w:rPr>
        <w:t>.</w:t>
      </w:r>
      <w:r w:rsidRPr="00121A3F">
        <w:t xml:space="preserve"> Life cycle inventories of Electric and Electronic Equipment: Production, Use and Disposal. ecoinvent report No. 18. Empa / Technology &amp; Society Lab, Swiss Centre for Life Cycle Inventories, Dübendorf, 2007 </w:t>
      </w:r>
    </w:p>
    <w:p w14:paraId="35198696" w14:textId="714F626A" w:rsidR="00E92566"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Innocenzi, V., De Michelis, I., &amp; Vegliò, F. (2017). </w:t>
      </w:r>
      <w:r w:rsidRPr="001F0027">
        <w:rPr>
          <w:noProof/>
          <w:lang w:val="en-GB"/>
        </w:rPr>
        <w:t xml:space="preserve">Design and construction of an industrial mobile plant for WEEE treatment: Investigation on the treatment of fluorescent powders and economic evaluation compared to other e-wastes. </w:t>
      </w:r>
      <w:r w:rsidRPr="001F0027">
        <w:rPr>
          <w:i/>
          <w:iCs/>
          <w:noProof/>
          <w:lang w:val="en-GB"/>
        </w:rPr>
        <w:t>Journal of the Taiwan Institute of Chemical Engineers</w:t>
      </w:r>
      <w:r w:rsidRPr="001F0027">
        <w:rPr>
          <w:noProof/>
          <w:lang w:val="en-GB"/>
        </w:rPr>
        <w:t xml:space="preserve">, </w:t>
      </w:r>
      <w:r w:rsidRPr="001F0027">
        <w:rPr>
          <w:i/>
          <w:iCs/>
          <w:noProof/>
          <w:lang w:val="en-GB"/>
        </w:rPr>
        <w:t>80</w:t>
      </w:r>
      <w:r w:rsidRPr="001F0027">
        <w:rPr>
          <w:noProof/>
          <w:lang w:val="en-GB"/>
        </w:rPr>
        <w:t>, 769–778. https://doi.org/10.1016/j.jtice.2017.09.019</w:t>
      </w:r>
    </w:p>
    <w:p w14:paraId="23FEED84" w14:textId="3E8B31A1" w:rsidR="005B492C" w:rsidRPr="00987077" w:rsidRDefault="005B492C" w:rsidP="005B492C">
      <w:pPr>
        <w:ind w:left="567" w:hanging="567"/>
      </w:pPr>
      <w:r w:rsidRPr="00987077">
        <w:lastRenderedPageBreak/>
        <w:t xml:space="preserve">ISO, 2006a. ISO14040: Environmental Management: Life-Cycle Assessment: Principles and Framework. International Organization for Standardization, Geneva, Switzerland. https://www.iso.org/standard/37456.html </w:t>
      </w:r>
    </w:p>
    <w:p w14:paraId="0D7F7752" w14:textId="7CFBC9B9" w:rsidR="005B492C" w:rsidRPr="005B492C" w:rsidRDefault="005B492C" w:rsidP="005B492C">
      <w:pPr>
        <w:ind w:left="567" w:hanging="567"/>
      </w:pPr>
      <w:r w:rsidRPr="00987077">
        <w:t xml:space="preserve">ISO, 2006b. ISO 14044: Environmental Management: Life-Cycle Assessment: Requirements and Guidelines. International Organization for Standardization, Geneva, Switzerland. https://www.iso.org/standard/38498.html </w:t>
      </w:r>
    </w:p>
    <w:p w14:paraId="2F4CFFEF"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pt-BR"/>
        </w:rPr>
        <w:t xml:space="preserve">Jha, M. K., Kumari, A., Panda, R., Rajesh Kumar, J., Yoo, K., &amp; Lee, J. Y. (2016). </w:t>
      </w:r>
      <w:r w:rsidRPr="001F0027">
        <w:rPr>
          <w:noProof/>
          <w:lang w:val="en-GB"/>
        </w:rPr>
        <w:t xml:space="preserve">Review on hydrometallurgical recovery of rare earth metals. </w:t>
      </w:r>
      <w:r w:rsidRPr="001F0027">
        <w:rPr>
          <w:i/>
          <w:iCs/>
          <w:noProof/>
          <w:lang w:val="en-GB"/>
        </w:rPr>
        <w:t>Hydrometallurgy</w:t>
      </w:r>
      <w:r w:rsidRPr="001F0027">
        <w:rPr>
          <w:noProof/>
          <w:lang w:val="en-GB"/>
        </w:rPr>
        <w:t xml:space="preserve">, </w:t>
      </w:r>
      <w:r w:rsidRPr="001F0027">
        <w:rPr>
          <w:i/>
          <w:iCs/>
          <w:noProof/>
          <w:lang w:val="en-GB"/>
        </w:rPr>
        <w:t>165</w:t>
      </w:r>
      <w:r w:rsidRPr="001F0027">
        <w:rPr>
          <w:noProof/>
          <w:lang w:val="en-GB"/>
        </w:rPr>
        <w:t>, 2–26. https://doi.org/10.1016/j.hydromet.2016.01.035</w:t>
      </w:r>
    </w:p>
    <w:p w14:paraId="38034CB1"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Jin, H., Afiuny, P., Dove, S., Furlan, G., Zakotnik, M., Yih, Y., &amp; Sutherland, J. W. (2018). Life Cycle Assessment of Neodymium-Iron-Boron Magnet-to-Magnet Recycling for Electric Vehicle Motors. </w:t>
      </w:r>
      <w:r w:rsidRPr="001F0027">
        <w:rPr>
          <w:i/>
          <w:iCs/>
          <w:noProof/>
          <w:lang w:val="en-GB"/>
        </w:rPr>
        <w:t>Environmental Science and Technology</w:t>
      </w:r>
      <w:r w:rsidRPr="001F0027">
        <w:rPr>
          <w:noProof/>
          <w:lang w:val="en-GB"/>
        </w:rPr>
        <w:t xml:space="preserve">, </w:t>
      </w:r>
      <w:r w:rsidRPr="001F0027">
        <w:rPr>
          <w:i/>
          <w:iCs/>
          <w:noProof/>
          <w:lang w:val="en-GB"/>
        </w:rPr>
        <w:t>52</w:t>
      </w:r>
      <w:r w:rsidRPr="001F0027">
        <w:rPr>
          <w:noProof/>
          <w:lang w:val="en-GB"/>
        </w:rPr>
        <w:t>(6), 3796–3802. https://doi.org/10.1021/acs.est.7b05442</w:t>
      </w:r>
    </w:p>
    <w:p w14:paraId="71A1E61C"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Jin, H., Song, B. D., Yih, Y., &amp; Sutherland, J. W. (2018). Sustainable Value Recovery of NdFeB Magnets: A Multi-Objective Network Design and Genetic Algorithm. </w:t>
      </w:r>
      <w:r w:rsidRPr="001F0027">
        <w:rPr>
          <w:i/>
          <w:iCs/>
          <w:noProof/>
          <w:lang w:val="en-GB"/>
        </w:rPr>
        <w:t>ACS Sustainable Chemistry and Engineering</w:t>
      </w:r>
      <w:r w:rsidRPr="001F0027">
        <w:rPr>
          <w:noProof/>
          <w:lang w:val="en-GB"/>
        </w:rPr>
        <w:t xml:space="preserve">, </w:t>
      </w:r>
      <w:r w:rsidRPr="001F0027">
        <w:rPr>
          <w:i/>
          <w:iCs/>
          <w:noProof/>
          <w:lang w:val="en-GB"/>
        </w:rPr>
        <w:t>6</w:t>
      </w:r>
      <w:r w:rsidRPr="001F0027">
        <w:rPr>
          <w:noProof/>
          <w:lang w:val="en-GB"/>
        </w:rPr>
        <w:t>(4), 4767–4775. https://doi.org/10.1021/acssuschemeng.7b03933</w:t>
      </w:r>
    </w:p>
    <w:p w14:paraId="6B05A8C5"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Kapustka, K., Ziegmann, G., Klimecka-Tatar, D., &amp; Nakonczy, S. (2020). Process Management and Technological Challenges in the Aspect of Permanent Magnets Recovery - the Second Life of Neodymium Magnets. </w:t>
      </w:r>
      <w:r w:rsidRPr="001F0027">
        <w:rPr>
          <w:i/>
          <w:iCs/>
          <w:noProof/>
          <w:lang w:val="en-GB"/>
        </w:rPr>
        <w:t>Manufacturing Technology</w:t>
      </w:r>
      <w:r w:rsidRPr="001F0027">
        <w:rPr>
          <w:noProof/>
          <w:lang w:val="en-GB"/>
        </w:rPr>
        <w:t xml:space="preserve">, </w:t>
      </w:r>
      <w:r w:rsidRPr="001F0027">
        <w:rPr>
          <w:i/>
          <w:iCs/>
          <w:noProof/>
          <w:lang w:val="en-GB"/>
        </w:rPr>
        <w:t>20</w:t>
      </w:r>
      <w:r w:rsidRPr="001F0027">
        <w:rPr>
          <w:noProof/>
          <w:lang w:val="en-GB"/>
        </w:rPr>
        <w:t>(5), 617–624. https://doi.org/10.21062/MFT.2020.098</w:t>
      </w:r>
    </w:p>
    <w:p w14:paraId="53287D49"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Karal, E., Kucuker, M. A., Demirel, B., Copty, N. K., &amp; Kuchta, K. (2021). Hydrometallurgical recovery of neodymium from spent hard disk magnets: A life cycle perspective. </w:t>
      </w:r>
      <w:r w:rsidRPr="001F0027">
        <w:rPr>
          <w:i/>
          <w:iCs/>
          <w:noProof/>
          <w:lang w:val="en-GB"/>
        </w:rPr>
        <w:t>Journal of Cleaner Production</w:t>
      </w:r>
      <w:r w:rsidRPr="001F0027">
        <w:rPr>
          <w:noProof/>
          <w:lang w:val="en-GB"/>
        </w:rPr>
        <w:t xml:space="preserve">, </w:t>
      </w:r>
      <w:r w:rsidRPr="001F0027">
        <w:rPr>
          <w:i/>
          <w:iCs/>
          <w:noProof/>
          <w:lang w:val="en-GB"/>
        </w:rPr>
        <w:t>288</w:t>
      </w:r>
      <w:r w:rsidRPr="001F0027">
        <w:rPr>
          <w:noProof/>
          <w:lang w:val="en-GB"/>
        </w:rPr>
        <w:t>, 125087. https://doi.org/10.1016/j.jclepro.2020.125087</w:t>
      </w:r>
    </w:p>
    <w:p w14:paraId="535B2CC4" w14:textId="77777777" w:rsidR="00E92566" w:rsidRPr="00500D51" w:rsidRDefault="00E92566" w:rsidP="001F0027">
      <w:pPr>
        <w:widowControl w:val="0"/>
        <w:autoSpaceDE w:val="0"/>
        <w:autoSpaceDN w:val="0"/>
        <w:adjustRightInd w:val="0"/>
        <w:spacing w:before="0" w:after="0"/>
        <w:ind w:left="480" w:hanging="480"/>
        <w:rPr>
          <w:noProof/>
          <w:lang w:val="nl-NL"/>
        </w:rPr>
      </w:pPr>
      <w:r w:rsidRPr="001F0027">
        <w:rPr>
          <w:noProof/>
          <w:lang w:val="en-GB"/>
        </w:rPr>
        <w:t xml:space="preserve">Kronholm, B., Anderson, C. G., &amp; Taylor, P. R. (2013). A primer on hydrometallurgical rare earth separations. </w:t>
      </w:r>
      <w:r w:rsidRPr="00500D51">
        <w:rPr>
          <w:i/>
          <w:iCs/>
          <w:noProof/>
          <w:lang w:val="nl-NL"/>
        </w:rPr>
        <w:t>Jom</w:t>
      </w:r>
      <w:r w:rsidRPr="00500D51">
        <w:rPr>
          <w:noProof/>
          <w:lang w:val="nl-NL"/>
        </w:rPr>
        <w:t xml:space="preserve">, </w:t>
      </w:r>
      <w:r w:rsidRPr="00500D51">
        <w:rPr>
          <w:i/>
          <w:iCs/>
          <w:noProof/>
          <w:lang w:val="nl-NL"/>
        </w:rPr>
        <w:t>65</w:t>
      </w:r>
      <w:r w:rsidRPr="00500D51">
        <w:rPr>
          <w:noProof/>
          <w:lang w:val="nl-NL"/>
        </w:rPr>
        <w:t>(10), 1321–1326. https://doi.org/10.1007/s11837-013-0718-9</w:t>
      </w:r>
    </w:p>
    <w:p w14:paraId="6BD12D79" w14:textId="72C228BE" w:rsidR="00E92566"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Marx, J., Schreiber, A., Zapp, P., &amp; Walachowicz, F. (2018). </w:t>
      </w:r>
      <w:r w:rsidRPr="001F0027">
        <w:rPr>
          <w:noProof/>
          <w:lang w:val="en-GB"/>
        </w:rPr>
        <w:t xml:space="preserve">Comparative Life Cycle Assessment of NdFeB Permanent Magnet Production from Different Rare Earth Deposits. </w:t>
      </w:r>
      <w:r w:rsidRPr="001F0027">
        <w:rPr>
          <w:i/>
          <w:iCs/>
          <w:noProof/>
          <w:lang w:val="en-GB"/>
        </w:rPr>
        <w:t>ACS Sustainable Chemistry and Engineering</w:t>
      </w:r>
      <w:r w:rsidRPr="001F0027">
        <w:rPr>
          <w:noProof/>
          <w:lang w:val="en-GB"/>
        </w:rPr>
        <w:t xml:space="preserve">, </w:t>
      </w:r>
      <w:r w:rsidRPr="001F0027">
        <w:rPr>
          <w:i/>
          <w:iCs/>
          <w:noProof/>
          <w:lang w:val="en-GB"/>
        </w:rPr>
        <w:t>6</w:t>
      </w:r>
      <w:r w:rsidRPr="001F0027">
        <w:rPr>
          <w:noProof/>
          <w:lang w:val="en-GB"/>
        </w:rPr>
        <w:t>(5), 5858–5867. https://doi.org/10.1021/acssuschemeng.7b04165</w:t>
      </w:r>
    </w:p>
    <w:p w14:paraId="1DA1F610" w14:textId="73A507ED" w:rsidR="002C7278" w:rsidRPr="002C7278" w:rsidRDefault="002C7278" w:rsidP="002C7278">
      <w:pPr>
        <w:ind w:left="567" w:hanging="567"/>
      </w:pPr>
      <w:r w:rsidRPr="00974447">
        <w:t>Menad,</w:t>
      </w:r>
      <w:r>
        <w:rPr>
          <w:lang w:val="en-US"/>
        </w:rPr>
        <w:t xml:space="preserve"> N. M, </w:t>
      </w:r>
      <w:r w:rsidRPr="00974447">
        <w:t>Seron</w:t>
      </w:r>
      <w:r>
        <w:rPr>
          <w:lang w:val="en-US"/>
        </w:rPr>
        <w:t>, A</w:t>
      </w:r>
      <w:r w:rsidRPr="00974447">
        <w:t>.</w:t>
      </w:r>
      <w:r>
        <w:rPr>
          <w:lang w:val="en-US"/>
        </w:rPr>
        <w:t xml:space="preserve"> (2016).</w:t>
      </w:r>
      <w:r w:rsidRPr="00974447">
        <w:t xml:space="preserve"> C</w:t>
      </w:r>
      <w:r>
        <w:rPr>
          <w:lang w:val="en-US"/>
        </w:rPr>
        <w:t>haracterization</w:t>
      </w:r>
      <w:r w:rsidRPr="00974447">
        <w:t xml:space="preserve"> </w:t>
      </w:r>
      <w:r>
        <w:rPr>
          <w:lang w:val="en-US"/>
        </w:rPr>
        <w:t xml:space="preserve">of </w:t>
      </w:r>
      <w:r w:rsidRPr="00974447">
        <w:t>P</w:t>
      </w:r>
      <w:r>
        <w:rPr>
          <w:lang w:val="en-US"/>
        </w:rPr>
        <w:t>ermanent</w:t>
      </w:r>
      <w:r w:rsidRPr="00974447">
        <w:t xml:space="preserve"> M</w:t>
      </w:r>
      <w:r>
        <w:rPr>
          <w:lang w:val="en-US"/>
        </w:rPr>
        <w:t>agnets from</w:t>
      </w:r>
      <w:r w:rsidRPr="00974447">
        <w:t xml:space="preserve"> WEEE. 6th International Conference on Engineering for Waste and Biomass Valorisation , May 2016, Albi, France. hal-01298267 </w:t>
      </w:r>
    </w:p>
    <w:p w14:paraId="52CA65BB"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Mendoza Beltran, A., Cox, B., Mutel, C., van Vuuren, D. P., Font Vivanco, D., Deetman, S., </w:t>
      </w:r>
      <w:r w:rsidRPr="00500D51">
        <w:rPr>
          <w:noProof/>
          <w:lang w:val="nl-NL"/>
        </w:rPr>
        <w:lastRenderedPageBreak/>
        <w:t xml:space="preserve">Edelenbosch, O. Y., Guinée, J., &amp; Tukker, A. (2020). </w:t>
      </w:r>
      <w:r w:rsidRPr="001F0027">
        <w:rPr>
          <w:noProof/>
          <w:lang w:val="en-GB"/>
        </w:rPr>
        <w:t xml:space="preserve">When the Background Matters: Using Scenarios from Integrated Assessment Models in Prospective Life Cycle Assessment. </w:t>
      </w:r>
      <w:r w:rsidRPr="001F0027">
        <w:rPr>
          <w:i/>
          <w:iCs/>
          <w:noProof/>
          <w:lang w:val="en-GB"/>
        </w:rPr>
        <w:t>Journal of Industrial Ecology</w:t>
      </w:r>
      <w:r w:rsidRPr="001F0027">
        <w:rPr>
          <w:noProof/>
          <w:lang w:val="en-GB"/>
        </w:rPr>
        <w:t xml:space="preserve">, </w:t>
      </w:r>
      <w:r w:rsidRPr="001F0027">
        <w:rPr>
          <w:i/>
          <w:iCs/>
          <w:noProof/>
          <w:lang w:val="en-GB"/>
        </w:rPr>
        <w:t>24</w:t>
      </w:r>
      <w:r w:rsidRPr="001F0027">
        <w:rPr>
          <w:noProof/>
          <w:lang w:val="en-GB"/>
        </w:rPr>
        <w:t>(1), 64–79. https://doi.org/10.1111/jiec.12825</w:t>
      </w:r>
    </w:p>
    <w:p w14:paraId="39AD8AA1"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Moni, S. M., Mahmud, R., High, K., &amp; Carbajales-Dale, M. (2020). Life cycle assessment of emerging technologies: A review. </w:t>
      </w:r>
      <w:r w:rsidRPr="001F0027">
        <w:rPr>
          <w:i/>
          <w:iCs/>
          <w:noProof/>
          <w:lang w:val="en-GB"/>
        </w:rPr>
        <w:t>Journal of Industrial Ecology</w:t>
      </w:r>
      <w:r w:rsidRPr="001F0027">
        <w:rPr>
          <w:noProof/>
          <w:lang w:val="en-GB"/>
        </w:rPr>
        <w:t xml:space="preserve">, </w:t>
      </w:r>
      <w:r w:rsidRPr="001F0027">
        <w:rPr>
          <w:i/>
          <w:iCs/>
          <w:noProof/>
          <w:lang w:val="en-GB"/>
        </w:rPr>
        <w:t>24</w:t>
      </w:r>
      <w:r w:rsidRPr="001F0027">
        <w:rPr>
          <w:noProof/>
          <w:lang w:val="en-GB"/>
        </w:rPr>
        <w:t>(1), 52–63. https://doi.org/10.1111/jiec.12965</w:t>
      </w:r>
    </w:p>
    <w:p w14:paraId="51AC1835" w14:textId="77777777" w:rsidR="00E92566" w:rsidRPr="00500D51" w:rsidRDefault="00E92566" w:rsidP="001F0027">
      <w:pPr>
        <w:widowControl w:val="0"/>
        <w:autoSpaceDE w:val="0"/>
        <w:autoSpaceDN w:val="0"/>
        <w:adjustRightInd w:val="0"/>
        <w:spacing w:before="0" w:after="0"/>
        <w:ind w:left="480" w:hanging="480"/>
        <w:rPr>
          <w:noProof/>
          <w:lang w:val="nl-NL"/>
        </w:rPr>
      </w:pPr>
      <w:r w:rsidRPr="001F0027">
        <w:rPr>
          <w:noProof/>
          <w:lang w:val="en-GB"/>
        </w:rPr>
        <w:t xml:space="preserve">Moretti, C., Corona, B., Edwards, R., Junginger, M., Moro, A., Rocco, M., &amp; Shen, L. (2020). Reviewing ISO compliant multifunctionality practices in environmental life cycle modeling. </w:t>
      </w:r>
      <w:r w:rsidRPr="00500D51">
        <w:rPr>
          <w:i/>
          <w:iCs/>
          <w:noProof/>
          <w:lang w:val="nl-NL"/>
        </w:rPr>
        <w:t>Energies</w:t>
      </w:r>
      <w:r w:rsidRPr="00500D51">
        <w:rPr>
          <w:noProof/>
          <w:lang w:val="nl-NL"/>
        </w:rPr>
        <w:t xml:space="preserve">, </w:t>
      </w:r>
      <w:r w:rsidRPr="00500D51">
        <w:rPr>
          <w:i/>
          <w:iCs/>
          <w:noProof/>
          <w:lang w:val="nl-NL"/>
        </w:rPr>
        <w:t>13</w:t>
      </w:r>
      <w:r w:rsidRPr="00500D51">
        <w:rPr>
          <w:noProof/>
          <w:lang w:val="nl-NL"/>
        </w:rPr>
        <w:t>(14), 1–24. https://doi.org/10.3390/en13143579</w:t>
      </w:r>
    </w:p>
    <w:p w14:paraId="52297B4D" w14:textId="77777777" w:rsidR="00E92566" w:rsidRPr="00500D51" w:rsidRDefault="00E92566" w:rsidP="001F0027">
      <w:pPr>
        <w:widowControl w:val="0"/>
        <w:autoSpaceDE w:val="0"/>
        <w:autoSpaceDN w:val="0"/>
        <w:adjustRightInd w:val="0"/>
        <w:spacing w:before="0" w:after="0"/>
        <w:ind w:left="480" w:hanging="480"/>
        <w:rPr>
          <w:noProof/>
          <w:lang w:val="nl-NL"/>
        </w:rPr>
      </w:pPr>
      <w:r w:rsidRPr="00500D51">
        <w:rPr>
          <w:noProof/>
          <w:lang w:val="nl-NL"/>
        </w:rPr>
        <w:t xml:space="preserve">Nlebedim, I. C., &amp; King, A. H. (2018). </w:t>
      </w:r>
      <w:r w:rsidRPr="001F0027">
        <w:rPr>
          <w:noProof/>
          <w:lang w:val="en-GB"/>
        </w:rPr>
        <w:t xml:space="preserve">Addressing Criticality in Rare Earth Elements via Permanent Magnets Recycling. </w:t>
      </w:r>
      <w:r w:rsidRPr="00500D51">
        <w:rPr>
          <w:i/>
          <w:iCs/>
          <w:noProof/>
          <w:lang w:val="nl-NL"/>
        </w:rPr>
        <w:t>Jom</w:t>
      </w:r>
      <w:r w:rsidRPr="00500D51">
        <w:rPr>
          <w:noProof/>
          <w:lang w:val="nl-NL"/>
        </w:rPr>
        <w:t xml:space="preserve">, </w:t>
      </w:r>
      <w:r w:rsidRPr="00500D51">
        <w:rPr>
          <w:i/>
          <w:iCs/>
          <w:noProof/>
          <w:lang w:val="nl-NL"/>
        </w:rPr>
        <w:t>70</w:t>
      </w:r>
      <w:r w:rsidRPr="00500D51">
        <w:rPr>
          <w:noProof/>
          <w:lang w:val="nl-NL"/>
        </w:rPr>
        <w:t>(2), 115–123. https://doi.org/10.1007/s11837-017-2698-7</w:t>
      </w:r>
    </w:p>
    <w:p w14:paraId="1C6C0ED8"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Nuss, P., &amp; Eckelman, M. J. (2014). </w:t>
      </w:r>
      <w:r w:rsidRPr="001F0027">
        <w:rPr>
          <w:noProof/>
          <w:lang w:val="en-GB"/>
        </w:rPr>
        <w:t xml:space="preserve">Life cycle assessment of metals: A scientific synthesis. </w:t>
      </w:r>
      <w:r w:rsidRPr="001F0027">
        <w:rPr>
          <w:i/>
          <w:iCs/>
          <w:noProof/>
          <w:lang w:val="en-GB"/>
        </w:rPr>
        <w:t>PLoS ONE</w:t>
      </w:r>
      <w:r w:rsidRPr="001F0027">
        <w:rPr>
          <w:noProof/>
          <w:lang w:val="en-GB"/>
        </w:rPr>
        <w:t xml:space="preserve">, </w:t>
      </w:r>
      <w:r w:rsidRPr="001F0027">
        <w:rPr>
          <w:i/>
          <w:iCs/>
          <w:noProof/>
          <w:lang w:val="en-GB"/>
        </w:rPr>
        <w:t>9</w:t>
      </w:r>
      <w:r w:rsidRPr="001F0027">
        <w:rPr>
          <w:noProof/>
          <w:lang w:val="en-GB"/>
        </w:rPr>
        <w:t>(7), 1–12. https://doi.org/10.1371/journal.pone.0101298</w:t>
      </w:r>
    </w:p>
    <w:p w14:paraId="78822E16"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Peelman, S., Sun, Z. H. I., Sietsma, J., &amp; Yang, Y. (2015). Leaching of Rare Earth Elements: Review of Past and Present Technologies. In </w:t>
      </w:r>
      <w:r w:rsidRPr="001F0027">
        <w:rPr>
          <w:i/>
          <w:iCs/>
          <w:noProof/>
          <w:lang w:val="en-GB"/>
        </w:rPr>
        <w:t>Rare Earths Industry: Technological, Economic, and Environmental Implications</w:t>
      </w:r>
      <w:r w:rsidRPr="001F0027">
        <w:rPr>
          <w:noProof/>
          <w:lang w:val="en-GB"/>
        </w:rPr>
        <w:t>. Elsevier Inc. https://doi.org/10.1016/B978-0-12-802328-0.00021-8</w:t>
      </w:r>
    </w:p>
    <w:p w14:paraId="352EF5FB"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Pell, R., Wall, F., Yan, X., Li, J., &amp; Zeng, X. (2019). Mineral processing simulation based-environmental life cycle assessment for rare earth project development: A case study on the Songwe Hill project. </w:t>
      </w:r>
      <w:r w:rsidRPr="001F0027">
        <w:rPr>
          <w:i/>
          <w:iCs/>
          <w:noProof/>
          <w:lang w:val="en-GB"/>
        </w:rPr>
        <w:t>Journal of Environmental Management</w:t>
      </w:r>
      <w:r w:rsidRPr="001F0027">
        <w:rPr>
          <w:noProof/>
          <w:lang w:val="en-GB"/>
        </w:rPr>
        <w:t xml:space="preserve">, </w:t>
      </w:r>
      <w:r w:rsidRPr="001F0027">
        <w:rPr>
          <w:i/>
          <w:iCs/>
          <w:noProof/>
          <w:lang w:val="en-GB"/>
        </w:rPr>
        <w:t>249</w:t>
      </w:r>
      <w:r w:rsidRPr="001F0027">
        <w:rPr>
          <w:noProof/>
          <w:lang w:val="en-GB"/>
        </w:rPr>
        <w:t>(February), 109353. https://doi.org/10.1016/j.jenvman.2019.109353</w:t>
      </w:r>
    </w:p>
    <w:p w14:paraId="659F7EEA"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Qi, D. (2018). Chemical Separation Method. In </w:t>
      </w:r>
      <w:r w:rsidRPr="001F0027">
        <w:rPr>
          <w:i/>
          <w:iCs/>
          <w:noProof/>
          <w:lang w:val="en-GB"/>
        </w:rPr>
        <w:t>Hydrometallurgy of Rare Earths</w:t>
      </w:r>
      <w:r w:rsidRPr="001F0027">
        <w:rPr>
          <w:noProof/>
          <w:lang w:val="en-GB"/>
        </w:rPr>
        <w:t>. https://doi.org/10.1016/b978-0-12-813920-2.00007-6</w:t>
      </w:r>
    </w:p>
    <w:p w14:paraId="32D4C3F4"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Rademaker, J. H., Kleijn, R., &amp; Yang, Y. (2013). </w:t>
      </w:r>
      <w:r w:rsidRPr="001F0027">
        <w:rPr>
          <w:noProof/>
          <w:lang w:val="en-GB"/>
        </w:rPr>
        <w:t xml:space="preserve">Recycling as a strategy against rare earth element criticality: A systemic evaluation of the potential yield of NdFeB magnet recycling. </w:t>
      </w:r>
      <w:r w:rsidRPr="001F0027">
        <w:rPr>
          <w:i/>
          <w:iCs/>
          <w:noProof/>
          <w:lang w:val="en-GB"/>
        </w:rPr>
        <w:t>Environmental Science and Technology</w:t>
      </w:r>
      <w:r w:rsidRPr="001F0027">
        <w:rPr>
          <w:noProof/>
          <w:lang w:val="en-GB"/>
        </w:rPr>
        <w:t xml:space="preserve">, </w:t>
      </w:r>
      <w:r w:rsidRPr="001F0027">
        <w:rPr>
          <w:i/>
          <w:iCs/>
          <w:noProof/>
          <w:lang w:val="en-GB"/>
        </w:rPr>
        <w:t>47</w:t>
      </w:r>
      <w:r w:rsidRPr="001F0027">
        <w:rPr>
          <w:noProof/>
          <w:lang w:val="en-GB"/>
        </w:rPr>
        <w:t>(18), 10129–10136. https://doi.org/10.1021/es305007w</w:t>
      </w:r>
    </w:p>
    <w:p w14:paraId="276E4587" w14:textId="785244DB" w:rsidR="00E92566"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Riahi, K., van Vuuren, D. P., Kriegler, E., Edmonds, J., O’Neill, B. C., Fujimori, S., Bauer, N., Calvin, K., Dellink, R., Fricko, O., Lutz, W., Popp, A., Cuaresma, J. C., KC, S., Leimbach, M., Jiang, L., Kram, T., Rao, S., Emmerling, J., … Tavoni, M. (2017). The Shared Socioeconomic Pathways and their energy, land use, and greenhouse gas emissions implications: An overview. </w:t>
      </w:r>
      <w:r w:rsidRPr="001F0027">
        <w:rPr>
          <w:i/>
          <w:iCs/>
          <w:noProof/>
          <w:lang w:val="en-GB"/>
        </w:rPr>
        <w:t>Global Environmental Change</w:t>
      </w:r>
      <w:r w:rsidRPr="001F0027">
        <w:rPr>
          <w:noProof/>
          <w:lang w:val="en-GB"/>
        </w:rPr>
        <w:t xml:space="preserve">, </w:t>
      </w:r>
      <w:r w:rsidRPr="001F0027">
        <w:rPr>
          <w:i/>
          <w:iCs/>
          <w:noProof/>
          <w:lang w:val="en-GB"/>
        </w:rPr>
        <w:t>42</w:t>
      </w:r>
      <w:r w:rsidRPr="001F0027">
        <w:rPr>
          <w:noProof/>
          <w:lang w:val="en-GB"/>
        </w:rPr>
        <w:t xml:space="preserve">, 153–168. </w:t>
      </w:r>
      <w:r w:rsidRPr="001F0027">
        <w:rPr>
          <w:noProof/>
          <w:lang w:val="en-GB"/>
        </w:rPr>
        <w:lastRenderedPageBreak/>
        <w:t>https://doi.org/10.1016/j.gloenvcha.2016.05.009</w:t>
      </w:r>
    </w:p>
    <w:p w14:paraId="072874FB" w14:textId="15D475C8" w:rsidR="00CA1360" w:rsidRPr="001F0027" w:rsidRDefault="001F0ED8" w:rsidP="001F0027">
      <w:pPr>
        <w:widowControl w:val="0"/>
        <w:autoSpaceDE w:val="0"/>
        <w:autoSpaceDN w:val="0"/>
        <w:adjustRightInd w:val="0"/>
        <w:spacing w:before="0" w:after="0"/>
        <w:ind w:left="480" w:hanging="480"/>
        <w:rPr>
          <w:noProof/>
          <w:lang w:val="en-GB"/>
        </w:rPr>
      </w:pPr>
      <w:r w:rsidRPr="005450DC">
        <w:t>Riemenschneider, W., Tanifuji, M.</w:t>
      </w:r>
      <w:r>
        <w:rPr>
          <w:lang w:val="en-US"/>
        </w:rPr>
        <w:t xml:space="preserve"> (</w:t>
      </w:r>
      <w:r w:rsidRPr="005450DC">
        <w:t>2011</w:t>
      </w:r>
      <w:r>
        <w:rPr>
          <w:lang w:val="en-US"/>
        </w:rPr>
        <w:t>)</w:t>
      </w:r>
      <w:r w:rsidRPr="005450DC">
        <w:t>. Oxalic acid. Ullmann’s Encycl</w:t>
      </w:r>
      <w:r>
        <w:rPr>
          <w:lang w:val="en-US"/>
        </w:rPr>
        <w:t>opedia of</w:t>
      </w:r>
      <w:r w:rsidRPr="005450DC">
        <w:t xml:space="preserve"> Ind</w:t>
      </w:r>
      <w:r>
        <w:rPr>
          <w:lang w:val="en-US"/>
        </w:rPr>
        <w:t>ustrial</w:t>
      </w:r>
      <w:r w:rsidRPr="005450DC">
        <w:t xml:space="preserve"> Chem</w:t>
      </w:r>
      <w:r>
        <w:rPr>
          <w:lang w:val="en-US"/>
        </w:rPr>
        <w:t>istry,</w:t>
      </w:r>
      <w:r w:rsidRPr="005450DC">
        <w:t xml:space="preserve"> </w:t>
      </w:r>
      <w:r w:rsidRPr="00987077">
        <w:rPr>
          <w:i/>
          <w:iCs/>
        </w:rPr>
        <w:t>25</w:t>
      </w:r>
      <w:r w:rsidRPr="005450DC">
        <w:t>, 529–541</w:t>
      </w:r>
    </w:p>
    <w:p w14:paraId="4C6E165F"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Rocchetti, L., Vegliò, F., Kopacek, B., &amp; Beolchini, F. (2013). </w:t>
      </w:r>
      <w:r w:rsidRPr="001F0027">
        <w:rPr>
          <w:noProof/>
          <w:lang w:val="en-GB"/>
        </w:rPr>
        <w:t xml:space="preserve">Environmental impact assessment of hydrometallurgical processes for metal recovery from WEEE residues using a portable prototype plant. </w:t>
      </w:r>
      <w:r w:rsidRPr="001F0027">
        <w:rPr>
          <w:i/>
          <w:iCs/>
          <w:noProof/>
          <w:lang w:val="en-GB"/>
        </w:rPr>
        <w:t>Environmental Science and Technology</w:t>
      </w:r>
      <w:r w:rsidRPr="001F0027">
        <w:rPr>
          <w:noProof/>
          <w:lang w:val="en-GB"/>
        </w:rPr>
        <w:t xml:space="preserve">, </w:t>
      </w:r>
      <w:r w:rsidRPr="001F0027">
        <w:rPr>
          <w:i/>
          <w:iCs/>
          <w:noProof/>
          <w:lang w:val="en-GB"/>
        </w:rPr>
        <w:t>47</w:t>
      </w:r>
      <w:r w:rsidRPr="001F0027">
        <w:rPr>
          <w:noProof/>
          <w:lang w:val="en-GB"/>
        </w:rPr>
        <w:t>(3), 1581–1588. https://doi.org/10.1021/es302192t</w:t>
      </w:r>
    </w:p>
    <w:p w14:paraId="365D1B8B"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Sala, S., Benini, L., Mancini, L., &amp; Pant, R. (2015). Integrated assessment of environmental impact of Europe in 2010: data sources and extrapolation strategies for calculating normalisation factors. </w:t>
      </w:r>
      <w:r w:rsidRPr="001F0027">
        <w:rPr>
          <w:i/>
          <w:iCs/>
          <w:noProof/>
          <w:lang w:val="en-GB"/>
        </w:rPr>
        <w:t>International Journal of Life Cycle Assessment</w:t>
      </w:r>
      <w:r w:rsidRPr="001F0027">
        <w:rPr>
          <w:noProof/>
          <w:lang w:val="en-GB"/>
        </w:rPr>
        <w:t xml:space="preserve">, </w:t>
      </w:r>
      <w:r w:rsidRPr="001F0027">
        <w:rPr>
          <w:i/>
          <w:iCs/>
          <w:noProof/>
          <w:lang w:val="en-GB"/>
        </w:rPr>
        <w:t>20</w:t>
      </w:r>
      <w:r w:rsidRPr="001F0027">
        <w:rPr>
          <w:noProof/>
          <w:lang w:val="en-GB"/>
        </w:rPr>
        <w:t>(11), 1568–1585. https://doi.org/10.1007/s11367-015-0958-8</w:t>
      </w:r>
    </w:p>
    <w:p w14:paraId="2CF685F4"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Santero, N., &amp; Hendry, J. (2016). Harmonization of LCA methodologies for the metal and mining industry. </w:t>
      </w:r>
      <w:r w:rsidRPr="001F0027">
        <w:rPr>
          <w:i/>
          <w:iCs/>
          <w:noProof/>
          <w:lang w:val="en-GB"/>
        </w:rPr>
        <w:t>International Journal of Life Cycle Assessment</w:t>
      </w:r>
      <w:r w:rsidRPr="001F0027">
        <w:rPr>
          <w:noProof/>
          <w:lang w:val="en-GB"/>
        </w:rPr>
        <w:t xml:space="preserve">, </w:t>
      </w:r>
      <w:r w:rsidRPr="001F0027">
        <w:rPr>
          <w:i/>
          <w:iCs/>
          <w:noProof/>
          <w:lang w:val="en-GB"/>
        </w:rPr>
        <w:t>21</w:t>
      </w:r>
      <w:r w:rsidRPr="001F0027">
        <w:rPr>
          <w:noProof/>
          <w:lang w:val="en-GB"/>
        </w:rPr>
        <w:t>(11), 1543–1553. https://doi.org/10.1007/s11367-015-1022-4</w:t>
      </w:r>
    </w:p>
    <w:p w14:paraId="087DAF0C"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Schulze, R., Abbasalizadeh, A., Bulach, W., Schebek, L., &amp; Buchert, M. (2018). An Ex-ante LCA Study of Rare Earth Extraction from NdFeB Magnet Scrap Using Molten Salt Electrolysis. </w:t>
      </w:r>
      <w:r w:rsidRPr="001F0027">
        <w:rPr>
          <w:i/>
          <w:iCs/>
          <w:noProof/>
          <w:lang w:val="en-GB"/>
        </w:rPr>
        <w:t>Journal of Sustainable Metallurgy</w:t>
      </w:r>
      <w:r w:rsidRPr="001F0027">
        <w:rPr>
          <w:noProof/>
          <w:lang w:val="en-GB"/>
        </w:rPr>
        <w:t xml:space="preserve">, </w:t>
      </w:r>
      <w:r w:rsidRPr="001F0027">
        <w:rPr>
          <w:i/>
          <w:iCs/>
          <w:noProof/>
          <w:lang w:val="en-GB"/>
        </w:rPr>
        <w:t>4</w:t>
      </w:r>
      <w:r w:rsidRPr="001F0027">
        <w:rPr>
          <w:noProof/>
          <w:lang w:val="en-GB"/>
        </w:rPr>
        <w:t>(4), 493–505. https://doi.org/10.1007/s40831-018-0198-9</w:t>
      </w:r>
    </w:p>
    <w:p w14:paraId="58B104D3"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Schulze, R., &amp; Buchert, M. (2016). Estimates of global REE recycling potentials from NdFeB magnet material. </w:t>
      </w:r>
      <w:r w:rsidRPr="001F0027">
        <w:rPr>
          <w:i/>
          <w:iCs/>
          <w:noProof/>
          <w:lang w:val="en-GB"/>
        </w:rPr>
        <w:t>Resources, Conservation and Recycling</w:t>
      </w:r>
      <w:r w:rsidRPr="001F0027">
        <w:rPr>
          <w:noProof/>
          <w:lang w:val="en-GB"/>
        </w:rPr>
        <w:t xml:space="preserve">, </w:t>
      </w:r>
      <w:r w:rsidRPr="001F0027">
        <w:rPr>
          <w:i/>
          <w:iCs/>
          <w:noProof/>
          <w:lang w:val="en-GB"/>
        </w:rPr>
        <w:t>113</w:t>
      </w:r>
      <w:r w:rsidRPr="001F0027">
        <w:rPr>
          <w:noProof/>
          <w:lang w:val="en-GB"/>
        </w:rPr>
        <w:t>, 12–27. https://doi.org/10.1016/j.resconrec.2016.05.004</w:t>
      </w:r>
    </w:p>
    <w:p w14:paraId="1A12E59A"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Schulze, R., Weidema, B. P., Schebek, L., &amp; Buchert, M. (2018). Recycling and its effects on joint production systems and the environment – the case of rare earth magnet recycling – Part I — Production model. </w:t>
      </w:r>
      <w:r w:rsidRPr="001F0027">
        <w:rPr>
          <w:i/>
          <w:iCs/>
          <w:noProof/>
          <w:lang w:val="en-GB"/>
        </w:rPr>
        <w:t>Resources, Conservation and Recycling</w:t>
      </w:r>
      <w:r w:rsidRPr="001F0027">
        <w:rPr>
          <w:noProof/>
          <w:lang w:val="en-GB"/>
        </w:rPr>
        <w:t xml:space="preserve">, </w:t>
      </w:r>
      <w:r w:rsidRPr="001F0027">
        <w:rPr>
          <w:i/>
          <w:iCs/>
          <w:noProof/>
          <w:lang w:val="en-GB"/>
        </w:rPr>
        <w:t>134</w:t>
      </w:r>
      <w:r w:rsidRPr="001F0027">
        <w:rPr>
          <w:noProof/>
          <w:lang w:val="en-GB"/>
        </w:rPr>
        <w:t>(November 2017), 336–346. https://doi.org/10.1016/j.resconrec.2017.11.006</w:t>
      </w:r>
    </w:p>
    <w:p w14:paraId="61FEFB57" w14:textId="6CFBA453" w:rsidR="00E92566"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Sills, D. L., Van Doren, L. G., Beal, C., &amp; Raynor, E. (2020). The effect of functional unit and co-product handling methods on life cycle assessment of an algal biorefinery. </w:t>
      </w:r>
      <w:r w:rsidRPr="001F0027">
        <w:rPr>
          <w:i/>
          <w:iCs/>
          <w:noProof/>
          <w:lang w:val="en-GB"/>
        </w:rPr>
        <w:t>Algal Research</w:t>
      </w:r>
      <w:r w:rsidRPr="001F0027">
        <w:rPr>
          <w:noProof/>
          <w:lang w:val="en-GB"/>
        </w:rPr>
        <w:t xml:space="preserve">, </w:t>
      </w:r>
      <w:r w:rsidRPr="001F0027">
        <w:rPr>
          <w:i/>
          <w:iCs/>
          <w:noProof/>
          <w:lang w:val="en-GB"/>
        </w:rPr>
        <w:t>46</w:t>
      </w:r>
      <w:r w:rsidRPr="001F0027">
        <w:rPr>
          <w:noProof/>
          <w:lang w:val="en-GB"/>
        </w:rPr>
        <w:t>(September 2019), 101770. https://doi.org/10.1016/j.algal.2019.101770</w:t>
      </w:r>
    </w:p>
    <w:p w14:paraId="0CDBF227" w14:textId="0D1DF5C3" w:rsidR="006C253E" w:rsidRPr="006C253E" w:rsidRDefault="006C253E" w:rsidP="006C253E">
      <w:pPr>
        <w:rPr>
          <w:lang w:val="en-US"/>
        </w:rPr>
      </w:pPr>
      <w:r>
        <w:rPr>
          <w:noProof/>
          <w:lang w:val="en-GB"/>
        </w:rPr>
        <w:t>Skone, T. J.</w:t>
      </w:r>
      <w:r w:rsidR="00A838AD">
        <w:rPr>
          <w:noProof/>
          <w:lang w:val="en-GB"/>
        </w:rPr>
        <w:t xml:space="preserve"> (2014).</w:t>
      </w:r>
      <w:r>
        <w:rPr>
          <w:noProof/>
          <w:lang w:val="en-GB"/>
        </w:rPr>
        <w:t xml:space="preserve"> Rare earth oxide formation. </w:t>
      </w:r>
      <w:r w:rsidRPr="006C253E">
        <w:rPr>
          <w:noProof/>
          <w:lang w:val="en-US"/>
        </w:rPr>
        <w:t>United States.</w:t>
      </w:r>
      <w:r w:rsidRPr="006C253E">
        <w:rPr>
          <w:lang w:val="en-US"/>
        </w:rPr>
        <w:t xml:space="preserve"> </w:t>
      </w:r>
      <w:r>
        <w:rPr>
          <w:lang w:val="en-US"/>
        </w:rPr>
        <w:t>https://doi.org/10.2172/1509118</w:t>
      </w:r>
    </w:p>
    <w:p w14:paraId="0DFD33DE" w14:textId="77777777" w:rsidR="00E92566" w:rsidRPr="00500D51" w:rsidRDefault="00E92566" w:rsidP="001F0027">
      <w:pPr>
        <w:widowControl w:val="0"/>
        <w:autoSpaceDE w:val="0"/>
        <w:autoSpaceDN w:val="0"/>
        <w:adjustRightInd w:val="0"/>
        <w:spacing w:before="0" w:after="0"/>
        <w:ind w:left="480" w:hanging="480"/>
        <w:rPr>
          <w:noProof/>
          <w:lang w:val="nl-NL"/>
        </w:rPr>
      </w:pPr>
      <w:r w:rsidRPr="00900F9A">
        <w:rPr>
          <w:noProof/>
          <w:lang w:val="en-US"/>
        </w:rPr>
        <w:t xml:space="preserve">Sprecher, B., Xiao, Y., Walton, A., Speight, J., Harris, R., Kleijn, R., Visser, G., &amp; Kramer, G. J. (2014). </w:t>
      </w:r>
      <w:r w:rsidRPr="001F0027">
        <w:rPr>
          <w:noProof/>
          <w:lang w:val="en-GB"/>
        </w:rPr>
        <w:t xml:space="preserve">Life cycle inventory of the production of rare earths and the subsequent production of NdFeB rare earth permanent magnets. </w:t>
      </w:r>
      <w:r w:rsidRPr="00500D51">
        <w:rPr>
          <w:i/>
          <w:iCs/>
          <w:noProof/>
          <w:lang w:val="nl-NL"/>
        </w:rPr>
        <w:t>Environmental Science and Technology</w:t>
      </w:r>
      <w:r w:rsidRPr="00500D51">
        <w:rPr>
          <w:noProof/>
          <w:lang w:val="nl-NL"/>
        </w:rPr>
        <w:t xml:space="preserve">, </w:t>
      </w:r>
      <w:r w:rsidRPr="00500D51">
        <w:rPr>
          <w:i/>
          <w:iCs/>
          <w:noProof/>
          <w:lang w:val="nl-NL"/>
        </w:rPr>
        <w:t>48</w:t>
      </w:r>
      <w:r w:rsidRPr="00500D51">
        <w:rPr>
          <w:noProof/>
          <w:lang w:val="nl-NL"/>
        </w:rPr>
        <w:t>(7), 3951–3958. https://doi.org/10.1021/es404596q</w:t>
      </w:r>
    </w:p>
    <w:p w14:paraId="45BB7768" w14:textId="77777777" w:rsidR="00E92566" w:rsidRPr="00500D51" w:rsidRDefault="00E92566" w:rsidP="001F0027">
      <w:pPr>
        <w:widowControl w:val="0"/>
        <w:autoSpaceDE w:val="0"/>
        <w:autoSpaceDN w:val="0"/>
        <w:adjustRightInd w:val="0"/>
        <w:spacing w:before="0" w:after="0"/>
        <w:ind w:left="480" w:hanging="480"/>
        <w:rPr>
          <w:noProof/>
          <w:lang w:val="nl-NL"/>
        </w:rPr>
      </w:pPr>
      <w:r w:rsidRPr="00500D51">
        <w:rPr>
          <w:noProof/>
          <w:lang w:val="nl-NL"/>
        </w:rPr>
        <w:t xml:space="preserve">Stehfest, E., van Vuuren, D., Kram, T., Bouwman, L., Alkemade, R., Bakkenes, M., Biemans, </w:t>
      </w:r>
      <w:r w:rsidRPr="00500D51">
        <w:rPr>
          <w:noProof/>
          <w:lang w:val="nl-NL"/>
        </w:rPr>
        <w:lastRenderedPageBreak/>
        <w:t xml:space="preserve">H., Bouwman, A., den Elzen, M., Janse, J., Lucas, P., van Minnen, J., Müller, C., Prins, A. (2014). </w:t>
      </w:r>
      <w:r w:rsidRPr="00500D51">
        <w:rPr>
          <w:i/>
          <w:iCs/>
          <w:noProof/>
          <w:lang w:val="nl-NL"/>
        </w:rPr>
        <w:t>Image 3.0</w:t>
      </w:r>
      <w:r w:rsidRPr="00500D51">
        <w:rPr>
          <w:noProof/>
          <w:lang w:val="nl-NL"/>
        </w:rPr>
        <w:t>.</w:t>
      </w:r>
    </w:p>
    <w:p w14:paraId="43E0AD9E"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Steubing, B., de Koning, D., Haas, A., &amp; Mutel, C. L. (2020). </w:t>
      </w:r>
      <w:r w:rsidRPr="001F0027">
        <w:rPr>
          <w:noProof/>
          <w:lang w:val="en-GB"/>
        </w:rPr>
        <w:t xml:space="preserve">The Activity Browser — An open source LCA software building on top of the brightway framework. </w:t>
      </w:r>
      <w:r w:rsidRPr="001F0027">
        <w:rPr>
          <w:i/>
          <w:iCs/>
          <w:noProof/>
          <w:lang w:val="en-GB"/>
        </w:rPr>
        <w:t>Software Impacts</w:t>
      </w:r>
      <w:r w:rsidRPr="001F0027">
        <w:rPr>
          <w:noProof/>
          <w:lang w:val="en-GB"/>
        </w:rPr>
        <w:t xml:space="preserve">, </w:t>
      </w:r>
      <w:r w:rsidRPr="001F0027">
        <w:rPr>
          <w:i/>
          <w:iCs/>
          <w:noProof/>
          <w:lang w:val="en-GB"/>
        </w:rPr>
        <w:t>3</w:t>
      </w:r>
      <w:r w:rsidRPr="001F0027">
        <w:rPr>
          <w:noProof/>
          <w:lang w:val="en-GB"/>
        </w:rPr>
        <w:t>(December 2019), 100012. https://doi.org/10.1016/j.simpa.2019.100012</w:t>
      </w:r>
    </w:p>
    <w:p w14:paraId="1D716243"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Swain, N., &amp; Mishra, S. (2019). A review on the recovery and separation of rare earths and transition metals from secondary resources. </w:t>
      </w:r>
      <w:r w:rsidRPr="001F0027">
        <w:rPr>
          <w:i/>
          <w:iCs/>
          <w:noProof/>
          <w:lang w:val="en-GB"/>
        </w:rPr>
        <w:t>Journal of Cleaner Production</w:t>
      </w:r>
      <w:r w:rsidRPr="001F0027">
        <w:rPr>
          <w:noProof/>
          <w:lang w:val="en-GB"/>
        </w:rPr>
        <w:t xml:space="preserve">, </w:t>
      </w:r>
      <w:r w:rsidRPr="001F0027">
        <w:rPr>
          <w:i/>
          <w:iCs/>
          <w:noProof/>
          <w:lang w:val="en-GB"/>
        </w:rPr>
        <w:t>220</w:t>
      </w:r>
      <w:r w:rsidRPr="001F0027">
        <w:rPr>
          <w:noProof/>
          <w:lang w:val="en-GB"/>
        </w:rPr>
        <w:t>, 884–898. https://doi.org/10.1016/j.jclepro.2019.02.094</w:t>
      </w:r>
    </w:p>
    <w:p w14:paraId="21D37258"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Thonemann, N., Schulte, A., &amp; Maga, D. (2020). How to conduct prospective life cycle assessment for emerging technologies? A systematic review and methodological guidance. </w:t>
      </w:r>
      <w:r w:rsidRPr="001F0027">
        <w:rPr>
          <w:i/>
          <w:iCs/>
          <w:noProof/>
          <w:lang w:val="en-GB"/>
        </w:rPr>
        <w:t>Sustainability (Switzerland)</w:t>
      </w:r>
      <w:r w:rsidRPr="001F0027">
        <w:rPr>
          <w:noProof/>
          <w:lang w:val="en-GB"/>
        </w:rPr>
        <w:t xml:space="preserve">, </w:t>
      </w:r>
      <w:r w:rsidRPr="001F0027">
        <w:rPr>
          <w:i/>
          <w:iCs/>
          <w:noProof/>
          <w:lang w:val="en-GB"/>
        </w:rPr>
        <w:t>12</w:t>
      </w:r>
      <w:r w:rsidRPr="001F0027">
        <w:rPr>
          <w:noProof/>
          <w:lang w:val="en-GB"/>
        </w:rPr>
        <w:t>(3), 1–23. https://doi.org/10.3390/su12031192</w:t>
      </w:r>
    </w:p>
    <w:p w14:paraId="47D650D1"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Tsoy, N., Steubing, B., van der Giesen, C., &amp; Guinée, J. (2020). </w:t>
      </w:r>
      <w:r w:rsidRPr="001F0027">
        <w:rPr>
          <w:noProof/>
          <w:lang w:val="en-GB"/>
        </w:rPr>
        <w:t xml:space="preserve">Upscaling methods used in ex ante life cycle assessment of emerging technologies: a review. </w:t>
      </w:r>
      <w:r w:rsidRPr="001F0027">
        <w:rPr>
          <w:i/>
          <w:iCs/>
          <w:noProof/>
          <w:lang w:val="en-GB"/>
        </w:rPr>
        <w:t>International Journal of Life Cycle Assessment</w:t>
      </w:r>
      <w:r w:rsidRPr="001F0027">
        <w:rPr>
          <w:noProof/>
          <w:lang w:val="en-GB"/>
        </w:rPr>
        <w:t xml:space="preserve">, </w:t>
      </w:r>
      <w:r w:rsidRPr="001F0027">
        <w:rPr>
          <w:i/>
          <w:iCs/>
          <w:noProof/>
          <w:lang w:val="en-GB"/>
        </w:rPr>
        <w:t>25</w:t>
      </w:r>
      <w:r w:rsidRPr="001F0027">
        <w:rPr>
          <w:noProof/>
          <w:lang w:val="en-GB"/>
        </w:rPr>
        <w:t>(9), 1680–1692. https://doi.org/10.1007/s11367-020-01796-8</w:t>
      </w:r>
    </w:p>
    <w:p w14:paraId="03E73A45" w14:textId="77777777" w:rsidR="00E92566" w:rsidRPr="00500D51" w:rsidRDefault="00E92566" w:rsidP="001F0027">
      <w:pPr>
        <w:widowControl w:val="0"/>
        <w:autoSpaceDE w:val="0"/>
        <w:autoSpaceDN w:val="0"/>
        <w:adjustRightInd w:val="0"/>
        <w:spacing w:before="0" w:after="0"/>
        <w:ind w:left="480" w:hanging="480"/>
        <w:rPr>
          <w:noProof/>
          <w:lang w:val="nl-NL"/>
        </w:rPr>
      </w:pPr>
      <w:r w:rsidRPr="001F0027">
        <w:rPr>
          <w:noProof/>
          <w:lang w:val="en-GB"/>
        </w:rPr>
        <w:t xml:space="preserve">Tunsu, C. (2018). Hydrometallurgy in the recycling of spent NdFeB permanent magnets. In </w:t>
      </w:r>
      <w:r w:rsidRPr="001F0027">
        <w:rPr>
          <w:i/>
          <w:iCs/>
          <w:noProof/>
          <w:lang w:val="en-GB"/>
        </w:rPr>
        <w:t>Waste Electrical and Electronic Equipment Recycling: Aqueous Recovery Methods</w:t>
      </w:r>
      <w:r w:rsidRPr="001F0027">
        <w:rPr>
          <w:noProof/>
          <w:lang w:val="en-GB"/>
        </w:rPr>
        <w:t xml:space="preserve">. </w:t>
      </w:r>
      <w:r w:rsidRPr="00500D51">
        <w:rPr>
          <w:noProof/>
          <w:lang w:val="nl-NL"/>
        </w:rPr>
        <w:t>Elsevier Ltd. https://doi.org/10.1016/B978-0-08-102057-9.00008-1</w:t>
      </w:r>
    </w:p>
    <w:p w14:paraId="58B32276" w14:textId="77777777" w:rsidR="00E92566" w:rsidRPr="00500D51" w:rsidRDefault="00E92566" w:rsidP="001F0027">
      <w:pPr>
        <w:widowControl w:val="0"/>
        <w:autoSpaceDE w:val="0"/>
        <w:autoSpaceDN w:val="0"/>
        <w:adjustRightInd w:val="0"/>
        <w:spacing w:before="0" w:after="0"/>
        <w:ind w:left="480" w:hanging="480"/>
        <w:rPr>
          <w:noProof/>
          <w:lang w:val="pt-BR"/>
        </w:rPr>
      </w:pPr>
      <w:r w:rsidRPr="00500D51">
        <w:rPr>
          <w:noProof/>
          <w:lang w:val="nl-NL"/>
        </w:rPr>
        <w:t xml:space="preserve">Tunsu, C., Petranikova, M., Gergorić, M., Ekberg, C., &amp; Retegan, T. (2015). </w:t>
      </w:r>
      <w:r w:rsidRPr="001F0027">
        <w:rPr>
          <w:noProof/>
          <w:lang w:val="en-GB"/>
        </w:rPr>
        <w:t xml:space="preserve">Reclaiming rare earth elements from end-of-life products: A review of the perspectives for urban mining using hydrometallurgical unit operations. </w:t>
      </w:r>
      <w:r w:rsidRPr="00500D51">
        <w:rPr>
          <w:i/>
          <w:iCs/>
          <w:noProof/>
          <w:lang w:val="pt-BR"/>
        </w:rPr>
        <w:t>Hydrometallurgy</w:t>
      </w:r>
      <w:r w:rsidRPr="00500D51">
        <w:rPr>
          <w:noProof/>
          <w:lang w:val="pt-BR"/>
        </w:rPr>
        <w:t xml:space="preserve">, </w:t>
      </w:r>
      <w:r w:rsidRPr="00500D51">
        <w:rPr>
          <w:i/>
          <w:iCs/>
          <w:noProof/>
          <w:lang w:val="pt-BR"/>
        </w:rPr>
        <w:t>156</w:t>
      </w:r>
      <w:r w:rsidRPr="00500D51">
        <w:rPr>
          <w:noProof/>
          <w:lang w:val="pt-BR"/>
        </w:rPr>
        <w:t>, 239–258. https://doi.org/10.1016/j.hydromet.2015.06.007</w:t>
      </w:r>
    </w:p>
    <w:p w14:paraId="6B3DE7F3"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pt-BR"/>
        </w:rPr>
        <w:t xml:space="preserve">Vahidi, E., Navarro, J., &amp; Zhao, F. (2016). </w:t>
      </w:r>
      <w:r w:rsidRPr="001F0027">
        <w:rPr>
          <w:noProof/>
          <w:lang w:val="en-GB"/>
        </w:rPr>
        <w:t xml:space="preserve">An initial life cycle assessment of rare earth oxides production from ion-adsorption clays. </w:t>
      </w:r>
      <w:r w:rsidRPr="001F0027">
        <w:rPr>
          <w:i/>
          <w:iCs/>
          <w:noProof/>
          <w:lang w:val="en-GB"/>
        </w:rPr>
        <w:t>Resources, Conservation and Recycling</w:t>
      </w:r>
      <w:r w:rsidRPr="001F0027">
        <w:rPr>
          <w:noProof/>
          <w:lang w:val="en-GB"/>
        </w:rPr>
        <w:t xml:space="preserve">, </w:t>
      </w:r>
      <w:r w:rsidRPr="001F0027">
        <w:rPr>
          <w:i/>
          <w:iCs/>
          <w:noProof/>
          <w:lang w:val="en-GB"/>
        </w:rPr>
        <w:t>113</w:t>
      </w:r>
      <w:r w:rsidRPr="001F0027">
        <w:rPr>
          <w:noProof/>
          <w:lang w:val="en-GB"/>
        </w:rPr>
        <w:t>, 1–11. https://doi.org/10.1016/j.resconrec.2016.05.006</w:t>
      </w:r>
    </w:p>
    <w:p w14:paraId="40F84260" w14:textId="3072F315" w:rsidR="00E92566"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Vahidi, E., &amp; Zhao, F. (2017). Environmental life cycle assessment on the separation of rare earth oxides through solvent extraction. </w:t>
      </w:r>
      <w:r w:rsidRPr="001F0027">
        <w:rPr>
          <w:i/>
          <w:iCs/>
          <w:noProof/>
          <w:lang w:val="en-GB"/>
        </w:rPr>
        <w:t>Journal of Environmental Management</w:t>
      </w:r>
      <w:r w:rsidRPr="001F0027">
        <w:rPr>
          <w:noProof/>
          <w:lang w:val="en-GB"/>
        </w:rPr>
        <w:t xml:space="preserve">, </w:t>
      </w:r>
      <w:r w:rsidRPr="001F0027">
        <w:rPr>
          <w:i/>
          <w:iCs/>
          <w:noProof/>
          <w:lang w:val="en-GB"/>
        </w:rPr>
        <w:t>203</w:t>
      </w:r>
      <w:r w:rsidRPr="001F0027">
        <w:rPr>
          <w:noProof/>
          <w:lang w:val="en-GB"/>
        </w:rPr>
        <w:t>, 255–263. https://doi.org/10.1016/j.jenvman.2017.07.076</w:t>
      </w:r>
    </w:p>
    <w:p w14:paraId="44E43A1B" w14:textId="3C6165C9" w:rsidR="00B1365B" w:rsidRPr="00B1365B" w:rsidRDefault="00B1365B" w:rsidP="00B1365B">
      <w:pPr>
        <w:ind w:left="567" w:hanging="567"/>
      </w:pPr>
      <w:r>
        <w:rPr>
          <w:lang w:val="en-US"/>
        </w:rPr>
        <w:t xml:space="preserve">VALOMAG. (2021, March 2021). </w:t>
      </w:r>
      <w:r w:rsidRPr="00EE72A5">
        <w:rPr>
          <w:i/>
          <w:iCs/>
          <w:lang w:val="en-US"/>
        </w:rPr>
        <w:t>VALOMAG- Valorization of magnets</w:t>
      </w:r>
      <w:r>
        <w:rPr>
          <w:lang w:val="en-US"/>
        </w:rPr>
        <w:t xml:space="preserve">. </w:t>
      </w:r>
      <w:r w:rsidRPr="00EE72A5">
        <w:rPr>
          <w:lang w:val="en-US"/>
        </w:rPr>
        <w:t>https://valomag.tudelft.nl</w:t>
      </w:r>
    </w:p>
    <w:p w14:paraId="0F172256"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Van Gosen, Bradley S ; Philip L. Verplanck, R. R. S. I. K. R. L., &amp; Gambogi, J. (2017). </w:t>
      </w:r>
      <w:r w:rsidRPr="001F0027">
        <w:rPr>
          <w:i/>
          <w:iCs/>
          <w:noProof/>
          <w:lang w:val="en-GB"/>
        </w:rPr>
        <w:t>Critical mineral resources of the United States— Economic and environmental geology and prospects for future supply: U.S. Geological Survey Professional Paper 1802, p. O1– O31,</w:t>
      </w:r>
      <w:r w:rsidRPr="001F0027">
        <w:rPr>
          <w:noProof/>
          <w:lang w:val="en-GB"/>
        </w:rPr>
        <w:t>.</w:t>
      </w:r>
    </w:p>
    <w:p w14:paraId="70200E05" w14:textId="76E4A918"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Venkatesan, P., Sun, Z. H. I., Sietsma, J., &amp; Yang, Y. (2018</w:t>
      </w:r>
      <w:r w:rsidR="00B95ECD">
        <w:rPr>
          <w:noProof/>
          <w:lang w:val="en-GB"/>
        </w:rPr>
        <w:t>a</w:t>
      </w:r>
      <w:r w:rsidRPr="001F0027">
        <w:rPr>
          <w:noProof/>
          <w:lang w:val="en-GB"/>
        </w:rPr>
        <w:t xml:space="preserve">). An environmentally friendly </w:t>
      </w:r>
      <w:r w:rsidRPr="001F0027">
        <w:rPr>
          <w:noProof/>
          <w:lang w:val="en-GB"/>
        </w:rPr>
        <w:lastRenderedPageBreak/>
        <w:t xml:space="preserve">electro-oxidative approach to recover valuable elements from NdFeB magnet waste. </w:t>
      </w:r>
      <w:r w:rsidRPr="001F0027">
        <w:rPr>
          <w:i/>
          <w:iCs/>
          <w:noProof/>
          <w:lang w:val="en-GB"/>
        </w:rPr>
        <w:t>Separation and Purification Technology</w:t>
      </w:r>
      <w:r w:rsidRPr="001F0027">
        <w:rPr>
          <w:noProof/>
          <w:lang w:val="en-GB"/>
        </w:rPr>
        <w:t xml:space="preserve">, </w:t>
      </w:r>
      <w:r w:rsidRPr="001F0027">
        <w:rPr>
          <w:i/>
          <w:iCs/>
          <w:noProof/>
          <w:lang w:val="en-GB"/>
        </w:rPr>
        <w:t>191</w:t>
      </w:r>
      <w:r w:rsidRPr="001F0027">
        <w:rPr>
          <w:noProof/>
          <w:lang w:val="en-GB"/>
        </w:rPr>
        <w:t>(September 2017), 384–391. https://doi.org/10.1016/j.seppur.2017.09.053</w:t>
      </w:r>
    </w:p>
    <w:p w14:paraId="18C6C6BC" w14:textId="3D37E8A4" w:rsidR="00E92566" w:rsidRPr="00500D51" w:rsidRDefault="00E92566" w:rsidP="001F0027">
      <w:pPr>
        <w:widowControl w:val="0"/>
        <w:autoSpaceDE w:val="0"/>
        <w:autoSpaceDN w:val="0"/>
        <w:adjustRightInd w:val="0"/>
        <w:spacing w:before="0" w:after="0"/>
        <w:ind w:left="480" w:hanging="480"/>
        <w:rPr>
          <w:noProof/>
          <w:lang w:val="nl-NL"/>
        </w:rPr>
      </w:pPr>
      <w:r w:rsidRPr="00500D51">
        <w:rPr>
          <w:noProof/>
          <w:lang w:val="nl-NL"/>
        </w:rPr>
        <w:t>Venkatesan, P., Vander Hoogerstraete, T., Hennebel, T., Binnemans, K., Sietsma, J., &amp; Yang, Y. (2018</w:t>
      </w:r>
      <w:r w:rsidR="00B95ECD">
        <w:rPr>
          <w:noProof/>
          <w:lang w:val="nl-NL"/>
        </w:rPr>
        <w:t>b</w:t>
      </w:r>
      <w:r w:rsidRPr="00500D51">
        <w:rPr>
          <w:noProof/>
          <w:lang w:val="nl-NL"/>
        </w:rPr>
        <w:t xml:space="preserve">). </w:t>
      </w:r>
      <w:r w:rsidRPr="001F0027">
        <w:rPr>
          <w:noProof/>
          <w:lang w:val="en-GB"/>
        </w:rPr>
        <w:t xml:space="preserve">Selective electrochemical extraction of REEs from NdFeB magnet waste at room temperature. </w:t>
      </w:r>
      <w:r w:rsidRPr="00500D51">
        <w:rPr>
          <w:i/>
          <w:iCs/>
          <w:noProof/>
          <w:lang w:val="nl-NL"/>
        </w:rPr>
        <w:t>Green Chemistry</w:t>
      </w:r>
      <w:r w:rsidRPr="00500D51">
        <w:rPr>
          <w:noProof/>
          <w:lang w:val="nl-NL"/>
        </w:rPr>
        <w:t xml:space="preserve">, </w:t>
      </w:r>
      <w:r w:rsidRPr="00500D51">
        <w:rPr>
          <w:i/>
          <w:iCs/>
          <w:noProof/>
          <w:lang w:val="nl-NL"/>
        </w:rPr>
        <w:t>20</w:t>
      </w:r>
      <w:r w:rsidRPr="00500D51">
        <w:rPr>
          <w:noProof/>
          <w:lang w:val="nl-NL"/>
        </w:rPr>
        <w:t>(5), 1065–1073. https://doi.org/10.1039/c7gc03296j</w:t>
      </w:r>
    </w:p>
    <w:p w14:paraId="1CC2E9F3"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Villares, M., Işıldar, A., van der Giesen, C., &amp; Guinée, J. (2017). </w:t>
      </w:r>
      <w:r w:rsidRPr="001F0027">
        <w:rPr>
          <w:noProof/>
          <w:lang w:val="en-GB"/>
        </w:rPr>
        <w:t xml:space="preserve">Does ex ante application enhance the usefulness of LCA? A case study on an emerging technology for metal recovery from e-waste. </w:t>
      </w:r>
      <w:r w:rsidRPr="001F0027">
        <w:rPr>
          <w:i/>
          <w:iCs/>
          <w:noProof/>
          <w:lang w:val="en-GB"/>
        </w:rPr>
        <w:t>International Journal of Life Cycle Assessment</w:t>
      </w:r>
      <w:r w:rsidRPr="001F0027">
        <w:rPr>
          <w:noProof/>
          <w:lang w:val="en-GB"/>
        </w:rPr>
        <w:t xml:space="preserve">, </w:t>
      </w:r>
      <w:r w:rsidRPr="001F0027">
        <w:rPr>
          <w:i/>
          <w:iCs/>
          <w:noProof/>
          <w:lang w:val="en-GB"/>
        </w:rPr>
        <w:t>22</w:t>
      </w:r>
      <w:r w:rsidRPr="001F0027">
        <w:rPr>
          <w:noProof/>
          <w:lang w:val="en-GB"/>
        </w:rPr>
        <w:t>(10), 1618–1633. https://doi.org/10.1007/s11367-017-1270-6</w:t>
      </w:r>
    </w:p>
    <w:p w14:paraId="7C95C5F9" w14:textId="77777777" w:rsidR="00E92566" w:rsidRPr="001F0027"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Wang, L., Wang, P., Chen, W. Q., Wang, Q. Q., &amp; Lu, H. S. (2020). </w:t>
      </w:r>
      <w:r w:rsidRPr="001F0027">
        <w:rPr>
          <w:noProof/>
          <w:lang w:val="en-GB"/>
        </w:rPr>
        <w:t xml:space="preserve">Environmental impacts of scandium oxide production from rare earths tailings of Bayan Obo Mine. </w:t>
      </w:r>
      <w:r w:rsidRPr="001F0027">
        <w:rPr>
          <w:i/>
          <w:iCs/>
          <w:noProof/>
          <w:lang w:val="en-GB"/>
        </w:rPr>
        <w:t>Journal of Cleaner Production</w:t>
      </w:r>
      <w:r w:rsidRPr="001F0027">
        <w:rPr>
          <w:noProof/>
          <w:lang w:val="en-GB"/>
        </w:rPr>
        <w:t xml:space="preserve">, </w:t>
      </w:r>
      <w:r w:rsidRPr="001F0027">
        <w:rPr>
          <w:i/>
          <w:iCs/>
          <w:noProof/>
          <w:lang w:val="en-GB"/>
        </w:rPr>
        <w:t>270</w:t>
      </w:r>
      <w:r w:rsidRPr="001F0027">
        <w:rPr>
          <w:noProof/>
          <w:lang w:val="en-GB"/>
        </w:rPr>
        <w:t>, 122464. https://doi.org/10.1016/j.jclepro.2020.122464</w:t>
      </w:r>
    </w:p>
    <w:p w14:paraId="18D8D23A" w14:textId="77777777" w:rsidR="00E92566" w:rsidRPr="001F0027" w:rsidRDefault="00E92566" w:rsidP="001F0027">
      <w:pPr>
        <w:widowControl w:val="0"/>
        <w:autoSpaceDE w:val="0"/>
        <w:autoSpaceDN w:val="0"/>
        <w:adjustRightInd w:val="0"/>
        <w:spacing w:before="0" w:after="0"/>
        <w:ind w:left="480" w:hanging="480"/>
        <w:rPr>
          <w:noProof/>
          <w:lang w:val="en-GB"/>
        </w:rPr>
      </w:pPr>
      <w:r w:rsidRPr="001F0027">
        <w:rPr>
          <w:noProof/>
          <w:lang w:val="en-GB"/>
        </w:rPr>
        <w:t xml:space="preserve">Wernet, G., Bauer, C., Steubing, B., Reinhard, J., Moreno-Ruiz, E., &amp; Weidema, B. (2016). The ecoinvent database version 3 (part I): overview and methodology. </w:t>
      </w:r>
      <w:r w:rsidRPr="001F0027">
        <w:rPr>
          <w:i/>
          <w:iCs/>
          <w:noProof/>
          <w:lang w:val="en-GB"/>
        </w:rPr>
        <w:t>International Journal of Life Cycle Assessment</w:t>
      </w:r>
      <w:r w:rsidRPr="001F0027">
        <w:rPr>
          <w:noProof/>
          <w:lang w:val="en-GB"/>
        </w:rPr>
        <w:t xml:space="preserve">, </w:t>
      </w:r>
      <w:r w:rsidRPr="001F0027">
        <w:rPr>
          <w:i/>
          <w:iCs/>
          <w:noProof/>
          <w:lang w:val="en-GB"/>
        </w:rPr>
        <w:t>21</w:t>
      </w:r>
      <w:r w:rsidRPr="001F0027">
        <w:rPr>
          <w:noProof/>
          <w:lang w:val="en-GB"/>
        </w:rPr>
        <w:t>(9), 1218–1230. https://doi.org/10.1007/s11367-016-1087-8</w:t>
      </w:r>
    </w:p>
    <w:p w14:paraId="5105BCC8" w14:textId="70A3A45C" w:rsidR="00E92566" w:rsidRDefault="00E92566" w:rsidP="001F0027">
      <w:pPr>
        <w:widowControl w:val="0"/>
        <w:autoSpaceDE w:val="0"/>
        <w:autoSpaceDN w:val="0"/>
        <w:adjustRightInd w:val="0"/>
        <w:spacing w:before="0" w:after="0"/>
        <w:ind w:left="480" w:hanging="480"/>
        <w:rPr>
          <w:noProof/>
          <w:lang w:val="en-GB"/>
        </w:rPr>
      </w:pPr>
      <w:r w:rsidRPr="00500D51">
        <w:rPr>
          <w:noProof/>
          <w:lang w:val="nl-NL"/>
        </w:rPr>
        <w:t xml:space="preserve">Wulf, C., Zapp, P., Schreiber, A., Marx, J., &amp; Schlör, H. (2017). </w:t>
      </w:r>
      <w:r w:rsidRPr="001F0027">
        <w:rPr>
          <w:noProof/>
          <w:lang w:val="en-GB"/>
        </w:rPr>
        <w:t xml:space="preserve">Lessons Learned from a Life Cycle Sustainability Assessment of Rare Earth Permanent Magnets. </w:t>
      </w:r>
      <w:r w:rsidRPr="001F0027">
        <w:rPr>
          <w:i/>
          <w:iCs/>
          <w:noProof/>
          <w:lang w:val="en-GB"/>
        </w:rPr>
        <w:t>Journal of Industrial Ecology</w:t>
      </w:r>
      <w:r w:rsidRPr="001F0027">
        <w:rPr>
          <w:noProof/>
          <w:lang w:val="en-GB"/>
        </w:rPr>
        <w:t xml:space="preserve">, </w:t>
      </w:r>
      <w:r w:rsidRPr="001F0027">
        <w:rPr>
          <w:i/>
          <w:iCs/>
          <w:noProof/>
          <w:lang w:val="en-GB"/>
        </w:rPr>
        <w:t>21</w:t>
      </w:r>
      <w:r w:rsidRPr="001F0027">
        <w:rPr>
          <w:noProof/>
          <w:lang w:val="en-GB"/>
        </w:rPr>
        <w:t>(6), 1578–1590. https://doi.org/10.1111/jiec.12575</w:t>
      </w:r>
    </w:p>
    <w:p w14:paraId="50E56052" w14:textId="032C513F" w:rsidR="00A4364B" w:rsidRPr="00A4364B" w:rsidRDefault="00A4364B" w:rsidP="00A4364B">
      <w:pPr>
        <w:ind w:left="567" w:hanging="567"/>
        <w:rPr>
          <w:lang w:val="en-US"/>
        </w:rPr>
      </w:pPr>
      <w:r>
        <w:rPr>
          <w:lang w:val="en-US"/>
        </w:rPr>
        <w:t>Xicotencatl, B.</w:t>
      </w:r>
      <w:r w:rsidR="005C33D6">
        <w:rPr>
          <w:lang w:val="en-US"/>
        </w:rPr>
        <w:t xml:space="preserve">, et al. </w:t>
      </w:r>
      <w:r>
        <w:rPr>
          <w:lang w:val="en-US"/>
        </w:rPr>
        <w:t xml:space="preserve">(2021). The evolution of LCI databases requires interoperable and reusable system models [Manuscript in preparation]. Institute of Environmental Sciences, Leiden University. </w:t>
      </w:r>
    </w:p>
    <w:p w14:paraId="642829F5" w14:textId="77777777" w:rsidR="00E92566" w:rsidRPr="001F0027" w:rsidRDefault="00E92566" w:rsidP="001F0027">
      <w:pPr>
        <w:widowControl w:val="0"/>
        <w:autoSpaceDE w:val="0"/>
        <w:autoSpaceDN w:val="0"/>
        <w:adjustRightInd w:val="0"/>
        <w:spacing w:before="0" w:after="0"/>
        <w:ind w:left="480" w:hanging="480"/>
        <w:rPr>
          <w:noProof/>
        </w:rPr>
      </w:pPr>
      <w:r w:rsidRPr="001F0027">
        <w:rPr>
          <w:noProof/>
          <w:lang w:val="en-GB"/>
        </w:rPr>
        <w:t xml:space="preserve">Zakotnik, M., &amp; Tudor, C. O. (2015). Commercial-scale recycling of NdFeB-type magnets with grain boundary modification yields products with “designer properties” that exceed those of starting materials. </w:t>
      </w:r>
      <w:r w:rsidRPr="001F0027">
        <w:rPr>
          <w:i/>
          <w:iCs/>
          <w:noProof/>
          <w:lang w:val="en-GB"/>
        </w:rPr>
        <w:t>Waste Management</w:t>
      </w:r>
      <w:r w:rsidRPr="001F0027">
        <w:rPr>
          <w:noProof/>
          <w:lang w:val="en-GB"/>
        </w:rPr>
        <w:t xml:space="preserve">, </w:t>
      </w:r>
      <w:r w:rsidRPr="001F0027">
        <w:rPr>
          <w:i/>
          <w:iCs/>
          <w:noProof/>
          <w:lang w:val="en-GB"/>
        </w:rPr>
        <w:t>44</w:t>
      </w:r>
      <w:r w:rsidRPr="001F0027">
        <w:rPr>
          <w:noProof/>
          <w:lang w:val="en-GB"/>
        </w:rPr>
        <w:t>, 48–54. https://doi.org/10.1016/j.wasman.2015.07.041</w:t>
      </w:r>
    </w:p>
    <w:p w14:paraId="6253BD6B" w14:textId="73DE8C05" w:rsidR="00C4661F" w:rsidRDefault="00E92566" w:rsidP="001F0027">
      <w:pPr>
        <w:spacing w:before="0" w:after="0"/>
        <w:contextualSpacing w:val="0"/>
        <w:sectPr w:rsidR="00C4661F" w:rsidSect="004B432C">
          <w:footerReference w:type="default" r:id="rId31"/>
          <w:pgSz w:w="11906" w:h="16838"/>
          <w:pgMar w:top="1418" w:right="1418" w:bottom="1418" w:left="1418" w:header="709" w:footer="709" w:gutter="0"/>
          <w:pgNumType w:start="1"/>
          <w:cols w:space="708"/>
          <w:docGrid w:linePitch="360"/>
        </w:sectPr>
      </w:pPr>
      <w:r w:rsidRPr="001F0027">
        <w:fldChar w:fldCharType="end"/>
      </w:r>
    </w:p>
    <w:p w14:paraId="0450CD47" w14:textId="520E89F4" w:rsidR="00C4661F" w:rsidRDefault="00C4661F" w:rsidP="00931C04">
      <w:pPr>
        <w:spacing w:before="0" w:after="0" w:line="240" w:lineRule="auto"/>
        <w:contextualSpacing w:val="0"/>
        <w:jc w:val="left"/>
        <w:rPr>
          <w:lang w:val="en-US"/>
        </w:rPr>
        <w:sectPr w:rsidR="00C4661F" w:rsidSect="00E323F8">
          <w:footerReference w:type="default" r:id="rId32"/>
          <w:pgSz w:w="11906" w:h="16838"/>
          <w:pgMar w:top="1418" w:right="1418" w:bottom="1418" w:left="1418" w:header="709" w:footer="709" w:gutter="0"/>
          <w:cols w:space="708"/>
          <w:docGrid w:linePitch="360"/>
        </w:sectPr>
      </w:pPr>
    </w:p>
    <w:p w14:paraId="605E8E05" w14:textId="68CA751A" w:rsidR="005A4317" w:rsidRPr="00243217" w:rsidRDefault="005A4317" w:rsidP="00243217">
      <w:pPr>
        <w:rPr>
          <w:lang w:val="en-US"/>
        </w:rPr>
      </w:pPr>
    </w:p>
    <w:p w14:paraId="465546FA" w14:textId="42034D74" w:rsidR="004C2285" w:rsidRPr="00C11014" w:rsidRDefault="004C2285" w:rsidP="00C036D3">
      <w:pPr>
        <w:pStyle w:val="Heading6"/>
      </w:pPr>
      <w:bookmarkStart w:id="94" w:name="_Toc76752293"/>
      <w:bookmarkStart w:id="95" w:name="_Ref74849615"/>
      <w:bookmarkEnd w:id="94"/>
    </w:p>
    <w:bookmarkEnd w:id="95"/>
    <w:p w14:paraId="0EDC8809" w14:textId="3E96890A" w:rsidR="00B601B7" w:rsidRPr="00092030" w:rsidRDefault="00092030" w:rsidP="00092030">
      <w:pPr>
        <w:rPr>
          <w:rFonts w:ascii="Arial" w:hAnsi="Arial" w:cs="Arial"/>
          <w:b/>
          <w:bCs/>
          <w:lang w:val="en-US"/>
        </w:rPr>
      </w:pPr>
      <w:r>
        <w:rPr>
          <w:lang w:val="en-US"/>
        </w:rPr>
        <w:t xml:space="preserve">                                                    </w:t>
      </w:r>
      <w:r w:rsidR="00B601B7" w:rsidRPr="00092030">
        <w:rPr>
          <w:rFonts w:ascii="Arial" w:hAnsi="Arial" w:cs="Arial"/>
          <w:b/>
          <w:bCs/>
          <w:lang w:val="en-US"/>
        </w:rPr>
        <w:t>Data and modeling</w:t>
      </w:r>
    </w:p>
    <w:p w14:paraId="705BFE99" w14:textId="77777777" w:rsidR="000D27F4" w:rsidRPr="000D27F4" w:rsidRDefault="000D27F4" w:rsidP="000D27F4">
      <w:pPr>
        <w:rPr>
          <w:lang w:val="en-US"/>
        </w:rPr>
      </w:pPr>
    </w:p>
    <w:p w14:paraId="14433895" w14:textId="7CB77954" w:rsidR="000D27F4" w:rsidRDefault="000D27F4" w:rsidP="000D27F4">
      <w:pPr>
        <w:rPr>
          <w:b/>
          <w:bCs/>
          <w:lang w:val="en-US"/>
        </w:rPr>
      </w:pPr>
      <w:r w:rsidRPr="000D27F4">
        <w:rPr>
          <w:b/>
          <w:bCs/>
          <w:lang w:val="en-US"/>
        </w:rPr>
        <w:t>Batch size calculation</w:t>
      </w:r>
    </w:p>
    <w:p w14:paraId="25B67B03" w14:textId="77777777" w:rsidR="00AD230A" w:rsidRPr="000D27F4" w:rsidRDefault="00AD230A" w:rsidP="000D27F4">
      <w:pPr>
        <w:rPr>
          <w:b/>
          <w:bCs/>
          <w:lang w:val="en-US"/>
        </w:rPr>
      </w:pPr>
    </w:p>
    <w:p w14:paraId="71DE6F7D" w14:textId="1A699BA0" w:rsidR="000D27F4" w:rsidRPr="000D27F4" w:rsidRDefault="000D27F4" w:rsidP="000D27F4">
      <w:pPr>
        <w:rPr>
          <w:lang w:val="en-US"/>
        </w:rPr>
      </w:pPr>
      <w:r w:rsidRPr="000D27F4">
        <w:rPr>
          <w:lang w:val="en-US"/>
        </w:rPr>
        <w:t xml:space="preserve">As explained in the thesis, the envisaged plant in 2030 for carrying out the recycling chain has its basis on the flow of Nd oxide from EOL HDDs calculated in the MFA work of </w:t>
      </w:r>
      <w:r w:rsidR="006553C2">
        <w:rPr>
          <w:lang w:val="en-US"/>
        </w:rPr>
        <w:fldChar w:fldCharType="begin" w:fldLock="1"/>
      </w:r>
      <w:r w:rsidR="00663FEB">
        <w:rPr>
          <w:lang w:val="en-US"/>
        </w:rPr>
        <w:instrText>ADDIN CSL_CITATION {"citationItems":[{"id":"ITEM-1","itemData":{"DOI":"10.1021/es305007w","ISSN":"0013936X","PMID":"23909476","abstract":"End-of-life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 © 2013 American Chemical Society.","author":[{"dropping-particle":"","family":"Rademaker","given":"Jelle H.","non-dropping-particle":"","parse-names":false,"suffix":""},{"dropping-particle":"","family":"Kleijn","given":"Rene","non-dropping-particle":"","parse-names":false,"suffix":""},{"dropping-particle":"","family":"Yang","given":"Yongxiang","non-dropping-particle":"","parse-names":false,"suffix":""}],"container-title":"Environmental Science and Technology","id":"ITEM-1","issue":"18","issued":{"date-parts":[["2013"]]},"page":"10129-10136","title":"Recycling as a strategy against rare earth element criticality: A systemic evaluation of the potential yield of NdFeB magnet recycling","type":"article-journal","volume":"47"},"uris":["http://www.mendeley.com/documents/?uuid=0a3af202-948d-4704-b634-02b409a480ee"]}],"mendeley":{"formattedCitation":"(Rademaker et al., 2013)","manualFormatting":"Rademaker et al. (2013)","plainTextFormattedCitation":"(Rademaker et al., 2013)","previouslyFormattedCitation":"(Rademaker et al., 2013)"},"properties":{"noteIndex":0},"schema":"https://github.com/citation-style-language/schema/raw/master/csl-citation.json"}</w:instrText>
      </w:r>
      <w:r w:rsidR="006553C2">
        <w:rPr>
          <w:lang w:val="en-US"/>
        </w:rPr>
        <w:fldChar w:fldCharType="separate"/>
      </w:r>
      <w:r w:rsidR="006553C2" w:rsidRPr="006553C2">
        <w:rPr>
          <w:noProof/>
          <w:lang w:val="en-US"/>
        </w:rPr>
        <w:t>Rademaker et al.</w:t>
      </w:r>
      <w:r w:rsidR="006553C2">
        <w:rPr>
          <w:noProof/>
          <w:lang w:val="en-US"/>
        </w:rPr>
        <w:t xml:space="preserve"> (</w:t>
      </w:r>
      <w:r w:rsidR="006553C2" w:rsidRPr="006553C2">
        <w:rPr>
          <w:noProof/>
          <w:lang w:val="en-US"/>
        </w:rPr>
        <w:t>2013)</w:t>
      </w:r>
      <w:r w:rsidR="006553C2">
        <w:rPr>
          <w:lang w:val="en-US"/>
        </w:rPr>
        <w:fldChar w:fldCharType="end"/>
      </w:r>
      <w:r w:rsidRPr="000D27F4">
        <w:rPr>
          <w:lang w:val="en-US"/>
        </w:rPr>
        <w:t xml:space="preserve"> (7,0E+04 kg). Moreover, the industrial-scale plant developed in the former HYDROWEEE DEMO project is used as an inspiration to design the plant configuration and particularly to the amount of input to the leaching step (4,20E+02 kg of magnetic powder). </w:t>
      </w:r>
    </w:p>
    <w:p w14:paraId="7D67F38F" w14:textId="77777777" w:rsidR="000D27F4" w:rsidRPr="000D27F4" w:rsidRDefault="000D27F4" w:rsidP="000D27F4">
      <w:pPr>
        <w:rPr>
          <w:lang w:val="en-US"/>
        </w:rPr>
      </w:pPr>
    </w:p>
    <w:p w14:paraId="312D0592" w14:textId="41A6AB8F" w:rsidR="000859E4" w:rsidRDefault="000D27F4" w:rsidP="000D27F4">
      <w:pPr>
        <w:rPr>
          <w:lang w:val="en-US"/>
        </w:rPr>
      </w:pPr>
      <w:r w:rsidRPr="000D27F4">
        <w:rPr>
          <w:lang w:val="en-US"/>
        </w:rPr>
        <w:t>The batch size for one run of the chain is calculated linearly, upscaling the mass flows gathered during the pilot-scale experiment of the pretreatment phase by BRGM. The upscaling is done to yield an input of 4,20E+02 kg of magnetic powder into the next phase of the chain (metal extraction). With 4,20E+02 kg of magnetic powder set, a check is made to know the working hours needed, per day, so that the plant can intake the amount of HDDs equivalent to 7,0E+04 kg of Nd oxide annually. In this way, one batch in the recycling chain corresponds to 2,58E+05 kg of HDDs entering the pretreatment phase, which yields 4,20E+02 kg of magnetic powder that follows the metal extraction phase. The 4,20E+02 kg of magnetic powder yield</w:t>
      </w:r>
      <w:r>
        <w:rPr>
          <w:lang w:val="en-US"/>
        </w:rPr>
        <w:t>s</w:t>
      </w:r>
      <w:r w:rsidRPr="000D27F4">
        <w:rPr>
          <w:lang w:val="en-US"/>
        </w:rPr>
        <w:t xml:space="preserve"> after leaching, precipitation, and calcination 1,77E+02 kg of Nd oxide per run. Please, refer to </w:t>
      </w:r>
      <w:r w:rsidR="00A86E13">
        <w:rPr>
          <w:lang w:val="en-US"/>
        </w:rPr>
        <w:fldChar w:fldCharType="begin"/>
      </w:r>
      <w:r w:rsidR="00A86E13">
        <w:rPr>
          <w:lang w:val="en-US"/>
        </w:rPr>
        <w:instrText xml:space="preserve"> REF _Ref74851102 \w \h </w:instrText>
      </w:r>
      <w:r w:rsidR="00A86E13">
        <w:rPr>
          <w:lang w:val="en-US"/>
        </w:rPr>
      </w:r>
      <w:r w:rsidR="00A86E13">
        <w:rPr>
          <w:lang w:val="en-US"/>
        </w:rPr>
        <w:fldChar w:fldCharType="separate"/>
      </w:r>
      <w:r w:rsidR="00A86E13">
        <w:rPr>
          <w:lang w:val="en-US"/>
        </w:rPr>
        <w:t>appendix B</w:t>
      </w:r>
      <w:r w:rsidR="00A86E13">
        <w:rPr>
          <w:lang w:val="en-US"/>
        </w:rPr>
        <w:fldChar w:fldCharType="end"/>
      </w:r>
      <w:r w:rsidR="00A86E13">
        <w:rPr>
          <w:lang w:val="en-US"/>
        </w:rPr>
        <w:t xml:space="preserve"> </w:t>
      </w:r>
      <w:r w:rsidRPr="000D27F4">
        <w:rPr>
          <w:lang w:val="en-US"/>
        </w:rPr>
        <w:t xml:space="preserve">for the detailed calculations.  </w:t>
      </w:r>
    </w:p>
    <w:p w14:paraId="241C0B8B" w14:textId="62F39535" w:rsidR="00D03F34" w:rsidRDefault="00D03F34" w:rsidP="009A215A">
      <w:pPr>
        <w:rPr>
          <w:lang w:val="en-US"/>
        </w:rPr>
      </w:pPr>
    </w:p>
    <w:p w14:paraId="4863D0FB" w14:textId="77777777" w:rsidR="009718F0" w:rsidRPr="009718F0" w:rsidRDefault="009718F0" w:rsidP="009718F0">
      <w:pPr>
        <w:rPr>
          <w:b/>
          <w:bCs/>
          <w:lang w:val="en-US"/>
        </w:rPr>
      </w:pPr>
      <w:r w:rsidRPr="009718F0">
        <w:rPr>
          <w:b/>
          <w:bCs/>
          <w:lang w:val="en-US"/>
        </w:rPr>
        <w:t>Fragmentation unit process</w:t>
      </w:r>
    </w:p>
    <w:p w14:paraId="38551BA1" w14:textId="77777777" w:rsidR="009718F0" w:rsidRPr="009718F0" w:rsidRDefault="009718F0" w:rsidP="009718F0">
      <w:pPr>
        <w:rPr>
          <w:b/>
          <w:bCs/>
          <w:lang w:val="en-US"/>
        </w:rPr>
      </w:pPr>
    </w:p>
    <w:p w14:paraId="3411BF4A" w14:textId="77777777" w:rsidR="009718F0" w:rsidRPr="009718F0" w:rsidRDefault="009718F0" w:rsidP="009718F0">
      <w:pPr>
        <w:rPr>
          <w:lang w:val="en-US"/>
        </w:rPr>
      </w:pPr>
      <w:r w:rsidRPr="009718F0">
        <w:rPr>
          <w:lang w:val="en-US"/>
        </w:rPr>
        <w:t>Note: again, the data for the fragmentation step is linearly upscaled based on the data of the pilot-scale fragmentation experiments carried at BRGM during the VALOMAG project.</w:t>
      </w:r>
    </w:p>
    <w:p w14:paraId="27E43E85" w14:textId="77777777" w:rsidR="009718F0" w:rsidRPr="009718F0" w:rsidRDefault="009718F0" w:rsidP="009718F0">
      <w:pPr>
        <w:rPr>
          <w:lang w:val="en-US"/>
        </w:rPr>
      </w:pPr>
    </w:p>
    <w:p w14:paraId="7A3F367A" w14:textId="77777777" w:rsidR="009718F0" w:rsidRPr="009718F0" w:rsidRDefault="009718F0" w:rsidP="009718F0">
      <w:pPr>
        <w:rPr>
          <w:lang w:val="en-US"/>
        </w:rPr>
      </w:pPr>
      <w:r w:rsidRPr="009718F0">
        <w:rPr>
          <w:lang w:val="en-US"/>
        </w:rPr>
        <w:t xml:space="preserve">The pretreatment of HDDs starts with the fragmentation process. The inbound feed of HDDs is already demagnetized, and after a check on the demagnetization quality, they enter the chain to be dismantled (fragmented). The process takes place in an autogenous mill. According to experimental data, on average, 12% of HDDs (in mass) are not fragmented during the process. Therefore, this amount is not modeled. Instead, it leaves the system, and it will be inserted back </w:t>
      </w:r>
      <w:r w:rsidRPr="009718F0">
        <w:rPr>
          <w:lang w:val="en-US"/>
        </w:rPr>
        <w:lastRenderedPageBreak/>
        <w:t xml:space="preserve">into the chain in the following recycling run to make up the feed quantity per batch. For this reason, this flow appears as a “cut-off.” </w:t>
      </w:r>
    </w:p>
    <w:p w14:paraId="6619CF11" w14:textId="77777777" w:rsidR="009718F0" w:rsidRPr="009718F0" w:rsidRDefault="009718F0" w:rsidP="009718F0">
      <w:pPr>
        <w:rPr>
          <w:lang w:val="en-US"/>
        </w:rPr>
      </w:pPr>
    </w:p>
    <w:p w14:paraId="0729BCFC" w14:textId="213BBE62" w:rsidR="009718F0" w:rsidRPr="009718F0" w:rsidRDefault="009718F0" w:rsidP="009718F0">
      <w:pPr>
        <w:rPr>
          <w:lang w:val="en-US"/>
        </w:rPr>
      </w:pPr>
      <w:r w:rsidRPr="009718F0">
        <w:rPr>
          <w:lang w:val="en-US"/>
        </w:rPr>
        <w:t xml:space="preserve">The rest of the feed gets fragmented. It is assumed that around 10% of HDDs milled (in mass) are lost as dust. The projected plant is envisaged as having a filter technology (scrubber) for preventing the dust from being emitted to the atmosphere. However, considering the same assumption of </w:t>
      </w:r>
      <w:r w:rsidR="00214CAE" w:rsidRPr="007F5D9F">
        <w:t>Hischier</w:t>
      </w:r>
      <w:r w:rsidR="00214CAE" w:rsidRPr="007F5D9F">
        <w:rPr>
          <w:lang w:val="en-US"/>
        </w:rPr>
        <w:t xml:space="preserve"> et al. (2007),</w:t>
      </w:r>
      <w:r w:rsidRPr="009718F0">
        <w:rPr>
          <w:lang w:val="en-US"/>
        </w:rPr>
        <w:t xml:space="preserve"> 0,1% of dust will be emitted into the air. A similar assumption is used to model the </w:t>
      </w:r>
      <w:proofErr w:type="spellStart"/>
      <w:r w:rsidRPr="009718F0">
        <w:rPr>
          <w:lang w:val="en-US"/>
        </w:rPr>
        <w:t>ecoinvent</w:t>
      </w:r>
      <w:proofErr w:type="spellEnd"/>
      <w:r w:rsidRPr="009718F0">
        <w:rPr>
          <w:lang w:val="en-US"/>
        </w:rPr>
        <w:t xml:space="preserve"> process “treatment of waste electric and electronic equipment, shredding.” Therefore, the emission of this process is used as the archetypal to one developed here.</w:t>
      </w:r>
    </w:p>
    <w:p w14:paraId="6743C20C" w14:textId="77777777" w:rsidR="009718F0" w:rsidRPr="009718F0" w:rsidRDefault="009718F0" w:rsidP="009718F0">
      <w:pPr>
        <w:rPr>
          <w:lang w:val="en-US"/>
        </w:rPr>
      </w:pPr>
    </w:p>
    <w:p w14:paraId="4F78FDDB" w14:textId="6C180E5F" w:rsidR="001904B2" w:rsidRDefault="009718F0" w:rsidP="001904B2">
      <w:pPr>
        <w:rPr>
          <w:lang w:val="en-US"/>
        </w:rPr>
      </w:pPr>
      <w:r w:rsidRPr="009718F0">
        <w:rPr>
          <w:lang w:val="en-US"/>
        </w:rPr>
        <w:t xml:space="preserve">For a batch of 2,58E+05 kg of HDDs entering the fragmentation process, the output is 2,04E+05 kg of fragmented HDDs and 2,27E+04 kg of losses as dust. The dust is assumed to go to treatment as “treatment of fly ash and scrubber sludge, hazardous waste incineration.” The fractions of emissions to the air for a batch is according to </w:t>
      </w:r>
      <w:r w:rsidR="007759F6">
        <w:rPr>
          <w:lang w:val="en-US"/>
        </w:rPr>
        <w:fldChar w:fldCharType="begin"/>
      </w:r>
      <w:r w:rsidR="007759F6">
        <w:rPr>
          <w:lang w:val="en-US"/>
        </w:rPr>
        <w:instrText xml:space="preserve"> REF _Ref74830119 \h </w:instrText>
      </w:r>
      <w:r w:rsidR="007759F6">
        <w:rPr>
          <w:lang w:val="en-US"/>
        </w:rPr>
      </w:r>
      <w:r w:rsidR="007759F6">
        <w:rPr>
          <w:lang w:val="en-US"/>
        </w:rPr>
        <w:fldChar w:fldCharType="separate"/>
      </w:r>
      <w:r w:rsidR="00BC31F4">
        <w:t xml:space="preserve">Table </w:t>
      </w:r>
      <w:r w:rsidR="00BC31F4">
        <w:rPr>
          <w:noProof/>
        </w:rPr>
        <w:t>A</w:t>
      </w:r>
      <w:r w:rsidR="00BC31F4">
        <w:t>.</w:t>
      </w:r>
      <w:r w:rsidR="00BC31F4">
        <w:rPr>
          <w:noProof/>
        </w:rPr>
        <w:t>1</w:t>
      </w:r>
      <w:r w:rsidR="007759F6">
        <w:rPr>
          <w:lang w:val="en-US"/>
        </w:rPr>
        <w:fldChar w:fldCharType="end"/>
      </w:r>
      <w:r w:rsidR="007759F6">
        <w:rPr>
          <w:lang w:val="en-US"/>
        </w:rPr>
        <w:t xml:space="preserve"> </w:t>
      </w:r>
      <w:r w:rsidRPr="009718F0">
        <w:rPr>
          <w:lang w:val="en-US"/>
        </w:rPr>
        <w:t>below:</w:t>
      </w:r>
    </w:p>
    <w:p w14:paraId="718CDB20" w14:textId="77777777" w:rsidR="007759F6" w:rsidRDefault="007759F6" w:rsidP="001904B2">
      <w:pPr>
        <w:rPr>
          <w:lang w:val="en-US"/>
        </w:rPr>
      </w:pPr>
    </w:p>
    <w:p w14:paraId="32A1201D" w14:textId="28AEC09D" w:rsidR="007759F6" w:rsidRPr="007759F6" w:rsidRDefault="007759F6" w:rsidP="007759F6">
      <w:pPr>
        <w:pStyle w:val="Caption"/>
        <w:rPr>
          <w:lang w:val="en-US"/>
        </w:rPr>
      </w:pPr>
      <w:bookmarkStart w:id="96" w:name="_Ref74830119"/>
      <w:r>
        <w:t xml:space="preserve">Table </w:t>
      </w:r>
      <w:r w:rsidR="00BE45E3">
        <w:fldChar w:fldCharType="begin"/>
      </w:r>
      <w:r w:rsidR="00BE45E3">
        <w:instrText xml:space="preserve"> STYLEREF 6 \s </w:instrText>
      </w:r>
      <w:r w:rsidR="00BE45E3">
        <w:fldChar w:fldCharType="separate"/>
      </w:r>
      <w:r w:rsidR="00BC31F4">
        <w:rPr>
          <w:noProof/>
        </w:rPr>
        <w:t>A</w:t>
      </w:r>
      <w:r w:rsidR="00BE45E3">
        <w:rPr>
          <w:noProof/>
        </w:rPr>
        <w:fldChar w:fldCharType="end"/>
      </w:r>
      <w:r>
        <w:t>.</w:t>
      </w:r>
      <w:r w:rsidR="00BE45E3">
        <w:fldChar w:fldCharType="begin"/>
      </w:r>
      <w:r w:rsidR="00BE45E3">
        <w:instrText xml:space="preserve"> SEQ Appendix_Table \* ARABIC \s 6 </w:instrText>
      </w:r>
      <w:r w:rsidR="00BE45E3">
        <w:fldChar w:fldCharType="separate"/>
      </w:r>
      <w:r w:rsidR="00BC31F4">
        <w:rPr>
          <w:noProof/>
        </w:rPr>
        <w:t>1</w:t>
      </w:r>
      <w:r w:rsidR="00BE45E3">
        <w:rPr>
          <w:noProof/>
        </w:rPr>
        <w:fldChar w:fldCharType="end"/>
      </w:r>
      <w:bookmarkEnd w:id="96"/>
      <w:r w:rsidR="00D50035">
        <w:rPr>
          <w:lang w:val="en-US"/>
        </w:rPr>
        <w:t xml:space="preserve"> </w:t>
      </w:r>
      <w:r>
        <w:rPr>
          <w:lang w:val="en-US"/>
        </w:rPr>
        <w:t>Fractions of emissions</w:t>
      </w:r>
      <w:r w:rsidRPr="007759F6">
        <w:rPr>
          <w:lang w:val="en-US"/>
        </w:rPr>
        <w:t xml:space="preserve"> </w:t>
      </w:r>
      <w:r w:rsidRPr="009718F0">
        <w:rPr>
          <w:lang w:val="en-US"/>
        </w:rPr>
        <w:t>to the air</w:t>
      </w:r>
      <w:r>
        <w:rPr>
          <w:lang w:val="en-US"/>
        </w:rPr>
        <w:t xml:space="preserve"> from the Fragmentation step. Source: author’s table.</w:t>
      </w:r>
    </w:p>
    <w:tbl>
      <w:tblPr>
        <w:tblStyle w:val="TableGrid"/>
        <w:tblW w:w="5000" w:type="pct"/>
        <w:tblCellMar>
          <w:left w:w="28" w:type="dxa"/>
          <w:right w:w="28" w:type="dxa"/>
        </w:tblCellMar>
        <w:tblLook w:val="04A0" w:firstRow="1" w:lastRow="0" w:firstColumn="1" w:lastColumn="0" w:noHBand="0" w:noVBand="1"/>
      </w:tblPr>
      <w:tblGrid>
        <w:gridCol w:w="7453"/>
        <w:gridCol w:w="1607"/>
      </w:tblGrid>
      <w:tr w:rsidR="000C333C" w14:paraId="138C834C" w14:textId="77777777" w:rsidTr="007A0731">
        <w:tc>
          <w:tcPr>
            <w:tcW w:w="4113" w:type="pct"/>
          </w:tcPr>
          <w:p w14:paraId="220A3035" w14:textId="348F9016" w:rsidR="000C333C" w:rsidRPr="007A0731" w:rsidRDefault="000C333C" w:rsidP="00050887">
            <w:pPr>
              <w:rPr>
                <w:b/>
                <w:bCs/>
                <w:lang w:val="en-US"/>
              </w:rPr>
            </w:pPr>
            <w:r w:rsidRPr="007A0731">
              <w:rPr>
                <w:b/>
                <w:bCs/>
                <w:lang w:val="en-US"/>
              </w:rPr>
              <w:t>Emissions to air output (</w:t>
            </w:r>
            <w:r w:rsidR="009718F0" w:rsidRPr="007A0731">
              <w:rPr>
                <w:b/>
                <w:bCs/>
                <w:lang w:val="en-US"/>
              </w:rPr>
              <w:t>Based on the</w:t>
            </w:r>
            <w:r w:rsidRPr="007A0731">
              <w:rPr>
                <w:b/>
                <w:bCs/>
                <w:lang w:val="en-US"/>
              </w:rPr>
              <w:t xml:space="preserve"> </w:t>
            </w:r>
            <w:proofErr w:type="spellStart"/>
            <w:r w:rsidR="009A23BC" w:rsidRPr="007A0731">
              <w:rPr>
                <w:b/>
                <w:bCs/>
                <w:lang w:val="en-US"/>
              </w:rPr>
              <w:t>ecoinvent</w:t>
            </w:r>
            <w:proofErr w:type="spellEnd"/>
            <w:r w:rsidR="009A23BC" w:rsidRPr="007A0731">
              <w:rPr>
                <w:b/>
                <w:bCs/>
                <w:lang w:val="en-US"/>
              </w:rPr>
              <w:t xml:space="preserve"> process' emissions</w:t>
            </w:r>
            <w:r w:rsidRPr="007A0731">
              <w:rPr>
                <w:b/>
                <w:bCs/>
                <w:lang w:val="en-US"/>
              </w:rPr>
              <w:t>, “treatment of waste electric and electronic equipment, shredding” from 7% to 10%)</w:t>
            </w:r>
          </w:p>
        </w:tc>
        <w:tc>
          <w:tcPr>
            <w:tcW w:w="887" w:type="pct"/>
          </w:tcPr>
          <w:p w14:paraId="7BE822D0" w14:textId="431D3366" w:rsidR="000C333C" w:rsidRPr="007A0731" w:rsidRDefault="000C333C" w:rsidP="00050887">
            <w:pPr>
              <w:rPr>
                <w:b/>
                <w:bCs/>
                <w:lang w:val="en-US"/>
              </w:rPr>
            </w:pPr>
            <w:r w:rsidRPr="007A0731">
              <w:rPr>
                <w:b/>
                <w:bCs/>
                <w:lang w:val="en-US"/>
              </w:rPr>
              <w:t>Emitted into air (kg)</w:t>
            </w:r>
          </w:p>
        </w:tc>
      </w:tr>
      <w:tr w:rsidR="000C333C" w14:paraId="60AF7584" w14:textId="77777777" w:rsidTr="007A0731">
        <w:tc>
          <w:tcPr>
            <w:tcW w:w="4113" w:type="pct"/>
          </w:tcPr>
          <w:p w14:paraId="1095A64C" w14:textId="58941936" w:rsidR="000C333C" w:rsidRDefault="000C333C" w:rsidP="00050887">
            <w:pPr>
              <w:rPr>
                <w:lang w:val="en-US"/>
              </w:rPr>
            </w:pPr>
            <w:proofErr w:type="spellStart"/>
            <w:r>
              <w:rPr>
                <w:lang w:val="en-US"/>
              </w:rPr>
              <w:t>Aluminium</w:t>
            </w:r>
            <w:proofErr w:type="spellEnd"/>
          </w:p>
        </w:tc>
        <w:tc>
          <w:tcPr>
            <w:tcW w:w="887" w:type="pct"/>
          </w:tcPr>
          <w:p w14:paraId="5819611D" w14:textId="760F234A" w:rsidR="000C333C" w:rsidRDefault="000C333C" w:rsidP="00050887">
            <w:pPr>
              <w:rPr>
                <w:lang w:val="en-US"/>
              </w:rPr>
            </w:pPr>
            <w:r>
              <w:rPr>
                <w:lang w:val="en-US"/>
              </w:rPr>
              <w:t>1,33E+01</w:t>
            </w:r>
          </w:p>
        </w:tc>
      </w:tr>
      <w:tr w:rsidR="000C333C" w14:paraId="232F191B" w14:textId="77777777" w:rsidTr="007A0731">
        <w:tc>
          <w:tcPr>
            <w:tcW w:w="4113" w:type="pct"/>
          </w:tcPr>
          <w:p w14:paraId="463C3CF1" w14:textId="33E38252" w:rsidR="000C333C" w:rsidRDefault="000C333C" w:rsidP="00050887">
            <w:pPr>
              <w:rPr>
                <w:lang w:val="en-US"/>
              </w:rPr>
            </w:pPr>
            <w:r>
              <w:rPr>
                <w:lang w:val="en-US"/>
              </w:rPr>
              <w:t>Iron</w:t>
            </w:r>
          </w:p>
        </w:tc>
        <w:tc>
          <w:tcPr>
            <w:tcW w:w="887" w:type="pct"/>
          </w:tcPr>
          <w:p w14:paraId="0FFACA49" w14:textId="45ADAF4C" w:rsidR="000C333C" w:rsidRDefault="000C333C" w:rsidP="00050887">
            <w:pPr>
              <w:rPr>
                <w:lang w:val="en-US"/>
              </w:rPr>
            </w:pPr>
            <w:r>
              <w:rPr>
                <w:lang w:val="en-US"/>
              </w:rPr>
              <w:t>6,43E+00</w:t>
            </w:r>
          </w:p>
        </w:tc>
      </w:tr>
      <w:tr w:rsidR="000C333C" w14:paraId="70F87549" w14:textId="77777777" w:rsidTr="007A0731">
        <w:tc>
          <w:tcPr>
            <w:tcW w:w="4113" w:type="pct"/>
          </w:tcPr>
          <w:p w14:paraId="60E2D854" w14:textId="2F93DCAD" w:rsidR="000C333C" w:rsidRDefault="000C333C" w:rsidP="00050887">
            <w:pPr>
              <w:rPr>
                <w:lang w:val="en-US"/>
              </w:rPr>
            </w:pPr>
            <w:r>
              <w:rPr>
                <w:lang w:val="en-US"/>
              </w:rPr>
              <w:t>Copper</w:t>
            </w:r>
          </w:p>
        </w:tc>
        <w:tc>
          <w:tcPr>
            <w:tcW w:w="887" w:type="pct"/>
          </w:tcPr>
          <w:p w14:paraId="7991FF34" w14:textId="5912729B" w:rsidR="000C333C" w:rsidRDefault="000C333C" w:rsidP="00050887">
            <w:pPr>
              <w:rPr>
                <w:lang w:val="en-US"/>
              </w:rPr>
            </w:pPr>
            <w:r>
              <w:rPr>
                <w:lang w:val="en-US"/>
              </w:rPr>
              <w:t>1,99E+00</w:t>
            </w:r>
          </w:p>
        </w:tc>
      </w:tr>
      <w:tr w:rsidR="000C333C" w14:paraId="29B97F4C" w14:textId="77777777" w:rsidTr="007A0731">
        <w:tc>
          <w:tcPr>
            <w:tcW w:w="4113" w:type="pct"/>
          </w:tcPr>
          <w:p w14:paraId="06B8540E" w14:textId="375538BE" w:rsidR="000C333C" w:rsidRDefault="000C333C" w:rsidP="00050887">
            <w:pPr>
              <w:rPr>
                <w:lang w:val="en-US"/>
              </w:rPr>
            </w:pPr>
            <w:r>
              <w:rPr>
                <w:lang w:val="en-US"/>
              </w:rPr>
              <w:t>Lead</w:t>
            </w:r>
          </w:p>
        </w:tc>
        <w:tc>
          <w:tcPr>
            <w:tcW w:w="887" w:type="pct"/>
          </w:tcPr>
          <w:p w14:paraId="687D4B2A" w14:textId="3DB5BCA5" w:rsidR="000C333C" w:rsidRDefault="000C333C" w:rsidP="00050887">
            <w:pPr>
              <w:rPr>
                <w:lang w:val="en-US"/>
              </w:rPr>
            </w:pPr>
            <w:r>
              <w:rPr>
                <w:lang w:val="en-US"/>
              </w:rPr>
              <w:t>1,34E+00</w:t>
            </w:r>
          </w:p>
        </w:tc>
      </w:tr>
      <w:tr w:rsidR="000C333C" w14:paraId="56D071B1" w14:textId="77777777" w:rsidTr="007A0731">
        <w:tc>
          <w:tcPr>
            <w:tcW w:w="4113" w:type="pct"/>
          </w:tcPr>
          <w:p w14:paraId="4C5555CF" w14:textId="6A4D0BC3" w:rsidR="000C333C" w:rsidRDefault="000C333C" w:rsidP="00050887">
            <w:pPr>
              <w:rPr>
                <w:lang w:val="en-US"/>
              </w:rPr>
            </w:pPr>
            <w:r>
              <w:rPr>
                <w:lang w:val="en-US"/>
              </w:rPr>
              <w:t>Cadmium</w:t>
            </w:r>
          </w:p>
        </w:tc>
        <w:tc>
          <w:tcPr>
            <w:tcW w:w="887" w:type="pct"/>
          </w:tcPr>
          <w:p w14:paraId="00C9BFD1" w14:textId="344FAFC8" w:rsidR="000C333C" w:rsidRDefault="000C333C" w:rsidP="00050887">
            <w:pPr>
              <w:rPr>
                <w:lang w:val="en-US"/>
              </w:rPr>
            </w:pPr>
            <w:r>
              <w:rPr>
                <w:lang w:val="en-US"/>
              </w:rPr>
              <w:t>7,71E-03</w:t>
            </w:r>
          </w:p>
        </w:tc>
      </w:tr>
      <w:tr w:rsidR="000C333C" w14:paraId="556362F8" w14:textId="77777777" w:rsidTr="007A0731">
        <w:tc>
          <w:tcPr>
            <w:tcW w:w="4113" w:type="pct"/>
          </w:tcPr>
          <w:p w14:paraId="15A6790F" w14:textId="009EB4FC" w:rsidR="000C333C" w:rsidRDefault="000C333C" w:rsidP="00050887">
            <w:pPr>
              <w:rPr>
                <w:lang w:val="en-US"/>
              </w:rPr>
            </w:pPr>
            <w:r>
              <w:rPr>
                <w:lang w:val="en-US"/>
              </w:rPr>
              <w:t>Phosphorus</w:t>
            </w:r>
          </w:p>
        </w:tc>
        <w:tc>
          <w:tcPr>
            <w:tcW w:w="887" w:type="pct"/>
          </w:tcPr>
          <w:p w14:paraId="2E7EE6A7" w14:textId="4B97E972" w:rsidR="000C333C" w:rsidRDefault="000C333C" w:rsidP="00050887">
            <w:pPr>
              <w:rPr>
                <w:lang w:val="en-US"/>
              </w:rPr>
            </w:pPr>
            <w:r>
              <w:rPr>
                <w:lang w:val="en-US"/>
              </w:rPr>
              <w:t>4,53E-03</w:t>
            </w:r>
          </w:p>
        </w:tc>
      </w:tr>
      <w:tr w:rsidR="000C333C" w14:paraId="60B1B4E9" w14:textId="77777777" w:rsidTr="007A0731">
        <w:tc>
          <w:tcPr>
            <w:tcW w:w="4113" w:type="pct"/>
          </w:tcPr>
          <w:p w14:paraId="60D896D0" w14:textId="02872B06" w:rsidR="000C333C" w:rsidRDefault="000C333C" w:rsidP="00050887">
            <w:pPr>
              <w:rPr>
                <w:lang w:val="en-US"/>
              </w:rPr>
            </w:pPr>
            <w:r>
              <w:rPr>
                <w:lang w:val="en-US"/>
              </w:rPr>
              <w:t>Chromium</w:t>
            </w:r>
          </w:p>
        </w:tc>
        <w:tc>
          <w:tcPr>
            <w:tcW w:w="887" w:type="pct"/>
          </w:tcPr>
          <w:p w14:paraId="701E97C8" w14:textId="76EB5E5B" w:rsidR="000C333C" w:rsidRDefault="000C333C" w:rsidP="00050887">
            <w:pPr>
              <w:rPr>
                <w:lang w:val="en-US"/>
              </w:rPr>
            </w:pPr>
            <w:r>
              <w:rPr>
                <w:lang w:val="en-US"/>
              </w:rPr>
              <w:t>1,68E-02</w:t>
            </w:r>
          </w:p>
        </w:tc>
      </w:tr>
      <w:tr w:rsidR="000C333C" w14:paraId="1FEDAEF0" w14:textId="77777777" w:rsidTr="007A0731">
        <w:tc>
          <w:tcPr>
            <w:tcW w:w="4113" w:type="pct"/>
          </w:tcPr>
          <w:p w14:paraId="1C764628" w14:textId="2CFE8B93" w:rsidR="000C333C" w:rsidRDefault="000C333C" w:rsidP="00050887">
            <w:pPr>
              <w:rPr>
                <w:lang w:val="en-US"/>
              </w:rPr>
            </w:pPr>
            <w:r>
              <w:rPr>
                <w:lang w:val="en-US"/>
              </w:rPr>
              <w:t>Nickel</w:t>
            </w:r>
          </w:p>
        </w:tc>
        <w:tc>
          <w:tcPr>
            <w:tcW w:w="887" w:type="pct"/>
          </w:tcPr>
          <w:p w14:paraId="006E3B83" w14:textId="4E9EED3D" w:rsidR="000C333C" w:rsidRDefault="000C333C" w:rsidP="00050887">
            <w:pPr>
              <w:rPr>
                <w:lang w:val="en-US"/>
              </w:rPr>
            </w:pPr>
            <w:r>
              <w:rPr>
                <w:lang w:val="en-US"/>
              </w:rPr>
              <w:t>5,22E-02</w:t>
            </w:r>
          </w:p>
        </w:tc>
      </w:tr>
      <w:tr w:rsidR="000C333C" w14:paraId="7CAB3B02" w14:textId="77777777" w:rsidTr="007A0731">
        <w:tc>
          <w:tcPr>
            <w:tcW w:w="4113" w:type="pct"/>
          </w:tcPr>
          <w:p w14:paraId="7C5CF651" w14:textId="08ED660E" w:rsidR="000C333C" w:rsidRDefault="000C333C" w:rsidP="00050887">
            <w:pPr>
              <w:rPr>
                <w:lang w:val="en-US"/>
              </w:rPr>
            </w:pPr>
            <w:r>
              <w:rPr>
                <w:lang w:val="en-US"/>
              </w:rPr>
              <w:t>Mercury</w:t>
            </w:r>
          </w:p>
        </w:tc>
        <w:tc>
          <w:tcPr>
            <w:tcW w:w="887" w:type="pct"/>
          </w:tcPr>
          <w:p w14:paraId="1562718F" w14:textId="7F203A54" w:rsidR="000C333C" w:rsidRDefault="000C333C" w:rsidP="00050887">
            <w:pPr>
              <w:rPr>
                <w:lang w:val="en-US"/>
              </w:rPr>
            </w:pPr>
            <w:r>
              <w:rPr>
                <w:lang w:val="en-US"/>
              </w:rPr>
              <w:t>3,85E-05</w:t>
            </w:r>
          </w:p>
        </w:tc>
      </w:tr>
      <w:tr w:rsidR="000C333C" w14:paraId="0BBBAD8A" w14:textId="77777777" w:rsidTr="007A0731">
        <w:tc>
          <w:tcPr>
            <w:tcW w:w="4113" w:type="pct"/>
          </w:tcPr>
          <w:p w14:paraId="5003C78B" w14:textId="110E4F20" w:rsidR="000C333C" w:rsidRDefault="000C333C" w:rsidP="00050887">
            <w:pPr>
              <w:rPr>
                <w:lang w:val="en-US"/>
              </w:rPr>
            </w:pPr>
            <w:r>
              <w:rPr>
                <w:lang w:val="en-US"/>
              </w:rPr>
              <w:t>Antimony</w:t>
            </w:r>
          </w:p>
        </w:tc>
        <w:tc>
          <w:tcPr>
            <w:tcW w:w="887" w:type="pct"/>
          </w:tcPr>
          <w:p w14:paraId="3C0AF73D" w14:textId="10969209" w:rsidR="000C333C" w:rsidRDefault="000C333C" w:rsidP="00050887">
            <w:pPr>
              <w:rPr>
                <w:lang w:val="en-US"/>
              </w:rPr>
            </w:pPr>
            <w:r>
              <w:rPr>
                <w:lang w:val="en-US"/>
              </w:rPr>
              <w:t>3,85E-02</w:t>
            </w:r>
          </w:p>
        </w:tc>
      </w:tr>
      <w:tr w:rsidR="000C333C" w14:paraId="3BC3E994" w14:textId="77777777" w:rsidTr="007A0731">
        <w:tc>
          <w:tcPr>
            <w:tcW w:w="4113" w:type="pct"/>
          </w:tcPr>
          <w:p w14:paraId="39FD3A76" w14:textId="624E6248" w:rsidR="000C333C" w:rsidRDefault="000C333C" w:rsidP="00050887">
            <w:pPr>
              <w:rPr>
                <w:lang w:val="en-US"/>
              </w:rPr>
            </w:pPr>
            <w:r>
              <w:rPr>
                <w:lang w:val="en-US"/>
              </w:rPr>
              <w:lastRenderedPageBreak/>
              <w:t>Bromine</w:t>
            </w:r>
          </w:p>
        </w:tc>
        <w:tc>
          <w:tcPr>
            <w:tcW w:w="887" w:type="pct"/>
          </w:tcPr>
          <w:p w14:paraId="42B8849A" w14:textId="6D47D13C" w:rsidR="000C333C" w:rsidRDefault="000C333C" w:rsidP="00050887">
            <w:pPr>
              <w:rPr>
                <w:lang w:val="en-US"/>
              </w:rPr>
            </w:pPr>
            <w:r>
              <w:rPr>
                <w:lang w:val="en-US"/>
              </w:rPr>
              <w:t>7,71E-02</w:t>
            </w:r>
          </w:p>
        </w:tc>
      </w:tr>
      <w:tr w:rsidR="000C333C" w14:paraId="6511419D" w14:textId="77777777" w:rsidTr="007A0731">
        <w:tc>
          <w:tcPr>
            <w:tcW w:w="4113" w:type="pct"/>
          </w:tcPr>
          <w:p w14:paraId="65E4A03D" w14:textId="6DEF411D" w:rsidR="000C333C" w:rsidRDefault="000C333C" w:rsidP="00050887">
            <w:pPr>
              <w:rPr>
                <w:lang w:val="en-US"/>
              </w:rPr>
            </w:pPr>
            <w:r>
              <w:rPr>
                <w:lang w:val="en-US"/>
              </w:rPr>
              <w:t>Chlorine</w:t>
            </w:r>
          </w:p>
        </w:tc>
        <w:tc>
          <w:tcPr>
            <w:tcW w:w="887" w:type="pct"/>
          </w:tcPr>
          <w:p w14:paraId="0EE43D53" w14:textId="496A0C5D" w:rsidR="000C333C" w:rsidRDefault="000C333C" w:rsidP="00050887">
            <w:pPr>
              <w:rPr>
                <w:lang w:val="en-US"/>
              </w:rPr>
            </w:pPr>
            <w:r>
              <w:rPr>
                <w:lang w:val="en-US"/>
              </w:rPr>
              <w:t>1,04E-01</w:t>
            </w:r>
          </w:p>
        </w:tc>
      </w:tr>
      <w:tr w:rsidR="000C333C" w14:paraId="234274F1" w14:textId="77777777" w:rsidTr="007A0731">
        <w:tc>
          <w:tcPr>
            <w:tcW w:w="4113" w:type="pct"/>
          </w:tcPr>
          <w:p w14:paraId="620F012B" w14:textId="4F753333" w:rsidR="000C333C" w:rsidRDefault="000C333C" w:rsidP="00050887">
            <w:pPr>
              <w:rPr>
                <w:lang w:val="en-US"/>
              </w:rPr>
            </w:pPr>
            <w:r>
              <w:rPr>
                <w:lang w:val="en-US"/>
              </w:rPr>
              <w:t>Tin</w:t>
            </w:r>
          </w:p>
        </w:tc>
        <w:tc>
          <w:tcPr>
            <w:tcW w:w="887" w:type="pct"/>
          </w:tcPr>
          <w:p w14:paraId="74ACC65B" w14:textId="3251C600" w:rsidR="000C333C" w:rsidRDefault="000C333C" w:rsidP="00050887">
            <w:pPr>
              <w:rPr>
                <w:lang w:val="en-US"/>
              </w:rPr>
            </w:pPr>
            <w:r>
              <w:rPr>
                <w:lang w:val="en-US"/>
              </w:rPr>
              <w:t>9,75E-02</w:t>
            </w:r>
          </w:p>
        </w:tc>
      </w:tr>
      <w:tr w:rsidR="000C333C" w14:paraId="75C76727" w14:textId="77777777" w:rsidTr="007A0731">
        <w:tc>
          <w:tcPr>
            <w:tcW w:w="4113" w:type="pct"/>
          </w:tcPr>
          <w:p w14:paraId="478CF9F9" w14:textId="4F36ED71" w:rsidR="000C333C" w:rsidRDefault="000C333C" w:rsidP="00050887">
            <w:pPr>
              <w:rPr>
                <w:lang w:val="en-US"/>
              </w:rPr>
            </w:pPr>
            <w:r>
              <w:rPr>
                <w:lang w:val="en-US"/>
              </w:rPr>
              <w:t>Zinc</w:t>
            </w:r>
          </w:p>
        </w:tc>
        <w:tc>
          <w:tcPr>
            <w:tcW w:w="887" w:type="pct"/>
          </w:tcPr>
          <w:p w14:paraId="065E96AF" w14:textId="02E024E0" w:rsidR="000C333C" w:rsidRDefault="000C333C" w:rsidP="00050887">
            <w:pPr>
              <w:rPr>
                <w:lang w:val="en-US"/>
              </w:rPr>
            </w:pPr>
            <w:r>
              <w:rPr>
                <w:lang w:val="en-US"/>
              </w:rPr>
              <w:t>4,24E-01</w:t>
            </w:r>
          </w:p>
        </w:tc>
      </w:tr>
      <w:tr w:rsidR="000C333C" w14:paraId="1AF0F021" w14:textId="77777777" w:rsidTr="007A0731">
        <w:tc>
          <w:tcPr>
            <w:tcW w:w="4113" w:type="pct"/>
          </w:tcPr>
          <w:p w14:paraId="7DCD2A1E" w14:textId="525383DD" w:rsidR="000C333C" w:rsidRDefault="00CB11F7" w:rsidP="00050887">
            <w:pPr>
              <w:rPr>
                <w:lang w:val="en-US"/>
              </w:rPr>
            </w:pPr>
            <w:r>
              <w:rPr>
                <w:lang w:val="en-US"/>
              </w:rPr>
              <w:t>Polychlorinated</w:t>
            </w:r>
            <w:r w:rsidR="000C333C">
              <w:rPr>
                <w:lang w:val="en-US"/>
              </w:rPr>
              <w:t xml:space="preserve"> biphenyls</w:t>
            </w:r>
          </w:p>
        </w:tc>
        <w:tc>
          <w:tcPr>
            <w:tcW w:w="887" w:type="pct"/>
          </w:tcPr>
          <w:p w14:paraId="42D5B0EB" w14:textId="1F473093" w:rsidR="000C333C" w:rsidRDefault="000C333C" w:rsidP="001904B2">
            <w:pPr>
              <w:keepNext/>
              <w:rPr>
                <w:lang w:val="en-US"/>
              </w:rPr>
            </w:pPr>
            <w:r>
              <w:rPr>
                <w:lang w:val="en-US"/>
              </w:rPr>
              <w:t>6,12E-04</w:t>
            </w:r>
          </w:p>
        </w:tc>
      </w:tr>
    </w:tbl>
    <w:p w14:paraId="280C8005" w14:textId="77777777" w:rsidR="001904B2" w:rsidRPr="001904B2" w:rsidRDefault="001904B2" w:rsidP="001904B2">
      <w:pPr>
        <w:rPr>
          <w:lang w:val="en-US"/>
        </w:rPr>
      </w:pPr>
    </w:p>
    <w:p w14:paraId="3E0C218B" w14:textId="1A77964B" w:rsidR="00815712" w:rsidRDefault="00992FC2" w:rsidP="00050887">
      <w:pPr>
        <w:rPr>
          <w:lang w:val="en-US"/>
        </w:rPr>
      </w:pPr>
      <w:r>
        <w:rPr>
          <w:lang w:val="en-US"/>
        </w:rPr>
        <w:t xml:space="preserve"> </w:t>
      </w:r>
      <w:r w:rsidR="00050887">
        <w:rPr>
          <w:lang w:val="en-US"/>
        </w:rPr>
        <w:t xml:space="preserve">Please, refer to </w:t>
      </w:r>
      <w:r w:rsidR="00E42512">
        <w:rPr>
          <w:lang w:val="en-US"/>
        </w:rPr>
        <w:fldChar w:fldCharType="begin"/>
      </w:r>
      <w:r w:rsidR="00E42512">
        <w:rPr>
          <w:lang w:val="en-US"/>
        </w:rPr>
        <w:instrText xml:space="preserve"> REF _Ref74851102 \w \h </w:instrText>
      </w:r>
      <w:r w:rsidR="00E42512">
        <w:rPr>
          <w:lang w:val="en-US"/>
        </w:rPr>
      </w:r>
      <w:r w:rsidR="00E42512">
        <w:rPr>
          <w:lang w:val="en-US"/>
        </w:rPr>
        <w:fldChar w:fldCharType="separate"/>
      </w:r>
      <w:r w:rsidR="00E42512">
        <w:rPr>
          <w:lang w:val="en-US"/>
        </w:rPr>
        <w:t>appendix B</w:t>
      </w:r>
      <w:r w:rsidR="00E42512">
        <w:rPr>
          <w:lang w:val="en-US"/>
        </w:rPr>
        <w:fldChar w:fldCharType="end"/>
      </w:r>
      <w:r w:rsidR="00E42512">
        <w:rPr>
          <w:lang w:val="en-US"/>
        </w:rPr>
        <w:t xml:space="preserve"> </w:t>
      </w:r>
      <w:r w:rsidR="00050887">
        <w:rPr>
          <w:lang w:val="en-US"/>
        </w:rPr>
        <w:t xml:space="preserve">for the detailed calculations.  </w:t>
      </w:r>
    </w:p>
    <w:p w14:paraId="7C34F143" w14:textId="77777777" w:rsidR="004F65C7" w:rsidRDefault="004F65C7" w:rsidP="00050887">
      <w:pPr>
        <w:rPr>
          <w:lang w:val="en-US"/>
        </w:rPr>
      </w:pPr>
    </w:p>
    <w:p w14:paraId="717334F0" w14:textId="72D84F42" w:rsidR="00025A27" w:rsidRPr="00025A27" w:rsidRDefault="00025A27" w:rsidP="00025A27">
      <w:pPr>
        <w:rPr>
          <w:lang w:val="en-US"/>
        </w:rPr>
      </w:pPr>
      <w:r w:rsidRPr="00025A27">
        <w:rPr>
          <w:lang w:val="en-US"/>
        </w:rPr>
        <w:t>The electricity consumption of the autogenous mill is modeled according to the consumption factor (kWh/</w:t>
      </w:r>
      <w:proofErr w:type="spellStart"/>
      <w:r w:rsidRPr="00025A27">
        <w:rPr>
          <w:lang w:val="en-US"/>
        </w:rPr>
        <w:t>tonHDDs</w:t>
      </w:r>
      <w:proofErr w:type="spellEnd"/>
      <w:r w:rsidRPr="00025A27">
        <w:rPr>
          <w:lang w:val="en-US"/>
        </w:rPr>
        <w:t xml:space="preserve">) of the fragmentation step reported in the EXTRADE project, 0,5E+00 kWh/ton HDDs </w:t>
      </w:r>
      <w:r w:rsidR="00663FEB">
        <w:rPr>
          <w:lang w:val="en-US"/>
        </w:rPr>
        <w:fldChar w:fldCharType="begin" w:fldLock="1"/>
      </w:r>
      <w:r w:rsidR="00260A3B">
        <w:rPr>
          <w:lang w:val="en-US"/>
        </w:rPr>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2020)","plainTextFormattedCitation":"(Beylot et al., 2020)","previouslyFormattedCitation":"(Beylot et al., 2020)"},"properties":{"noteIndex":0},"schema":"https://github.com/citation-style-language/schema/raw/master/csl-citation.json"}</w:instrText>
      </w:r>
      <w:r w:rsidR="00663FEB">
        <w:rPr>
          <w:lang w:val="en-US"/>
        </w:rPr>
        <w:fldChar w:fldCharType="separate"/>
      </w:r>
      <w:r w:rsidR="00663FEB" w:rsidRPr="00663FEB">
        <w:rPr>
          <w:noProof/>
          <w:lang w:val="en-US"/>
        </w:rPr>
        <w:t>(Beylot et al., 2020)</w:t>
      </w:r>
      <w:r w:rsidR="00663FEB">
        <w:rPr>
          <w:lang w:val="en-US"/>
        </w:rPr>
        <w:fldChar w:fldCharType="end"/>
      </w:r>
      <w:r w:rsidRPr="00025A27">
        <w:rPr>
          <w:lang w:val="en-US"/>
        </w:rPr>
        <w:t xml:space="preserve">. Although the authors did not report on the plant capacity assumed in their work, the factors were judged reasonable to the plant capacity assumed here. Thus, the factor is used as it is reported without upscaling or downscaling to adapt to the envisaged plant’s capacity. </w:t>
      </w:r>
    </w:p>
    <w:p w14:paraId="6BC2CF19" w14:textId="77777777" w:rsidR="00025A27" w:rsidRPr="00025A27" w:rsidRDefault="00025A27" w:rsidP="00025A27">
      <w:pPr>
        <w:rPr>
          <w:lang w:val="en-US"/>
        </w:rPr>
      </w:pPr>
    </w:p>
    <w:p w14:paraId="7AD1A750" w14:textId="4C4EAC44" w:rsidR="0033577A" w:rsidRDefault="00025A27" w:rsidP="00025A27">
      <w:pPr>
        <w:rPr>
          <w:lang w:val="en-US"/>
        </w:rPr>
      </w:pPr>
      <w:r w:rsidRPr="00025A27">
        <w:rPr>
          <w:lang w:val="en-US"/>
        </w:rPr>
        <w:t>For running a batch, the electricity consumption in the fragmentation step is 1,29E+02 kWh.</w:t>
      </w:r>
    </w:p>
    <w:p w14:paraId="01338D11" w14:textId="77777777" w:rsidR="00025A27" w:rsidRPr="0033577A" w:rsidRDefault="00025A27" w:rsidP="00025A27">
      <w:pPr>
        <w:rPr>
          <w:b/>
          <w:bCs/>
          <w:lang w:val="en-US"/>
        </w:rPr>
      </w:pPr>
    </w:p>
    <w:p w14:paraId="784CAE46" w14:textId="57E3C9C7" w:rsidR="0033577A" w:rsidRPr="0033577A" w:rsidRDefault="0033577A" w:rsidP="00050887">
      <w:pPr>
        <w:rPr>
          <w:b/>
          <w:bCs/>
          <w:lang w:val="en-US"/>
        </w:rPr>
      </w:pPr>
      <w:r w:rsidRPr="0033577A">
        <w:rPr>
          <w:b/>
          <w:bCs/>
          <w:lang w:val="en-US"/>
        </w:rPr>
        <w:t>Classification unit process</w:t>
      </w:r>
    </w:p>
    <w:p w14:paraId="6B04771C" w14:textId="77777777" w:rsidR="0021066D" w:rsidRDefault="0021066D" w:rsidP="00050887">
      <w:pPr>
        <w:rPr>
          <w:lang w:val="en-US"/>
        </w:rPr>
      </w:pPr>
    </w:p>
    <w:p w14:paraId="3AC5B81F" w14:textId="77777777" w:rsidR="00C94851" w:rsidRPr="00C94851" w:rsidRDefault="00C94851" w:rsidP="00C94851">
      <w:pPr>
        <w:rPr>
          <w:lang w:val="en-US"/>
        </w:rPr>
      </w:pPr>
      <w:r w:rsidRPr="00C94851">
        <w:rPr>
          <w:lang w:val="en-US"/>
        </w:rPr>
        <w:t>Note: again, the data for the classification step is linearly upscaled based on the data of the pilot-scale classification experiments carried at BRGM during the VALOMAG project.</w:t>
      </w:r>
    </w:p>
    <w:p w14:paraId="4E3557DA" w14:textId="77777777" w:rsidR="00C94851" w:rsidRPr="00C94851" w:rsidRDefault="00C94851" w:rsidP="00C94851">
      <w:pPr>
        <w:rPr>
          <w:lang w:val="en-US"/>
        </w:rPr>
      </w:pPr>
    </w:p>
    <w:p w14:paraId="6F781C49" w14:textId="77777777" w:rsidR="00C94851" w:rsidRPr="00C94851" w:rsidRDefault="00C94851" w:rsidP="00C94851">
      <w:pPr>
        <w:rPr>
          <w:lang w:val="en-US"/>
        </w:rPr>
      </w:pPr>
      <w:r w:rsidRPr="00C94851">
        <w:rPr>
          <w:lang w:val="en-US"/>
        </w:rPr>
        <w:t>The output of fragmented HDDs contains materials in size ranging from less than 5 mm to more than 40 mm. In the classification unit process, the materials will be sorted according to their size. The process is envisaged to be aided by a screener. The sorting process separates materials into the dimensions of 1-5 mm, 5-20 mm, and 20-40 mm.</w:t>
      </w:r>
    </w:p>
    <w:p w14:paraId="6DE21168" w14:textId="77777777" w:rsidR="00C94851" w:rsidRPr="00C94851" w:rsidRDefault="00C94851" w:rsidP="00C94851">
      <w:pPr>
        <w:rPr>
          <w:lang w:val="en-US"/>
        </w:rPr>
      </w:pPr>
    </w:p>
    <w:p w14:paraId="14C2AA69" w14:textId="0D6A201F" w:rsidR="00C94851" w:rsidRPr="00C94851" w:rsidRDefault="00C94851" w:rsidP="00C94851">
      <w:pPr>
        <w:rPr>
          <w:lang w:val="en-US"/>
        </w:rPr>
      </w:pPr>
      <w:r w:rsidRPr="00C94851">
        <w:rPr>
          <w:lang w:val="en-US"/>
        </w:rPr>
        <w:t xml:space="preserve">The coarse size fraction (20-40 mm) consists of pieces of the alumina housing, printed circuit boards, iron scrap, and others. The fine size fractions contain the magnet pieces and copper. The coarse size fractions will be sorted and send to another recycling route. In contrast, the fine size fractions will be sorted and followed up to the recycling route of this work. In this regard, this unit process is multifunctional. As mentioned in the thesis, the allocation of non-functional flows and environmental flows to the reference flow of the system is according to the economic proceeds of the outflows (please, </w:t>
      </w:r>
      <w:r w:rsidR="00663FEB">
        <w:rPr>
          <w:lang w:val="en-US"/>
        </w:rPr>
        <w:t xml:space="preserve">refer to </w:t>
      </w:r>
      <w:r w:rsidR="00663FEB">
        <w:rPr>
          <w:lang w:val="en-US"/>
        </w:rPr>
        <w:fldChar w:fldCharType="begin"/>
      </w:r>
      <w:r w:rsidR="00663FEB">
        <w:rPr>
          <w:lang w:val="en-US"/>
        </w:rPr>
        <w:instrText xml:space="preserve"> REF _Ref74851102 \w \h </w:instrText>
      </w:r>
      <w:r w:rsidR="00663FEB">
        <w:rPr>
          <w:lang w:val="en-US"/>
        </w:rPr>
      </w:r>
      <w:r w:rsidR="00663FEB">
        <w:rPr>
          <w:lang w:val="en-US"/>
        </w:rPr>
        <w:fldChar w:fldCharType="separate"/>
      </w:r>
      <w:r w:rsidR="00663FEB">
        <w:rPr>
          <w:lang w:val="en-US"/>
        </w:rPr>
        <w:t>appendix B</w:t>
      </w:r>
      <w:r w:rsidR="00663FEB">
        <w:rPr>
          <w:lang w:val="en-US"/>
        </w:rPr>
        <w:fldChar w:fldCharType="end"/>
      </w:r>
      <w:r w:rsidR="00663FEB">
        <w:rPr>
          <w:lang w:val="en-US"/>
        </w:rPr>
        <w:t xml:space="preserve"> </w:t>
      </w:r>
      <w:r w:rsidRPr="00C94851">
        <w:rPr>
          <w:lang w:val="en-US"/>
        </w:rPr>
        <w:t>for allocation factors).</w:t>
      </w:r>
    </w:p>
    <w:p w14:paraId="0B1039B7" w14:textId="77777777" w:rsidR="00C94851" w:rsidRPr="00C94851" w:rsidRDefault="00C94851" w:rsidP="00C94851">
      <w:pPr>
        <w:rPr>
          <w:lang w:val="en-US"/>
        </w:rPr>
      </w:pPr>
    </w:p>
    <w:p w14:paraId="0882E478" w14:textId="36D9619F" w:rsidR="00C94851" w:rsidRPr="00C94851" w:rsidRDefault="00C94851" w:rsidP="00C94851">
      <w:pPr>
        <w:rPr>
          <w:lang w:val="en-US"/>
        </w:rPr>
      </w:pPr>
      <w:r w:rsidRPr="00C94851">
        <w:rPr>
          <w:lang w:val="en-US"/>
        </w:rPr>
        <w:t xml:space="preserve">It is assumed that in the classification unit process, there are not losses. Therefore, the outputs add together to the input amount. Thus, running one batch, the input to the classification step is 2,04E+05 kg of fragmented HDDs, the output is 2,01E+05 kg of coarse size materials, and 3,43E+03 kg of fine size materials. Additionally, it is assumed that there are no </w:t>
      </w:r>
      <w:r>
        <w:rPr>
          <w:lang w:val="en-US"/>
        </w:rPr>
        <w:t xml:space="preserve">direct </w:t>
      </w:r>
      <w:r w:rsidRPr="00C94851">
        <w:rPr>
          <w:lang w:val="en-US"/>
        </w:rPr>
        <w:t>emissions.</w:t>
      </w:r>
    </w:p>
    <w:p w14:paraId="6C022DA9" w14:textId="0A6E9DD5" w:rsidR="008A611A" w:rsidRDefault="008A611A" w:rsidP="00F161C6">
      <w:pPr>
        <w:rPr>
          <w:lang w:val="en-US"/>
        </w:rPr>
      </w:pPr>
    </w:p>
    <w:p w14:paraId="15AAE47A" w14:textId="32C8C45C" w:rsidR="008A611A" w:rsidRDefault="008A611A" w:rsidP="008A611A">
      <w:pPr>
        <w:rPr>
          <w:lang w:val="en-US"/>
        </w:rPr>
      </w:pPr>
      <w:r w:rsidRPr="00C94851">
        <w:rPr>
          <w:lang w:val="en-US"/>
        </w:rPr>
        <w:t xml:space="preserve">Please, refer to </w:t>
      </w:r>
      <w:r w:rsidR="004101A4">
        <w:rPr>
          <w:lang w:val="en-US"/>
        </w:rPr>
        <w:fldChar w:fldCharType="begin"/>
      </w:r>
      <w:r w:rsidR="004101A4">
        <w:rPr>
          <w:lang w:val="en-US"/>
        </w:rPr>
        <w:instrText xml:space="preserve"> REF _Ref74851102 \w \h </w:instrText>
      </w:r>
      <w:r w:rsidR="004101A4">
        <w:rPr>
          <w:lang w:val="en-US"/>
        </w:rPr>
      </w:r>
      <w:r w:rsidR="004101A4">
        <w:rPr>
          <w:lang w:val="en-US"/>
        </w:rPr>
        <w:fldChar w:fldCharType="separate"/>
      </w:r>
      <w:r w:rsidR="004101A4">
        <w:rPr>
          <w:lang w:val="en-US"/>
        </w:rPr>
        <w:t>appendix B</w:t>
      </w:r>
      <w:r w:rsidR="004101A4">
        <w:rPr>
          <w:lang w:val="en-US"/>
        </w:rPr>
        <w:fldChar w:fldCharType="end"/>
      </w:r>
      <w:r w:rsidR="004101A4">
        <w:rPr>
          <w:lang w:val="en-US"/>
        </w:rPr>
        <w:t xml:space="preserve"> </w:t>
      </w:r>
      <w:r w:rsidRPr="00C94851">
        <w:rPr>
          <w:lang w:val="en-US"/>
        </w:rPr>
        <w:t xml:space="preserve">for the detailed calculations.  </w:t>
      </w:r>
    </w:p>
    <w:p w14:paraId="50A99AF7" w14:textId="77777777" w:rsidR="008A611A" w:rsidRDefault="008A611A" w:rsidP="00F161C6">
      <w:pPr>
        <w:rPr>
          <w:lang w:val="en-US"/>
        </w:rPr>
      </w:pPr>
    </w:p>
    <w:p w14:paraId="46994EA2" w14:textId="1F2A5514" w:rsidR="008A611A" w:rsidRPr="008A611A" w:rsidRDefault="008A611A" w:rsidP="008A611A">
      <w:pPr>
        <w:rPr>
          <w:lang w:val="en-US"/>
        </w:rPr>
      </w:pPr>
      <w:r w:rsidRPr="008A611A">
        <w:rPr>
          <w:lang w:val="en-US"/>
        </w:rPr>
        <w:t>The electricity consumption of the screener is modeled according to the consumption factor (kWh/</w:t>
      </w:r>
      <w:proofErr w:type="spellStart"/>
      <w:r w:rsidRPr="008A611A">
        <w:rPr>
          <w:lang w:val="en-US"/>
        </w:rPr>
        <w:t>tonHDDs</w:t>
      </w:r>
      <w:proofErr w:type="spellEnd"/>
      <w:r w:rsidRPr="008A611A">
        <w:rPr>
          <w:lang w:val="en-US"/>
        </w:rPr>
        <w:t xml:space="preserve">) of the classification step and the conveyor belts in the EXTRADE project. The individual consumption factor of the classification step is assumed as half of the factor provided because it is reported together with the magnetic separation step. </w:t>
      </w:r>
      <w:r w:rsidR="00FC48CD">
        <w:rPr>
          <w:lang w:val="en-US"/>
        </w:rPr>
        <w:t>Additionally</w:t>
      </w:r>
      <w:r w:rsidRPr="008A611A">
        <w:rPr>
          <w:lang w:val="en-US"/>
        </w:rPr>
        <w:t xml:space="preserve">, half of the factor reported to the conveyor belts is allocated to the classification step. Therefore, the electricity consumption factors are not upscaled or downscaled to adapt to the envisaged plant’s capacity. </w:t>
      </w:r>
    </w:p>
    <w:p w14:paraId="026A6C0E" w14:textId="77777777" w:rsidR="008A611A" w:rsidRPr="008A611A" w:rsidRDefault="008A611A" w:rsidP="008A611A">
      <w:pPr>
        <w:rPr>
          <w:lang w:val="en-US"/>
        </w:rPr>
      </w:pPr>
    </w:p>
    <w:p w14:paraId="5435E48D" w14:textId="2D0CAE60" w:rsidR="00512F92" w:rsidRDefault="008A611A" w:rsidP="008A611A">
      <w:pPr>
        <w:rPr>
          <w:lang w:val="en-US"/>
        </w:rPr>
      </w:pPr>
      <w:r w:rsidRPr="008A611A">
        <w:rPr>
          <w:lang w:val="en-US"/>
        </w:rPr>
        <w:t>For running a batch, the electricity consumption in the classification step is 2,00E+03 kWh.</w:t>
      </w:r>
    </w:p>
    <w:p w14:paraId="5A8A6F44" w14:textId="77777777" w:rsidR="008A611A" w:rsidRDefault="008A611A" w:rsidP="008A611A">
      <w:pPr>
        <w:rPr>
          <w:lang w:val="en-US"/>
        </w:rPr>
      </w:pPr>
    </w:p>
    <w:p w14:paraId="2958A812" w14:textId="219D8073" w:rsidR="00524C87" w:rsidRDefault="00524C87" w:rsidP="00050887">
      <w:pPr>
        <w:rPr>
          <w:b/>
          <w:bCs/>
          <w:lang w:val="en-US"/>
        </w:rPr>
      </w:pPr>
      <w:r w:rsidRPr="00524C87">
        <w:rPr>
          <w:b/>
          <w:bCs/>
          <w:lang w:val="en-US"/>
        </w:rPr>
        <w:t>Magnetic Separation unit process</w:t>
      </w:r>
    </w:p>
    <w:p w14:paraId="32557F97" w14:textId="150C8618" w:rsidR="004A114F" w:rsidRDefault="004A114F" w:rsidP="00050887">
      <w:pPr>
        <w:rPr>
          <w:b/>
          <w:bCs/>
          <w:lang w:val="en-US"/>
        </w:rPr>
      </w:pPr>
    </w:p>
    <w:p w14:paraId="6746991C" w14:textId="77777777" w:rsidR="00FC48CD" w:rsidRPr="00FC48CD" w:rsidRDefault="00FC48CD" w:rsidP="00FC48CD">
      <w:pPr>
        <w:rPr>
          <w:lang w:val="en-US"/>
        </w:rPr>
      </w:pPr>
      <w:r w:rsidRPr="00FC48CD">
        <w:rPr>
          <w:lang w:val="en-US"/>
        </w:rPr>
        <w:t>Note: again, the data for the magnetic separation step is linearly upscaled based on the data of the pilot-scale magnetic separation experiments carried at BRGM during the VALOMAG project.</w:t>
      </w:r>
    </w:p>
    <w:p w14:paraId="1A6CA848" w14:textId="77777777" w:rsidR="00FC48CD" w:rsidRPr="00FC48CD" w:rsidRDefault="00FC48CD" w:rsidP="00FC48CD">
      <w:pPr>
        <w:rPr>
          <w:lang w:val="en-US"/>
        </w:rPr>
      </w:pPr>
    </w:p>
    <w:p w14:paraId="55809537" w14:textId="7BECD4EE" w:rsidR="00FC48CD" w:rsidRPr="00FC48CD" w:rsidRDefault="00FC48CD" w:rsidP="00FC48CD">
      <w:pPr>
        <w:rPr>
          <w:lang w:val="en-US"/>
        </w:rPr>
      </w:pPr>
      <w:r w:rsidRPr="00FC48CD">
        <w:rPr>
          <w:lang w:val="en-US"/>
        </w:rPr>
        <w:t xml:space="preserve">After classifying the fragmented pieces of HDDs, the fine size fractions are put to a magnetic separation process to retrieve the magnetic material. The non-magnetic material follows another recycling route, whereas the magnetic material stays in the chain. In this sense, this unit process is modeled as multifunctional. The allocation of non-functional flows and environmental flows to the reference flow of the system is done according to the economic proceeds of the outflows (please, </w:t>
      </w:r>
      <w:r w:rsidR="00970B11">
        <w:rPr>
          <w:lang w:val="en-US"/>
        </w:rPr>
        <w:t>refer to</w:t>
      </w:r>
      <w:r w:rsidRPr="00FC48CD">
        <w:rPr>
          <w:lang w:val="en-US"/>
        </w:rPr>
        <w:t xml:space="preserve"> </w:t>
      </w:r>
      <w:r w:rsidR="00970B11">
        <w:rPr>
          <w:lang w:val="en-US"/>
        </w:rPr>
        <w:fldChar w:fldCharType="begin"/>
      </w:r>
      <w:r w:rsidR="00970B11">
        <w:rPr>
          <w:lang w:val="en-US"/>
        </w:rPr>
        <w:instrText xml:space="preserve"> REF _Ref74851102 \w \h </w:instrText>
      </w:r>
      <w:r w:rsidR="00970B11">
        <w:rPr>
          <w:lang w:val="en-US"/>
        </w:rPr>
      </w:r>
      <w:r w:rsidR="00970B11">
        <w:rPr>
          <w:lang w:val="en-US"/>
        </w:rPr>
        <w:fldChar w:fldCharType="separate"/>
      </w:r>
      <w:r w:rsidR="00970B11">
        <w:rPr>
          <w:lang w:val="en-US"/>
        </w:rPr>
        <w:t>appendix B</w:t>
      </w:r>
      <w:r w:rsidR="00970B11">
        <w:rPr>
          <w:lang w:val="en-US"/>
        </w:rPr>
        <w:fldChar w:fldCharType="end"/>
      </w:r>
      <w:r w:rsidR="00970B11">
        <w:rPr>
          <w:lang w:val="en-US"/>
        </w:rPr>
        <w:t xml:space="preserve"> </w:t>
      </w:r>
      <w:r w:rsidRPr="00FC48CD">
        <w:rPr>
          <w:lang w:val="en-US"/>
        </w:rPr>
        <w:t>for allocation factors). The process is envisaged to be done by a magnetic separator.</w:t>
      </w:r>
    </w:p>
    <w:p w14:paraId="40E94EA0" w14:textId="77777777" w:rsidR="00FC48CD" w:rsidRPr="00FC48CD" w:rsidRDefault="00FC48CD" w:rsidP="00FC48CD">
      <w:pPr>
        <w:rPr>
          <w:lang w:val="en-US"/>
        </w:rPr>
      </w:pPr>
    </w:p>
    <w:p w14:paraId="05690003" w14:textId="5C7DBF6F" w:rsidR="001B1837" w:rsidRDefault="00FC48CD" w:rsidP="00FC48CD">
      <w:pPr>
        <w:rPr>
          <w:lang w:val="en-US"/>
        </w:rPr>
      </w:pPr>
      <w:r w:rsidRPr="00FC48CD">
        <w:rPr>
          <w:lang w:val="en-US"/>
        </w:rPr>
        <w:t xml:space="preserve">Besides the name, the magnetic material still contains an amount of non-magnetic material. The magnet, in the magnetic material, presents a recovery rate of about 92%. Thus, about 8% of the </w:t>
      </w:r>
      <w:r w:rsidRPr="00FC48CD">
        <w:rPr>
          <w:lang w:val="en-US"/>
        </w:rPr>
        <w:lastRenderedPageBreak/>
        <w:t xml:space="preserve">magnets (in mass) are lost. The loss is modeled as </w:t>
      </w:r>
      <w:r w:rsidR="00C26152" w:rsidRPr="00FC48CD">
        <w:rPr>
          <w:lang w:val="en-US"/>
        </w:rPr>
        <w:t>dust and</w:t>
      </w:r>
      <w:r w:rsidRPr="00FC48CD">
        <w:rPr>
          <w:lang w:val="en-US"/>
        </w:rPr>
        <w:t xml:space="preserve"> considering the same assumption of </w:t>
      </w:r>
      <w:proofErr w:type="spellStart"/>
      <w:r w:rsidRPr="00D860E1">
        <w:rPr>
          <w:lang w:val="en-US"/>
        </w:rPr>
        <w:t>Hischier</w:t>
      </w:r>
      <w:proofErr w:type="spellEnd"/>
      <w:r w:rsidRPr="00D860E1">
        <w:rPr>
          <w:lang w:val="en-US"/>
        </w:rPr>
        <w:t xml:space="preserve"> et al. (2007),</w:t>
      </w:r>
      <w:r w:rsidRPr="00FC48CD">
        <w:rPr>
          <w:lang w:val="en-US"/>
        </w:rPr>
        <w:t xml:space="preserve"> about 0,1% of the dust is emitted into the air.</w:t>
      </w:r>
    </w:p>
    <w:p w14:paraId="32AE83CA" w14:textId="77777777" w:rsidR="006C6943" w:rsidRDefault="006C6943" w:rsidP="006C6943">
      <w:pPr>
        <w:rPr>
          <w:lang w:val="en-US"/>
        </w:rPr>
      </w:pPr>
    </w:p>
    <w:p w14:paraId="72E9F426" w14:textId="419BE104" w:rsidR="006C6943" w:rsidRDefault="006C6943" w:rsidP="006C6943">
      <w:pPr>
        <w:rPr>
          <w:lang w:val="en-US"/>
        </w:rPr>
      </w:pPr>
      <w:r>
        <w:rPr>
          <w:lang w:val="en-US"/>
        </w:rPr>
        <w:t xml:space="preserve">Please, refer to </w:t>
      </w:r>
      <w:r w:rsidR="00D860E1">
        <w:rPr>
          <w:lang w:val="en-US"/>
        </w:rPr>
        <w:fldChar w:fldCharType="begin"/>
      </w:r>
      <w:r w:rsidR="00D860E1">
        <w:rPr>
          <w:lang w:val="en-US"/>
        </w:rPr>
        <w:instrText xml:space="preserve"> REF _Ref74851102 \w \h </w:instrText>
      </w:r>
      <w:r w:rsidR="00D860E1">
        <w:rPr>
          <w:lang w:val="en-US"/>
        </w:rPr>
      </w:r>
      <w:r w:rsidR="00D860E1">
        <w:rPr>
          <w:lang w:val="en-US"/>
        </w:rPr>
        <w:fldChar w:fldCharType="separate"/>
      </w:r>
      <w:r w:rsidR="00D860E1">
        <w:rPr>
          <w:lang w:val="en-US"/>
        </w:rPr>
        <w:t>appendix B</w:t>
      </w:r>
      <w:r w:rsidR="00D860E1">
        <w:rPr>
          <w:lang w:val="en-US"/>
        </w:rPr>
        <w:fldChar w:fldCharType="end"/>
      </w:r>
      <w:r w:rsidR="00D860E1">
        <w:rPr>
          <w:lang w:val="en-US"/>
        </w:rPr>
        <w:t xml:space="preserve"> </w:t>
      </w:r>
      <w:r>
        <w:rPr>
          <w:lang w:val="en-US"/>
        </w:rPr>
        <w:t xml:space="preserve">for the detailed calculations.  </w:t>
      </w:r>
    </w:p>
    <w:p w14:paraId="7C75948D" w14:textId="77777777" w:rsidR="006C6943" w:rsidRDefault="006C6943" w:rsidP="00050887">
      <w:pPr>
        <w:rPr>
          <w:lang w:val="en-US"/>
        </w:rPr>
      </w:pPr>
    </w:p>
    <w:p w14:paraId="2D0FB744" w14:textId="439D1684" w:rsidR="0017364C" w:rsidRDefault="006C6943" w:rsidP="00050887">
      <w:pPr>
        <w:rPr>
          <w:lang w:val="en-US"/>
        </w:rPr>
      </w:pPr>
      <w:r w:rsidRPr="006C6943">
        <w:rPr>
          <w:lang w:val="en-US"/>
        </w:rPr>
        <w:t xml:space="preserve">The input into the magnetic separation process is 3,43E+03 kg of fine size materials for running a batch. The output consists of 4,40E+02 kg of magnets, 2,95E+03 of non-magnetic material, and 3,62E+01 kg of dust. The dust is assumed to go to treatment as “treatment of fly ash and scrubber sludge, hazardous waste incineration.”  </w:t>
      </w:r>
    </w:p>
    <w:p w14:paraId="5F89E46F" w14:textId="77777777" w:rsidR="006C6943" w:rsidRDefault="006C6943" w:rsidP="0017364C">
      <w:pPr>
        <w:rPr>
          <w:strike/>
          <w:lang w:val="en-US"/>
        </w:rPr>
      </w:pPr>
    </w:p>
    <w:p w14:paraId="56BE85B8" w14:textId="77777777" w:rsidR="006C6943" w:rsidRPr="006C6943" w:rsidRDefault="006C6943" w:rsidP="006C6943">
      <w:pPr>
        <w:rPr>
          <w:lang w:val="en-US"/>
        </w:rPr>
      </w:pPr>
      <w:r w:rsidRPr="006C6943">
        <w:rPr>
          <w:lang w:val="en-US"/>
        </w:rPr>
        <w:t>The electricity consumption of the magnetic separator is modeled according to the consumption factor (kWh/</w:t>
      </w:r>
      <w:proofErr w:type="spellStart"/>
      <w:r w:rsidRPr="006C6943">
        <w:rPr>
          <w:lang w:val="en-US"/>
        </w:rPr>
        <w:t>tonHDDs</w:t>
      </w:r>
      <w:proofErr w:type="spellEnd"/>
      <w:r w:rsidRPr="006C6943">
        <w:rPr>
          <w:lang w:val="en-US"/>
        </w:rPr>
        <w:t xml:space="preserve">) of the magnetic separation step and the conveyor belts in the EXTRADE project. The individual consumption factor of the magnetic separation step is assumed as the same as the calculated for the classification process diminished by half of it. This is because in the EXTRADE report, there was no grinding step, and therefore the other half is allocated to make up the grinding step electricity consumption factor. The consumption factors are not upscaled or downscaled to adapt to the envisaged plant’s capacity. </w:t>
      </w:r>
    </w:p>
    <w:p w14:paraId="661CB7C3" w14:textId="77777777" w:rsidR="006C6943" w:rsidRPr="006C6943" w:rsidRDefault="006C6943" w:rsidP="006C6943">
      <w:pPr>
        <w:rPr>
          <w:lang w:val="en-US"/>
        </w:rPr>
      </w:pPr>
    </w:p>
    <w:p w14:paraId="3FE7231D" w14:textId="76C29E76" w:rsidR="0017364C" w:rsidRDefault="006C6943" w:rsidP="006C6943">
      <w:pPr>
        <w:rPr>
          <w:lang w:val="en-US"/>
        </w:rPr>
      </w:pPr>
      <w:r w:rsidRPr="006C6943">
        <w:rPr>
          <w:lang w:val="en-US"/>
        </w:rPr>
        <w:t>For running a batch, the electricity consumption in the magnetic separation step is 9,98E+02 kWh.</w:t>
      </w:r>
    </w:p>
    <w:p w14:paraId="3F48DAD3" w14:textId="68FFA698" w:rsidR="00D52F90" w:rsidRDefault="00D52F90" w:rsidP="00E57E02">
      <w:pPr>
        <w:rPr>
          <w:lang w:val="en-US"/>
        </w:rPr>
      </w:pPr>
    </w:p>
    <w:p w14:paraId="32A6FC2C" w14:textId="03E6A294" w:rsidR="00D52F90" w:rsidRDefault="00D52F90" w:rsidP="00E57E02">
      <w:pPr>
        <w:rPr>
          <w:b/>
          <w:bCs/>
          <w:lang w:val="en-US"/>
        </w:rPr>
      </w:pPr>
      <w:r w:rsidRPr="00D52F90">
        <w:rPr>
          <w:b/>
          <w:bCs/>
          <w:lang w:val="en-US"/>
        </w:rPr>
        <w:t>Grinding unit process</w:t>
      </w:r>
    </w:p>
    <w:p w14:paraId="03C8E4FF" w14:textId="77777777" w:rsidR="00A71AC4" w:rsidRDefault="00A71AC4" w:rsidP="00E57E02">
      <w:pPr>
        <w:rPr>
          <w:lang w:val="en-US"/>
        </w:rPr>
      </w:pPr>
    </w:p>
    <w:p w14:paraId="07C47617" w14:textId="77777777" w:rsidR="006C6943" w:rsidRPr="006C6943" w:rsidRDefault="006C6943" w:rsidP="006C6943">
      <w:pPr>
        <w:rPr>
          <w:lang w:val="en-US"/>
        </w:rPr>
      </w:pPr>
      <w:r w:rsidRPr="006C6943">
        <w:rPr>
          <w:lang w:val="en-US"/>
        </w:rPr>
        <w:t>Note: the assumptions for the grinding step derives from personal communication with BRGM experts and literature. A pilot-scale experiment has not been performed for the grinding process in the VALOMAG project to gather data. However, the former EXTRADE project executed a lab-scale experiment for grinding, which was helpful to linear upscale the amount of nitrogen gas used.</w:t>
      </w:r>
    </w:p>
    <w:p w14:paraId="16F30615" w14:textId="77777777" w:rsidR="006C6943" w:rsidRPr="006C6943" w:rsidRDefault="006C6943" w:rsidP="006C6943">
      <w:pPr>
        <w:rPr>
          <w:lang w:val="en-US"/>
        </w:rPr>
      </w:pPr>
    </w:p>
    <w:p w14:paraId="043D102D" w14:textId="77777777" w:rsidR="006C6943" w:rsidRPr="006C6943" w:rsidRDefault="006C6943" w:rsidP="006C6943">
      <w:pPr>
        <w:rPr>
          <w:lang w:val="en-US"/>
        </w:rPr>
      </w:pPr>
      <w:r w:rsidRPr="006C6943">
        <w:rPr>
          <w:lang w:val="en-US"/>
        </w:rPr>
        <w:t xml:space="preserve">The magnet outflow from the magnetic separation unit process needs to be minced to the size of 1 mm to optimize reactivity in the metal extraction phase (leaching). The grinding process is performed by a machine, which does the work in a nitrogen-rich atmosphere to avoid oxidation. The amount of nitrogen gas used is 3,67E+01 kg per batch.  As this is a cutting process, it is </w:t>
      </w:r>
      <w:r w:rsidRPr="006C6943">
        <w:rPr>
          <w:lang w:val="en-US"/>
        </w:rPr>
        <w:lastRenderedPageBreak/>
        <w:t xml:space="preserve">assumed that losses occur. Aligning with losses in the chain, it is assumed that 5% of the input becomes dust, and agreeing with </w:t>
      </w:r>
      <w:proofErr w:type="spellStart"/>
      <w:r w:rsidRPr="00006F26">
        <w:rPr>
          <w:lang w:val="en-US"/>
        </w:rPr>
        <w:t>Hischier</w:t>
      </w:r>
      <w:proofErr w:type="spellEnd"/>
      <w:r w:rsidRPr="00006F26">
        <w:rPr>
          <w:lang w:val="en-US"/>
        </w:rPr>
        <w:t xml:space="preserve"> et al. (2007)</w:t>
      </w:r>
      <w:r w:rsidRPr="006C6943">
        <w:rPr>
          <w:lang w:val="en-US"/>
        </w:rPr>
        <w:t xml:space="preserve">, 0,1% ends up into the air. </w:t>
      </w:r>
    </w:p>
    <w:p w14:paraId="35A238D5" w14:textId="77777777" w:rsidR="006C6943" w:rsidRPr="006C6943" w:rsidRDefault="006C6943" w:rsidP="006C6943">
      <w:pPr>
        <w:rPr>
          <w:lang w:val="en-US"/>
        </w:rPr>
      </w:pPr>
    </w:p>
    <w:p w14:paraId="7FD5CC55" w14:textId="473E5FA9" w:rsidR="001E045A" w:rsidRDefault="006C6943" w:rsidP="006C6943">
      <w:pPr>
        <w:rPr>
          <w:lang w:val="en-US"/>
        </w:rPr>
      </w:pPr>
      <w:r w:rsidRPr="006C6943">
        <w:rPr>
          <w:lang w:val="en-US"/>
        </w:rPr>
        <w:t>For running a batch, the input of magnets into the grinding process is 4,40E+02 kg, and the output consists of 4,20E+02 kg of magnets ground to 1 mm and 1,98E+01 kg of dust. The dust is assumed to go to treatment as “treatment of fly ash and scrubber sludge, hazardous waste incineration.”</w:t>
      </w:r>
    </w:p>
    <w:p w14:paraId="3EE8C464" w14:textId="77777777" w:rsidR="006C6943" w:rsidRDefault="006C6943" w:rsidP="006C6943">
      <w:pPr>
        <w:rPr>
          <w:lang w:val="en-US"/>
        </w:rPr>
      </w:pPr>
    </w:p>
    <w:p w14:paraId="15D906AC" w14:textId="43B1A61C" w:rsidR="004C5B6B" w:rsidRDefault="004C5B6B" w:rsidP="004C5B6B">
      <w:pPr>
        <w:rPr>
          <w:lang w:val="en-US"/>
        </w:rPr>
      </w:pPr>
      <w:r>
        <w:rPr>
          <w:lang w:val="en-US"/>
        </w:rPr>
        <w:t xml:space="preserve">Please, refer to </w:t>
      </w:r>
      <w:r w:rsidR="00006F26">
        <w:rPr>
          <w:lang w:val="en-US"/>
        </w:rPr>
        <w:fldChar w:fldCharType="begin"/>
      </w:r>
      <w:r w:rsidR="00006F26">
        <w:rPr>
          <w:lang w:val="en-US"/>
        </w:rPr>
        <w:instrText xml:space="preserve"> REF _Ref74851102 \w \h </w:instrText>
      </w:r>
      <w:r w:rsidR="00006F26">
        <w:rPr>
          <w:lang w:val="en-US"/>
        </w:rPr>
      </w:r>
      <w:r w:rsidR="00006F26">
        <w:rPr>
          <w:lang w:val="en-US"/>
        </w:rPr>
        <w:fldChar w:fldCharType="separate"/>
      </w:r>
      <w:r w:rsidR="00006F26">
        <w:rPr>
          <w:lang w:val="en-US"/>
        </w:rPr>
        <w:t>appendix B</w:t>
      </w:r>
      <w:r w:rsidR="00006F26">
        <w:rPr>
          <w:lang w:val="en-US"/>
        </w:rPr>
        <w:fldChar w:fldCharType="end"/>
      </w:r>
      <w:r w:rsidR="00006F26">
        <w:rPr>
          <w:lang w:val="en-US"/>
        </w:rPr>
        <w:t xml:space="preserve"> </w:t>
      </w:r>
      <w:r>
        <w:rPr>
          <w:lang w:val="en-US"/>
        </w:rPr>
        <w:t>for the detailed calculations.</w:t>
      </w:r>
    </w:p>
    <w:p w14:paraId="30F380BD" w14:textId="089E9965" w:rsidR="001E045A" w:rsidRDefault="001E045A" w:rsidP="004C5B6B">
      <w:pPr>
        <w:rPr>
          <w:lang w:val="en-US"/>
        </w:rPr>
      </w:pPr>
    </w:p>
    <w:p w14:paraId="1B210342" w14:textId="630BD351" w:rsidR="001E045A" w:rsidRDefault="001E045A" w:rsidP="001E045A">
      <w:pPr>
        <w:rPr>
          <w:lang w:val="en-US"/>
        </w:rPr>
      </w:pPr>
      <w:r>
        <w:rPr>
          <w:lang w:val="en-US"/>
        </w:rPr>
        <w:t>T</w:t>
      </w:r>
      <w:r w:rsidRPr="00274F27">
        <w:rPr>
          <w:lang w:val="en-US"/>
        </w:rPr>
        <w:t>he</w:t>
      </w:r>
      <w:r>
        <w:rPr>
          <w:lang w:val="en-US"/>
        </w:rPr>
        <w:t xml:space="preserve"> </w:t>
      </w:r>
      <w:r w:rsidRPr="00274F27">
        <w:rPr>
          <w:lang w:val="en-US"/>
        </w:rPr>
        <w:t>electricity</w:t>
      </w:r>
      <w:r>
        <w:rPr>
          <w:lang w:val="en-US"/>
        </w:rPr>
        <w:t xml:space="preserve"> consumption of the grinding machine is modeled according to the consumption factor</w:t>
      </w:r>
      <w:r w:rsidR="00B80013">
        <w:rPr>
          <w:lang w:val="en-US"/>
        </w:rPr>
        <w:t>s</w:t>
      </w:r>
      <w:r>
        <w:rPr>
          <w:lang w:val="en-US"/>
        </w:rPr>
        <w:t xml:space="preserve"> (kWh/</w:t>
      </w:r>
      <w:proofErr w:type="spellStart"/>
      <w:r>
        <w:rPr>
          <w:lang w:val="en-US"/>
        </w:rPr>
        <w:t>tonHDDs</w:t>
      </w:r>
      <w:proofErr w:type="spellEnd"/>
      <w:r>
        <w:rPr>
          <w:lang w:val="en-US"/>
        </w:rPr>
        <w:t>)</w:t>
      </w:r>
      <w:r w:rsidR="00B80013">
        <w:rPr>
          <w:lang w:val="en-US"/>
        </w:rPr>
        <w:t xml:space="preserve"> reported in the EXTRADE project,</w:t>
      </w:r>
      <w:r w:rsidR="00C40290">
        <w:rPr>
          <w:lang w:val="en-US"/>
        </w:rPr>
        <w:t xml:space="preserve"> </w:t>
      </w:r>
      <w:r w:rsidR="00B80013">
        <w:rPr>
          <w:lang w:val="en-US"/>
        </w:rPr>
        <w:t>a</w:t>
      </w:r>
      <w:r>
        <w:rPr>
          <w:lang w:val="en-US"/>
        </w:rPr>
        <w:t>lready explained in the magnetic separation step</w:t>
      </w:r>
      <w:r w:rsidR="00B80013">
        <w:rPr>
          <w:lang w:val="en-US"/>
        </w:rPr>
        <w:t>.</w:t>
      </w:r>
    </w:p>
    <w:p w14:paraId="5C86B665" w14:textId="77777777" w:rsidR="001E045A" w:rsidRDefault="001E045A" w:rsidP="001E045A">
      <w:pPr>
        <w:rPr>
          <w:lang w:val="en-US"/>
        </w:rPr>
      </w:pPr>
    </w:p>
    <w:p w14:paraId="476F7D26" w14:textId="7AC4BB5B" w:rsidR="001E045A" w:rsidRDefault="001E045A" w:rsidP="004C5B6B">
      <w:pPr>
        <w:rPr>
          <w:lang w:val="en-US"/>
        </w:rPr>
      </w:pPr>
      <w:r>
        <w:rPr>
          <w:lang w:val="en-US"/>
        </w:rPr>
        <w:t xml:space="preserve">For running a batch, the electricity consumption in the </w:t>
      </w:r>
      <w:r w:rsidR="00C40290">
        <w:rPr>
          <w:lang w:val="en-US"/>
        </w:rPr>
        <w:t>grinding</w:t>
      </w:r>
      <w:r>
        <w:rPr>
          <w:lang w:val="en-US"/>
        </w:rPr>
        <w:t xml:space="preserve"> step is 9,98E+02 kWh.</w:t>
      </w:r>
    </w:p>
    <w:p w14:paraId="0915A913" w14:textId="1F0403BD" w:rsidR="002C1665" w:rsidRDefault="002C1665" w:rsidP="004C5B6B">
      <w:pPr>
        <w:rPr>
          <w:lang w:val="en-US"/>
        </w:rPr>
      </w:pPr>
    </w:p>
    <w:p w14:paraId="78102839" w14:textId="1D309B02" w:rsidR="002C1665" w:rsidRDefault="002C1665" w:rsidP="004C5B6B">
      <w:pPr>
        <w:rPr>
          <w:b/>
          <w:bCs/>
          <w:lang w:val="en-US"/>
        </w:rPr>
      </w:pPr>
      <w:r>
        <w:rPr>
          <w:b/>
          <w:bCs/>
          <w:lang w:val="en-US"/>
        </w:rPr>
        <w:t>Leaching unit process</w:t>
      </w:r>
    </w:p>
    <w:p w14:paraId="6CB76E25" w14:textId="540985A7" w:rsidR="00A5559A" w:rsidRDefault="00A5559A" w:rsidP="004C5B6B">
      <w:pPr>
        <w:rPr>
          <w:b/>
          <w:bCs/>
          <w:lang w:val="en-US"/>
        </w:rPr>
      </w:pPr>
    </w:p>
    <w:p w14:paraId="02B2D4FD" w14:textId="77777777" w:rsidR="004C02B9" w:rsidRPr="004C02B9" w:rsidRDefault="004C02B9" w:rsidP="004C02B9">
      <w:pPr>
        <w:rPr>
          <w:lang w:val="en-US"/>
        </w:rPr>
      </w:pPr>
      <w:r w:rsidRPr="004C02B9">
        <w:rPr>
          <w:lang w:val="en-US"/>
        </w:rPr>
        <w:t xml:space="preserve">Note: the assumptions for the leaching step derives from personal communication with BRGM experts and literature. The mass balance for this process is according to the stoichiometry of the leaching reaction: Nd3+ +3CH3COO- </w:t>
      </w:r>
      <w:r w:rsidRPr="004C02B9">
        <w:rPr>
          <w:rFonts w:ascii="Cambria Math" w:hAnsi="Cambria Math" w:cs="Cambria Math"/>
          <w:lang w:val="en-US"/>
        </w:rPr>
        <w:t>⇌</w:t>
      </w:r>
      <w:r w:rsidRPr="004C02B9">
        <w:rPr>
          <w:lang w:val="en-US"/>
        </w:rPr>
        <w:t xml:space="preserve"> Nd (COOCH3)3. </w:t>
      </w:r>
    </w:p>
    <w:p w14:paraId="21A19BC5" w14:textId="77777777" w:rsidR="004C02B9" w:rsidRPr="004C02B9" w:rsidRDefault="004C02B9" w:rsidP="004C02B9">
      <w:pPr>
        <w:rPr>
          <w:lang w:val="en-US"/>
        </w:rPr>
      </w:pPr>
    </w:p>
    <w:p w14:paraId="23A8F0C1" w14:textId="1B1E6BCF" w:rsidR="0011135B" w:rsidRDefault="004C02B9" w:rsidP="004C02B9">
      <w:pPr>
        <w:rPr>
          <w:lang w:val="en-US"/>
        </w:rPr>
      </w:pPr>
      <w:r w:rsidRPr="004C02B9">
        <w:rPr>
          <w:lang w:val="en-US"/>
        </w:rPr>
        <w:t>The pretreatment phase ends with the grinding process. Then, the magnetic powder is ready to enter the metal extraction phase, starting with the leaching step. The leaching reagent is a solution of acetic acid at 10%, and the pulp density (solid-liquid ratio) is assumed to be 5%, according to personal communication with BRGM experts. The former EXTRADE project reported that acetic acid could be regenerated within the recycling chain (at the precipitation step). In this route, for a single run, 36,4% of acetic acid needs comes from the own system, and the rest is supplied “fresh” from the market. In consultation with experts, this step does not release any considerable direct emission into the air and occurs in a reactor.</w:t>
      </w:r>
    </w:p>
    <w:p w14:paraId="791AB39F" w14:textId="77777777" w:rsidR="004C02B9" w:rsidRDefault="004C02B9" w:rsidP="004C02B9">
      <w:pPr>
        <w:rPr>
          <w:lang w:val="en-US"/>
        </w:rPr>
      </w:pPr>
    </w:p>
    <w:p w14:paraId="27144E3F" w14:textId="05E7262A" w:rsidR="004C02B9" w:rsidRPr="004C02B9" w:rsidRDefault="004C02B9" w:rsidP="004C02B9">
      <w:pPr>
        <w:rPr>
          <w:lang w:val="en-US"/>
        </w:rPr>
      </w:pPr>
      <w:r w:rsidRPr="004C02B9">
        <w:rPr>
          <w:lang w:val="en-US"/>
        </w:rPr>
        <w:t>According to literature, a leaching reactor is jacketed to control the leaching temperature at an optimum by circulating hot water within the jacket. In personal communication with BRGM experts, the optimum reaction temperature is 30</w:t>
      </w:r>
      <w:r w:rsidRPr="00110BA1">
        <w:rPr>
          <w:vertAlign w:val="superscript"/>
          <w:lang w:val="en-US"/>
        </w:rPr>
        <w:t>o</w:t>
      </w:r>
      <w:r w:rsidRPr="004C02B9">
        <w:rPr>
          <w:lang w:val="en-US"/>
        </w:rPr>
        <w:t xml:space="preserve">C. A condensing modulating boiler fueled by </w:t>
      </w:r>
      <w:r w:rsidRPr="004C02B9">
        <w:rPr>
          <w:lang w:val="en-US"/>
        </w:rPr>
        <w:lastRenderedPageBreak/>
        <w:t xml:space="preserve">natural gas is modeled as the heating source here. A boiler requiring a power of 51 kW can operate at the maximum temperature of 90 </w:t>
      </w:r>
      <w:proofErr w:type="spellStart"/>
      <w:r w:rsidRPr="00260A3B">
        <w:rPr>
          <w:vertAlign w:val="superscript"/>
          <w:lang w:val="en-US"/>
        </w:rPr>
        <w:t>o</w:t>
      </w:r>
      <w:r w:rsidRPr="004C02B9">
        <w:rPr>
          <w:lang w:val="en-US"/>
        </w:rPr>
        <w:t>C</w:t>
      </w:r>
      <w:proofErr w:type="spellEnd"/>
      <w:r w:rsidRPr="004C02B9">
        <w:rPr>
          <w:lang w:val="en-US"/>
        </w:rPr>
        <w:t xml:space="preserve"> </w:t>
      </w:r>
      <w:r w:rsidR="00260A3B">
        <w:rPr>
          <w:lang w:val="en-US"/>
        </w:rPr>
        <w:fldChar w:fldCharType="begin" w:fldLock="1"/>
      </w:r>
      <w:r w:rsidR="00260A3B">
        <w:rPr>
          <w:lang w:val="en-US"/>
        </w:rPr>
        <w:instrText>ADDIN CSL_CITATION {"citationItems":[{"id":"ITEM-1","itemData":{"DOI":"10.1016/B978-0-08-102057-9.00013-5","ISBN":"9780081020579","abstract":"The objective of this chapter is to describe a mobile demonstration plant for the recovery of metals from waste electrical and electronic equipment and other waste such as spent batteries and exhausted industrial catalysts. The plant was designed within the European FP7 framework HydroWEEE demo (2012-16) and can offer an effective proposal to addressing the problem of electronic waste, reducing the environmental impact of their incorrect disposal, recovering critical materials such as rare earths and precious elements, and giving economic benefits.","author":[{"dropping-particle":"","family":"Michelis","given":"Ida","non-dropping-particle":"De","parse-names":false,"suffix":""},{"dropping-particle":"","family":"Kopacek","given":"Bernd","non-dropping-particle":"","parse-names":false,"suffix":""}],"container-title":"Waste Electrical and Electronic Equipment Recycling: Aqueous Recovery Methods","id":"ITEM-1","issued":{"date-parts":[["2018"]]},"number-of-pages":"357-383","publisher":"Elsevier Ltd","title":"HydroWEEE project: Design and construction of a mobile demonstration plant","type":"book"},"uris":["http://www.mendeley.com/documents/?uuid=7fd8bcc0-6213-4007-9959-5aaf14b12b8d"]}],"mendeley":{"formattedCitation":"(De Michelis &amp; Kopacek, 2018)","plainTextFormattedCitation":"(De Michelis &amp; Kopacek, 2018)","previouslyFormattedCitation":"(De Michelis &amp; Kopacek, 2018)"},"properties":{"noteIndex":0},"schema":"https://github.com/citation-style-language/schema/raw/master/csl-citation.json"}</w:instrText>
      </w:r>
      <w:r w:rsidR="00260A3B">
        <w:rPr>
          <w:lang w:val="en-US"/>
        </w:rPr>
        <w:fldChar w:fldCharType="separate"/>
      </w:r>
      <w:r w:rsidR="00260A3B" w:rsidRPr="00260A3B">
        <w:rPr>
          <w:noProof/>
          <w:lang w:val="en-US"/>
        </w:rPr>
        <w:t>(De Michelis &amp; Kopacek, 2018)</w:t>
      </w:r>
      <w:r w:rsidR="00260A3B">
        <w:rPr>
          <w:lang w:val="en-US"/>
        </w:rPr>
        <w:fldChar w:fldCharType="end"/>
      </w:r>
      <w:r w:rsidRPr="004C02B9">
        <w:rPr>
          <w:lang w:val="en-US"/>
        </w:rPr>
        <w:t xml:space="preserve">. If leaching takes 7 hours </w:t>
      </w:r>
      <w:r w:rsidR="00260A3B">
        <w:rPr>
          <w:lang w:val="en-US"/>
        </w:rPr>
        <w:fldChar w:fldCharType="begin" w:fldLock="1"/>
      </w:r>
      <w:r w:rsidR="004D28D1">
        <w:rPr>
          <w:lang w:val="en-US"/>
        </w:rPr>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2020)","plainTextFormattedCitation":"(Beylot et al., 2020)","previouslyFormattedCitation":"(Beylot et al., 2020)"},"properties":{"noteIndex":0},"schema":"https://github.com/citation-style-language/schema/raw/master/csl-citation.json"}</w:instrText>
      </w:r>
      <w:r w:rsidR="00260A3B">
        <w:rPr>
          <w:lang w:val="en-US"/>
        </w:rPr>
        <w:fldChar w:fldCharType="separate"/>
      </w:r>
      <w:r w:rsidR="00260A3B" w:rsidRPr="00260A3B">
        <w:rPr>
          <w:noProof/>
          <w:lang w:val="en-US"/>
        </w:rPr>
        <w:t>(Beylot et al., 2020)</w:t>
      </w:r>
      <w:r w:rsidR="00260A3B">
        <w:rPr>
          <w:lang w:val="en-US"/>
        </w:rPr>
        <w:fldChar w:fldCharType="end"/>
      </w:r>
      <w:r w:rsidRPr="004C02B9">
        <w:rPr>
          <w:lang w:val="en-US"/>
        </w:rPr>
        <w:t xml:space="preserve"> the heating produced by such boiler in a month is 3,86E+01 MJ, assuming no losses. </w:t>
      </w:r>
    </w:p>
    <w:p w14:paraId="510AA00D" w14:textId="77777777" w:rsidR="004C02B9" w:rsidRPr="004C02B9" w:rsidRDefault="004C02B9" w:rsidP="004C02B9">
      <w:pPr>
        <w:rPr>
          <w:lang w:val="en-US"/>
        </w:rPr>
      </w:pPr>
    </w:p>
    <w:p w14:paraId="1F255BC3" w14:textId="4E27FE8F" w:rsidR="002E707B" w:rsidRDefault="004C02B9" w:rsidP="004C02B9">
      <w:pPr>
        <w:rPr>
          <w:lang w:val="en-US"/>
        </w:rPr>
      </w:pPr>
      <w:r w:rsidRPr="004C02B9">
        <w:rPr>
          <w:lang w:val="en-US"/>
        </w:rPr>
        <w:t>For running a batch, the input of magnetic powder into the leaching step is 4,20E+02 kg, and the amount of acetic acid solution at 10% is 8,40E+03 l. The output of the solid-liquid suspension weights 8,82E+03 kg.</w:t>
      </w:r>
    </w:p>
    <w:p w14:paraId="6F5D8C96" w14:textId="77777777" w:rsidR="00110BA1" w:rsidRDefault="00110BA1" w:rsidP="004C02B9">
      <w:pPr>
        <w:rPr>
          <w:lang w:val="en-US"/>
        </w:rPr>
      </w:pPr>
    </w:p>
    <w:p w14:paraId="5EB675F2" w14:textId="0F607C94" w:rsidR="00BC35D6" w:rsidRDefault="00BC35D6" w:rsidP="00BC35D6">
      <w:pPr>
        <w:rPr>
          <w:lang w:val="en-US"/>
        </w:rPr>
      </w:pPr>
      <w:r>
        <w:rPr>
          <w:lang w:val="en-US"/>
        </w:rPr>
        <w:t xml:space="preserve">Please, refer to </w:t>
      </w:r>
      <w:r w:rsidR="00A74A25">
        <w:rPr>
          <w:lang w:val="en-US"/>
        </w:rPr>
        <w:fldChar w:fldCharType="begin"/>
      </w:r>
      <w:r w:rsidR="00A74A25">
        <w:rPr>
          <w:lang w:val="en-US"/>
        </w:rPr>
        <w:instrText xml:space="preserve"> REF _Ref74851102 \w \h </w:instrText>
      </w:r>
      <w:r w:rsidR="00A74A25">
        <w:rPr>
          <w:lang w:val="en-US"/>
        </w:rPr>
      </w:r>
      <w:r w:rsidR="00A74A25">
        <w:rPr>
          <w:lang w:val="en-US"/>
        </w:rPr>
        <w:fldChar w:fldCharType="separate"/>
      </w:r>
      <w:r w:rsidR="00A74A25">
        <w:rPr>
          <w:lang w:val="en-US"/>
        </w:rPr>
        <w:t>appendix B</w:t>
      </w:r>
      <w:r w:rsidR="00A74A25">
        <w:rPr>
          <w:lang w:val="en-US"/>
        </w:rPr>
        <w:fldChar w:fldCharType="end"/>
      </w:r>
      <w:r w:rsidR="00A74A25">
        <w:rPr>
          <w:lang w:val="en-US"/>
        </w:rPr>
        <w:t xml:space="preserve"> </w:t>
      </w:r>
      <w:r>
        <w:rPr>
          <w:lang w:val="en-US"/>
        </w:rPr>
        <w:t xml:space="preserve">for the detailed calculations.  </w:t>
      </w:r>
    </w:p>
    <w:p w14:paraId="1FD9645C" w14:textId="71EBD8B0" w:rsidR="002E707B" w:rsidRDefault="002E707B" w:rsidP="00BC35D6">
      <w:pPr>
        <w:rPr>
          <w:lang w:val="en-US"/>
        </w:rPr>
      </w:pPr>
    </w:p>
    <w:p w14:paraId="5710E56E" w14:textId="77777777" w:rsidR="00110BA1" w:rsidRPr="00110BA1" w:rsidRDefault="00110BA1" w:rsidP="00110BA1">
      <w:pPr>
        <w:rPr>
          <w:lang w:val="en-US"/>
        </w:rPr>
      </w:pPr>
      <w:r w:rsidRPr="00110BA1">
        <w:rPr>
          <w:lang w:val="en-US"/>
        </w:rPr>
        <w:t>The electricity consumption of the reactor is modeled according to the consumption factor (kWh/</w:t>
      </w:r>
      <w:proofErr w:type="spellStart"/>
      <w:r w:rsidRPr="00110BA1">
        <w:rPr>
          <w:lang w:val="en-US"/>
        </w:rPr>
        <w:t>tonHDDs</w:t>
      </w:r>
      <w:proofErr w:type="spellEnd"/>
      <w:r w:rsidRPr="00110BA1">
        <w:rPr>
          <w:lang w:val="en-US"/>
        </w:rPr>
        <w:t xml:space="preserve">) of the leaching step in the EXTRADE project. The individual consumption factor of the leaching step is assumed as half of the factor provided because it is reported together with the precipitation step. Therefore, the consumption factor is not upscaled or downscaled to adapt to the envisaged plant’s capacity. </w:t>
      </w:r>
    </w:p>
    <w:p w14:paraId="3E3E987C" w14:textId="77777777" w:rsidR="00110BA1" w:rsidRPr="00110BA1" w:rsidRDefault="00110BA1" w:rsidP="00110BA1">
      <w:pPr>
        <w:rPr>
          <w:lang w:val="en-US"/>
        </w:rPr>
      </w:pPr>
    </w:p>
    <w:p w14:paraId="7FE4CBC6" w14:textId="026C99A1" w:rsidR="002E707B" w:rsidRDefault="00110BA1" w:rsidP="00110BA1">
      <w:pPr>
        <w:rPr>
          <w:lang w:val="en-US"/>
        </w:rPr>
      </w:pPr>
      <w:r w:rsidRPr="00110BA1">
        <w:rPr>
          <w:lang w:val="en-US"/>
        </w:rPr>
        <w:t>For running a batch, the electricity consumption in the magnetic separation step is 7,73E+02 kWh.</w:t>
      </w:r>
    </w:p>
    <w:p w14:paraId="5AF82613" w14:textId="7CD99CFC" w:rsidR="0049221E" w:rsidRPr="0049221E" w:rsidRDefault="0049221E" w:rsidP="00BC35D6">
      <w:pPr>
        <w:rPr>
          <w:b/>
          <w:bCs/>
          <w:lang w:val="en-US"/>
        </w:rPr>
      </w:pPr>
    </w:p>
    <w:p w14:paraId="436879F1" w14:textId="2634091C" w:rsidR="0049221E" w:rsidRDefault="0049221E" w:rsidP="00BC35D6">
      <w:pPr>
        <w:rPr>
          <w:b/>
          <w:bCs/>
          <w:lang w:val="en-US"/>
        </w:rPr>
      </w:pPr>
      <w:r w:rsidRPr="0049221E">
        <w:rPr>
          <w:b/>
          <w:bCs/>
          <w:lang w:val="en-US"/>
        </w:rPr>
        <w:t>Filtration 1 unit process</w:t>
      </w:r>
    </w:p>
    <w:p w14:paraId="354E4865" w14:textId="77777777" w:rsidR="0049221E" w:rsidRPr="0049221E" w:rsidRDefault="0049221E" w:rsidP="00BC35D6">
      <w:pPr>
        <w:rPr>
          <w:lang w:val="en-US"/>
        </w:rPr>
      </w:pPr>
    </w:p>
    <w:p w14:paraId="012FCA9D" w14:textId="77777777" w:rsidR="004A2787" w:rsidRPr="004A2787" w:rsidRDefault="004A2787" w:rsidP="004A2787">
      <w:pPr>
        <w:rPr>
          <w:lang w:val="en-US"/>
        </w:rPr>
      </w:pPr>
      <w:r w:rsidRPr="004A2787">
        <w:rPr>
          <w:lang w:val="en-US"/>
        </w:rPr>
        <w:t xml:space="preserve">Note: the assumptions for the filtration 1 step derives from personal communication with BRGM experts and literature. </w:t>
      </w:r>
    </w:p>
    <w:p w14:paraId="217CA222" w14:textId="77777777" w:rsidR="004A2787" w:rsidRPr="004A2787" w:rsidRDefault="004A2787" w:rsidP="004A2787">
      <w:pPr>
        <w:rPr>
          <w:lang w:val="en-US"/>
        </w:rPr>
      </w:pPr>
    </w:p>
    <w:p w14:paraId="00F01F2F" w14:textId="0D186D68" w:rsidR="00AE0BED" w:rsidRDefault="004A2787" w:rsidP="004A2787">
      <w:pPr>
        <w:rPr>
          <w:lang w:val="en-US"/>
        </w:rPr>
      </w:pPr>
      <w:r w:rsidRPr="004A2787">
        <w:rPr>
          <w:lang w:val="en-US"/>
        </w:rPr>
        <w:t xml:space="preserve">The metal extraction phase will be completed with the filtration 1 process. According to the leaching experiments reported by the EXTRADE project, the outflow of the solid-liquid suspension contains all metals of the magnetic powder dissolved, except for nickel and some part of iron (80%), which precipitates as iron oxide </w:t>
      </w:r>
      <w:r w:rsidR="004D28D1">
        <w:rPr>
          <w:lang w:val="en-US"/>
        </w:rPr>
        <w:fldChar w:fldCharType="begin" w:fldLock="1"/>
      </w:r>
      <w:r w:rsidR="007A4A5A">
        <w:rPr>
          <w:lang w:val="en-US"/>
        </w:rPr>
        <w:instrText>ADDIN CSL_CITATION {"citationItems":[{"id":"ITEM-1","itemData":{"DOI":"10.1111/jiec.12943","ISSN":"15309290","abstract":"Project EXTRADE developed an innovative process for recycling rare earths (RE) from permanent magnets used in small applications. To assess the potential of further research from lab scale toward industrialization, this study performs economic and environmental evaluations. Because data are incomplete at current levels of process development, this study propagates uncertainty into the results. Results show that the EXTRADE process, as a complement to the Hard Disk Drive (HDD) waste management system currently in operation in France, could be both economically profitable and beneficial in terms of climate change. However, at this stage of development the price of output products is a key determinant of the economic profitability while still particularly uncertain. Also, the EXTRADE process may offer a climate change benefit due to the substitution of recycled RE oxides for those produced from primary resources (80% chance to be superior to 990 tonnes CO2-eq over 5 years). The amount of the waste recycled is another key, uncertain parameter regarding both the environmental and economic benefits provided by the process.","author":[{"dropping-particle":"","family":"Beylot","given":"Antoine","non-dropping-particle":"","parse-names":false,"suffix":""},{"dropping-particle":"","family":"Ménad","given":"Nour Eddine","non-dropping-particle":"","parse-names":false,"suffix":""},{"dropping-particle":"","family":"Seron","given":"Alain","non-dropping-particle":"","parse-names":false,"suffix":""},{"dropping-particle":"","family":"Delain","given":"Michel","non-dropping-particle":"","parse-names":false,"suffix":""},{"dropping-particle":"","family":"Bizouard","given":"Alice","non-dropping-particle":"","parse-names":false,"suffix":""},{"dropping-particle":"","family":"Ménard","given":"Yannick","non-dropping-particle":"","parse-names":false,"suffix":""},{"dropping-particle":"","family":"Villeneuve","given":"Jacques","non-dropping-particle":"","parse-names":false,"suffix":""}],"container-title":"Journal of Industrial Ecology","id":"ITEM-1","issue":"1","issued":{"date-parts":[["2020"]]},"page":"128-137","title":"Economic assessment and carbon footprint of recycling rare earths from magnets: Evaluation at lab scale paving the way toward industrialization","type":"article-journal","volume":"24"},"uris":["http://www.mendeley.com/documents/?uuid=c1b6ab70-91ed-4896-817f-af10b475c7ba"]}],"mendeley":{"formattedCitation":"(Beylot et al., 2020)","plainTextFormattedCitation":"(Beylot et al., 2020)","previouslyFormattedCitation":"(Beylot et al., 2020)"},"properties":{"noteIndex":0},"schema":"https://github.com/citation-style-language/schema/raw/master/csl-citation.json"}</w:instrText>
      </w:r>
      <w:r w:rsidR="004D28D1">
        <w:rPr>
          <w:lang w:val="en-US"/>
        </w:rPr>
        <w:fldChar w:fldCharType="separate"/>
      </w:r>
      <w:r w:rsidR="004D28D1" w:rsidRPr="004D28D1">
        <w:rPr>
          <w:noProof/>
          <w:lang w:val="en-US"/>
        </w:rPr>
        <w:t>(Beylot et al., 2020)</w:t>
      </w:r>
      <w:r w:rsidR="004D28D1">
        <w:rPr>
          <w:lang w:val="en-US"/>
        </w:rPr>
        <w:fldChar w:fldCharType="end"/>
      </w:r>
      <w:r w:rsidRPr="004A2787">
        <w:rPr>
          <w:lang w:val="en-US"/>
        </w:rPr>
        <w:t>. In this way, to remove the precipitate, the solid-liquid suspension will be filtrate. In the envisaged plant, the filtration is performed by a filter press. After filtration, there are two outputs, a cake containing nickel and iron oxide and the filtrate solution containing the rest of the metals dissolved. Therefore, no losses are accounted for in this step.</w:t>
      </w:r>
    </w:p>
    <w:p w14:paraId="3583F650" w14:textId="2230D1C5" w:rsidR="004A2787" w:rsidRPr="004A2787" w:rsidRDefault="004A2787" w:rsidP="004A2787">
      <w:pPr>
        <w:rPr>
          <w:lang w:val="en-US"/>
        </w:rPr>
      </w:pPr>
      <w:r w:rsidRPr="004A2787">
        <w:rPr>
          <w:lang w:val="en-US"/>
        </w:rPr>
        <w:lastRenderedPageBreak/>
        <w:t>In personal communication with BRGM experts, the cake outflow has a commercial value. In this sense, the filtration 1 process is multifunctional. To allocate the non-functional and environmental flows to the reference flow of the system, the economic proceeds of both outflows are used (</w:t>
      </w:r>
      <w:r w:rsidR="004D28D1">
        <w:rPr>
          <w:lang w:val="en-US"/>
        </w:rPr>
        <w:t xml:space="preserve">refer to </w:t>
      </w:r>
      <w:r w:rsidR="004D28D1">
        <w:rPr>
          <w:lang w:val="en-US"/>
        </w:rPr>
        <w:fldChar w:fldCharType="begin"/>
      </w:r>
      <w:r w:rsidR="004D28D1">
        <w:rPr>
          <w:lang w:val="en-US"/>
        </w:rPr>
        <w:instrText xml:space="preserve"> REF _Ref74851102 \w \h </w:instrText>
      </w:r>
      <w:r w:rsidR="004D28D1">
        <w:rPr>
          <w:lang w:val="en-US"/>
        </w:rPr>
      </w:r>
      <w:r w:rsidR="004D28D1">
        <w:rPr>
          <w:lang w:val="en-US"/>
        </w:rPr>
        <w:fldChar w:fldCharType="separate"/>
      </w:r>
      <w:r w:rsidR="004D28D1">
        <w:rPr>
          <w:lang w:val="en-US"/>
        </w:rPr>
        <w:t>appendix B</w:t>
      </w:r>
      <w:r w:rsidR="004D28D1">
        <w:rPr>
          <w:lang w:val="en-US"/>
        </w:rPr>
        <w:fldChar w:fldCharType="end"/>
      </w:r>
      <w:r w:rsidRPr="004A2787">
        <w:rPr>
          <w:lang w:val="en-US"/>
        </w:rPr>
        <w:t xml:space="preserve"> for allocation factors). </w:t>
      </w:r>
    </w:p>
    <w:p w14:paraId="228D20D3" w14:textId="77777777" w:rsidR="004A2787" w:rsidRPr="004A2787" w:rsidRDefault="004A2787" w:rsidP="004A2787">
      <w:pPr>
        <w:rPr>
          <w:lang w:val="en-US"/>
        </w:rPr>
      </w:pPr>
    </w:p>
    <w:p w14:paraId="21A2191B" w14:textId="4063C68C" w:rsidR="00834E83" w:rsidRDefault="004A2787" w:rsidP="004A2787">
      <w:pPr>
        <w:rPr>
          <w:lang w:val="en-US"/>
        </w:rPr>
      </w:pPr>
      <w:r w:rsidRPr="004A2787">
        <w:rPr>
          <w:lang w:val="en-US"/>
        </w:rPr>
        <w:t>For running a batch, the input of 8,82E+03 kg of the solid-liquid suspension, after filtration, forms 4,55E+03 kg of cake and 4,27E+03 kg of filtrate solution.</w:t>
      </w:r>
    </w:p>
    <w:p w14:paraId="4EC4C5C5" w14:textId="77777777" w:rsidR="004A2787" w:rsidRDefault="004A2787" w:rsidP="004A2787">
      <w:pPr>
        <w:rPr>
          <w:lang w:val="en-US"/>
        </w:rPr>
      </w:pPr>
    </w:p>
    <w:p w14:paraId="6824E74F" w14:textId="11011B25" w:rsidR="0073164B" w:rsidRDefault="0073164B" w:rsidP="0073164B">
      <w:pPr>
        <w:rPr>
          <w:lang w:val="en-US"/>
        </w:rPr>
      </w:pPr>
      <w:r>
        <w:rPr>
          <w:lang w:val="en-US"/>
        </w:rPr>
        <w:t xml:space="preserve">Please, refer to </w:t>
      </w:r>
      <w:r w:rsidR="004D28D1">
        <w:rPr>
          <w:lang w:val="en-US"/>
        </w:rPr>
        <w:fldChar w:fldCharType="begin"/>
      </w:r>
      <w:r w:rsidR="004D28D1">
        <w:rPr>
          <w:lang w:val="en-US"/>
        </w:rPr>
        <w:instrText xml:space="preserve"> REF _Ref74851102 \w \h </w:instrText>
      </w:r>
      <w:r w:rsidR="004D28D1">
        <w:rPr>
          <w:lang w:val="en-US"/>
        </w:rPr>
      </w:r>
      <w:r w:rsidR="004D28D1">
        <w:rPr>
          <w:lang w:val="en-US"/>
        </w:rPr>
        <w:fldChar w:fldCharType="separate"/>
      </w:r>
      <w:r w:rsidR="004D28D1">
        <w:rPr>
          <w:lang w:val="en-US"/>
        </w:rPr>
        <w:t>appendix B</w:t>
      </w:r>
      <w:r w:rsidR="004D28D1">
        <w:rPr>
          <w:lang w:val="en-US"/>
        </w:rPr>
        <w:fldChar w:fldCharType="end"/>
      </w:r>
      <w:r w:rsidR="004D28D1">
        <w:rPr>
          <w:lang w:val="en-US"/>
        </w:rPr>
        <w:t xml:space="preserve"> </w:t>
      </w:r>
      <w:r>
        <w:rPr>
          <w:lang w:val="en-US"/>
        </w:rPr>
        <w:t xml:space="preserve">for the detailed calculations.  </w:t>
      </w:r>
    </w:p>
    <w:p w14:paraId="1022B462" w14:textId="77777777" w:rsidR="002B7BF9" w:rsidRPr="002B7BF9" w:rsidRDefault="002B7BF9" w:rsidP="002B7BF9">
      <w:pPr>
        <w:rPr>
          <w:lang w:val="en-US"/>
        </w:rPr>
      </w:pPr>
    </w:p>
    <w:p w14:paraId="1E6EC38F" w14:textId="77777777" w:rsidR="002B7BF9" w:rsidRPr="002B7BF9" w:rsidRDefault="002B7BF9" w:rsidP="002B7BF9">
      <w:pPr>
        <w:rPr>
          <w:lang w:val="en-US"/>
        </w:rPr>
      </w:pPr>
      <w:r w:rsidRPr="002B7BF9">
        <w:rPr>
          <w:lang w:val="en-US"/>
        </w:rPr>
        <w:t>The electricity consumption of the filter press is modeled according to the consumption factor (kWh/</w:t>
      </w:r>
      <w:proofErr w:type="spellStart"/>
      <w:r w:rsidRPr="002B7BF9">
        <w:rPr>
          <w:lang w:val="en-US"/>
        </w:rPr>
        <w:t>tonHDDs</w:t>
      </w:r>
      <w:proofErr w:type="spellEnd"/>
      <w:r w:rsidRPr="002B7BF9">
        <w:rPr>
          <w:lang w:val="en-US"/>
        </w:rPr>
        <w:t xml:space="preserve">) of the filtration step in the EXTRADE project. Therefore, the consumption factor is not upscaled or downscaled to adapt to the envisaged plant’s capacity. </w:t>
      </w:r>
    </w:p>
    <w:p w14:paraId="1A510205" w14:textId="77777777" w:rsidR="002B7BF9" w:rsidRPr="002B7BF9" w:rsidRDefault="002B7BF9" w:rsidP="002B7BF9">
      <w:pPr>
        <w:rPr>
          <w:lang w:val="en-US"/>
        </w:rPr>
      </w:pPr>
    </w:p>
    <w:p w14:paraId="6288712C" w14:textId="30C72EB8" w:rsidR="00834E83" w:rsidRDefault="002B7BF9" w:rsidP="002B7BF9">
      <w:pPr>
        <w:rPr>
          <w:lang w:val="en-US"/>
        </w:rPr>
      </w:pPr>
      <w:r w:rsidRPr="002B7BF9">
        <w:rPr>
          <w:lang w:val="en-US"/>
        </w:rPr>
        <w:t>For running a batch, the electricity consumption in the magnetic separation step is 1,55E+03 kWh.</w:t>
      </w:r>
    </w:p>
    <w:p w14:paraId="6ACAA44D" w14:textId="2825F8E8" w:rsidR="0073164B" w:rsidRDefault="0073164B" w:rsidP="0073164B">
      <w:pPr>
        <w:rPr>
          <w:b/>
          <w:bCs/>
          <w:lang w:val="en-US"/>
        </w:rPr>
      </w:pPr>
    </w:p>
    <w:p w14:paraId="1C7CA363" w14:textId="77777777" w:rsidR="004F6A42" w:rsidRDefault="00636547" w:rsidP="004F6A42">
      <w:pPr>
        <w:rPr>
          <w:b/>
          <w:bCs/>
          <w:lang w:val="en-US"/>
        </w:rPr>
      </w:pPr>
      <w:r>
        <w:rPr>
          <w:b/>
          <w:bCs/>
          <w:lang w:val="en-US"/>
        </w:rPr>
        <w:t>RE recovery unit process</w:t>
      </w:r>
    </w:p>
    <w:p w14:paraId="0B930A9D" w14:textId="77777777" w:rsidR="004F6A42" w:rsidRDefault="004F6A42" w:rsidP="004F6A42">
      <w:pPr>
        <w:rPr>
          <w:b/>
          <w:bCs/>
          <w:lang w:val="en-US"/>
        </w:rPr>
      </w:pPr>
    </w:p>
    <w:p w14:paraId="19238159" w14:textId="01673360" w:rsidR="00636547" w:rsidRPr="003B32F4" w:rsidRDefault="004F6A42" w:rsidP="0073164B">
      <w:pPr>
        <w:rPr>
          <w:lang w:val="en-US"/>
        </w:rPr>
      </w:pPr>
      <w:r>
        <w:rPr>
          <w:lang w:val="en-US"/>
        </w:rPr>
        <w:t xml:space="preserve">Note: the assumptions for the </w:t>
      </w:r>
      <w:r w:rsidR="00CD2EEA">
        <w:rPr>
          <w:lang w:val="en-US"/>
        </w:rPr>
        <w:t>RE recovery</w:t>
      </w:r>
      <w:r>
        <w:rPr>
          <w:lang w:val="en-US"/>
        </w:rPr>
        <w:t xml:space="preserve"> step derives from personal communication with BRGM experts and literature. </w:t>
      </w:r>
      <w:r w:rsidR="003B32F4">
        <w:rPr>
          <w:lang w:val="en-US"/>
        </w:rPr>
        <w:t>The mass balance for this process is according to the stoichiometry of the precipitation reaction</w:t>
      </w:r>
      <w:r w:rsidR="00EA0BDB">
        <w:rPr>
          <w:lang w:val="en-US"/>
        </w:rPr>
        <w:t xml:space="preserve">: </w:t>
      </w:r>
      <w:r w:rsidR="00EA0BDB" w:rsidRPr="00EA0BDB">
        <w:rPr>
          <w:lang w:val="en-US"/>
        </w:rPr>
        <w:t>2</w:t>
      </w:r>
      <w:proofErr w:type="gramStart"/>
      <w:r w:rsidR="00EA0BDB" w:rsidRPr="00EA0BDB">
        <w:rPr>
          <w:lang w:val="en-US"/>
        </w:rPr>
        <w:t>Nd(</w:t>
      </w:r>
      <w:proofErr w:type="gramEnd"/>
      <w:r w:rsidR="00EA0BDB" w:rsidRPr="00EA0BDB">
        <w:rPr>
          <w:lang w:val="en-US"/>
        </w:rPr>
        <w:t>COOCH</w:t>
      </w:r>
      <w:r w:rsidR="00EA0BDB" w:rsidRPr="00EA0BDB">
        <w:rPr>
          <w:vertAlign w:val="subscript"/>
          <w:lang w:val="en-US"/>
        </w:rPr>
        <w:t>3</w:t>
      </w:r>
      <w:r w:rsidR="00EA0BDB" w:rsidRPr="00EA0BDB">
        <w:rPr>
          <w:lang w:val="en-US"/>
        </w:rPr>
        <w:t>)</w:t>
      </w:r>
      <w:r w:rsidR="00EA0BDB" w:rsidRPr="00EA0BDB">
        <w:rPr>
          <w:vertAlign w:val="subscript"/>
          <w:lang w:val="en-US"/>
        </w:rPr>
        <w:t>3</w:t>
      </w:r>
      <w:r w:rsidR="00EA0BDB" w:rsidRPr="00EA0BDB">
        <w:rPr>
          <w:lang w:val="en-US"/>
        </w:rPr>
        <w:t xml:space="preserve"> +3H</w:t>
      </w:r>
      <w:r w:rsidR="00EA0BDB" w:rsidRPr="00EA0BDB">
        <w:rPr>
          <w:vertAlign w:val="subscript"/>
          <w:lang w:val="en-US"/>
        </w:rPr>
        <w:t>2</w:t>
      </w:r>
      <w:r w:rsidR="00EA0BDB" w:rsidRPr="00EA0BDB">
        <w:rPr>
          <w:lang w:val="en-US"/>
        </w:rPr>
        <w:t>C</w:t>
      </w:r>
      <w:r w:rsidR="00EA0BDB" w:rsidRPr="00EA0BDB">
        <w:rPr>
          <w:vertAlign w:val="subscript"/>
          <w:lang w:val="en-US"/>
        </w:rPr>
        <w:t>2</w:t>
      </w:r>
      <w:r w:rsidR="00EA0BDB" w:rsidRPr="00EA0BDB">
        <w:rPr>
          <w:lang w:val="en-US"/>
        </w:rPr>
        <w:t>O</w:t>
      </w:r>
      <w:r w:rsidR="00EA0BDB" w:rsidRPr="00EA0BDB">
        <w:rPr>
          <w:vertAlign w:val="subscript"/>
          <w:lang w:val="en-US"/>
        </w:rPr>
        <w:t>4</w:t>
      </w:r>
      <w:r w:rsidR="00EA0BDB">
        <w:rPr>
          <w:lang w:val="en-US"/>
        </w:rPr>
        <w:t xml:space="preserve"> </w:t>
      </w:r>
      <w:r w:rsidR="00EA0BDB" w:rsidRPr="00EA0BDB">
        <w:rPr>
          <w:lang w:val="en-US"/>
        </w:rPr>
        <w:sym w:font="Wingdings" w:char="F0E0"/>
      </w:r>
      <w:r w:rsidR="00EA0BDB" w:rsidRPr="00EA0BDB">
        <w:rPr>
          <w:lang w:val="en-US"/>
        </w:rPr>
        <w:t xml:space="preserve"> Nd</w:t>
      </w:r>
      <w:r w:rsidR="00EA0BDB" w:rsidRPr="00EA0BDB">
        <w:rPr>
          <w:vertAlign w:val="subscript"/>
          <w:lang w:val="en-US"/>
        </w:rPr>
        <w:t>2</w:t>
      </w:r>
      <w:r w:rsidR="00EA0BDB" w:rsidRPr="00EA0BDB">
        <w:rPr>
          <w:lang w:val="en-US"/>
        </w:rPr>
        <w:t>(C</w:t>
      </w:r>
      <w:r w:rsidR="00EA0BDB" w:rsidRPr="00EA0BDB">
        <w:rPr>
          <w:vertAlign w:val="subscript"/>
          <w:lang w:val="en-US"/>
        </w:rPr>
        <w:t>2</w:t>
      </w:r>
      <w:r w:rsidR="00EA0BDB" w:rsidRPr="00EA0BDB">
        <w:rPr>
          <w:lang w:val="en-US"/>
        </w:rPr>
        <w:t>O</w:t>
      </w:r>
      <w:r w:rsidR="00EA0BDB" w:rsidRPr="00EA0BDB">
        <w:rPr>
          <w:vertAlign w:val="subscript"/>
          <w:lang w:val="en-US"/>
        </w:rPr>
        <w:t>4</w:t>
      </w:r>
      <w:r w:rsidR="00EA0BDB" w:rsidRPr="00EA0BDB">
        <w:rPr>
          <w:lang w:val="en-US"/>
        </w:rPr>
        <w:t>)</w:t>
      </w:r>
      <w:r w:rsidR="00EA0BDB" w:rsidRPr="00EA0BDB">
        <w:rPr>
          <w:vertAlign w:val="subscript"/>
          <w:lang w:val="en-US"/>
        </w:rPr>
        <w:t>3</w:t>
      </w:r>
      <w:r w:rsidR="00EA0BDB" w:rsidRPr="00EA0BDB">
        <w:rPr>
          <w:lang w:val="en-US"/>
        </w:rPr>
        <w:t xml:space="preserve"> + 6 CH</w:t>
      </w:r>
      <w:r w:rsidR="00EA0BDB" w:rsidRPr="00EA0BDB">
        <w:rPr>
          <w:vertAlign w:val="subscript"/>
          <w:lang w:val="en-US"/>
        </w:rPr>
        <w:t>3</w:t>
      </w:r>
      <w:r w:rsidR="00EA0BDB" w:rsidRPr="00EA0BDB">
        <w:rPr>
          <w:lang w:val="en-US"/>
        </w:rPr>
        <w:t>COOH</w:t>
      </w:r>
      <w:r w:rsidR="00EA0BDB">
        <w:rPr>
          <w:lang w:val="en-US"/>
        </w:rPr>
        <w:t>.</w:t>
      </w:r>
    </w:p>
    <w:p w14:paraId="64DF9E1C" w14:textId="77777777" w:rsidR="008639F7" w:rsidRPr="008639F7" w:rsidRDefault="008639F7" w:rsidP="0073164B">
      <w:pPr>
        <w:rPr>
          <w:b/>
          <w:bCs/>
          <w:lang w:val="en-US"/>
        </w:rPr>
      </w:pPr>
    </w:p>
    <w:p w14:paraId="020D9B73" w14:textId="5505FF70" w:rsidR="00FE31C4" w:rsidRDefault="00F87E93" w:rsidP="00552209">
      <w:pPr>
        <w:rPr>
          <w:lang w:val="en-US"/>
        </w:rPr>
      </w:pPr>
      <w:r w:rsidRPr="00F87E93">
        <w:rPr>
          <w:lang w:val="en-US"/>
        </w:rPr>
        <w:t>The Nd dissolved in the filtrate solution needs to be precipitated. The precipitation is done by introducing solid oxalic acid, which reacts with the Nd acetate formed in the leaching step, yielding Nd oxalates and acetic acid. The acetic acid regenerated fills about 36,4% of the needed amount to leach. The amount of oxalic acid to be inputted in the system derives from the stoichiometric coefficients of the balanced chemical reaction for precipitation of Nd, plus an excess of it. The excess of oxalic acid is acknowledged in literature for better precipitation of REEs. Therefore, a ratio of moles of oxalic acid to REEs of 2,5:1 is adopted in this work to calculate the excess of it. The ratio is derived from the average of the ratios reported in the work of</w:t>
      </w:r>
      <w:r w:rsidR="007A4A5A">
        <w:rPr>
          <w:lang w:val="en-US"/>
        </w:rPr>
        <w:t xml:space="preserve">  </w:t>
      </w:r>
      <w:r w:rsidR="007A4A5A">
        <w:rPr>
          <w:lang w:val="en-US"/>
        </w:rPr>
        <w:fldChar w:fldCharType="begin" w:fldLock="1"/>
      </w:r>
      <w:r w:rsidR="007A4A5A">
        <w:rPr>
          <w:lang w:val="en-US"/>
        </w:rPr>
        <w:instrText>ADDIN CSL_CITATION {"citationItems":[{"id":"ITEM-1","itemData":{"DOI":"10.1039/c7gc03296j","ISSN":"14639270","abstract":"NdFeB magnet waste is one of the important secondary resources from which rare-earth elements (REEs) can be recovered. Herein we present an electrochemical route to selectively extract REEs from the magnet waste at room temperature. First, the magnet waste was partially leached with HCl. The partial leachate along with undissolved magnet waste was taken in the anolyte side of a two compartment reactor separated by an anion exchange membrane whereas the catholyte consisted of sodium chloride solution. The Fe(ii) present in the leachate was oxidized and precipitated as Fe(OH)3 while more than 95% of REEs were extracted into the solution. Subsequently, oxalic acid was used to selectively precipitate REEs as rare-earth oxalates. Hydrochloric acid liberated during the oxalic acid precipitation process could be directly reused in the partial leaching step. Sodium chloride was the only chemical consumed during the electrolysis. The effect of the NaCl concentration in the anolyte and catholyte on the extraction of metals was investigated. From magnet waste to rare-earth oxides, the developed recycling process is environmentally friendly and consumes only electricity, NaCl and oxalic acid.","author":[{"dropping-particle":"","family":"Venkatesan","given":"Prakash","non-dropping-particle":"","parse-names":false,"suffix":""},{"dropping-particle":"","family":"Hoogerstraete","given":"Tom","non-dropping-particle":"Vander","parse-names":false,"suffix":""},{"dropping-particle":"","family":"Hennebel","given":"Tom","non-dropping-particle":"","parse-names":false,"suffix":""},{"dropping-particle":"","family":"Binnemans","given":"Koen","non-dropping-particle":"","parse-names":false,"suffix":""},{"dropping-particle":"","family":"Sietsma","given":"Jilt","non-dropping-particle":"","parse-names":false,"suffix":""},{"dropping-particle":"","family":"Yang","given":"Yongxiang","non-dropping-particle":"","parse-names":false,"suffix":""}],"container-title":"Green Chemistry","id":"ITEM-1","issue":"5","issued":{"date-parts":[["2018"]]},"page":"1065-1073","publisher":"Royal Society of Chemistry","title":"Selective electrochemical extraction of REEs from NdFeB magnet waste at room temperature","type":"article-journal","volume":"20"},"uris":["http://www.mendeley.com/documents/?uuid=1df3cd71-11b9-4da8-9b0b-f68b6b62d678"]}],"mendeley":{"formattedCitation":"(Venkatesan, Vander Hoogerstraete, et al., 2018)","manualFormatting":"Venkatesan et al. (2018a)","plainTextFormattedCitation":"(Venkatesan, Vander Hoogerstraete, et al., 2018)","previouslyFormattedCitation":"(Venkatesan, Vander Hoogerstraete, et al., 2018)"},"properties":{"noteIndex":0},"schema":"https://github.com/citation-style-language/schema/raw/master/csl-citation.json"}</w:instrText>
      </w:r>
      <w:r w:rsidR="007A4A5A">
        <w:rPr>
          <w:lang w:val="en-US"/>
        </w:rPr>
        <w:fldChar w:fldCharType="separate"/>
      </w:r>
      <w:r w:rsidR="007A4A5A" w:rsidRPr="007A4A5A">
        <w:rPr>
          <w:noProof/>
          <w:lang w:val="en-US"/>
        </w:rPr>
        <w:t>Venkatesan et al. (2018</w:t>
      </w:r>
      <w:r w:rsidR="007A4A5A">
        <w:rPr>
          <w:noProof/>
          <w:lang w:val="en-US"/>
        </w:rPr>
        <w:t>a</w:t>
      </w:r>
      <w:r w:rsidR="007A4A5A" w:rsidRPr="007A4A5A">
        <w:rPr>
          <w:noProof/>
          <w:lang w:val="en-US"/>
        </w:rPr>
        <w:t>)</w:t>
      </w:r>
      <w:r w:rsidR="007A4A5A">
        <w:rPr>
          <w:lang w:val="en-US"/>
        </w:rPr>
        <w:fldChar w:fldCharType="end"/>
      </w:r>
      <w:r w:rsidR="007A4A5A" w:rsidRPr="007A4A5A">
        <w:rPr>
          <w:lang w:val="en-US"/>
        </w:rPr>
        <w:t>,</w:t>
      </w:r>
      <w:r w:rsidRPr="007A4A5A">
        <w:rPr>
          <w:lang w:val="en-US"/>
        </w:rPr>
        <w:t xml:space="preserve"> and</w:t>
      </w:r>
      <w:r w:rsidR="007A4A5A" w:rsidRPr="007A4A5A">
        <w:rPr>
          <w:lang w:val="en-US"/>
        </w:rPr>
        <w:t xml:space="preserve"> </w:t>
      </w:r>
      <w:r w:rsidR="007A4A5A">
        <w:rPr>
          <w:lang w:val="en-US"/>
        </w:rPr>
        <w:fldChar w:fldCharType="begin" w:fldLock="1"/>
      </w:r>
      <w:r w:rsidR="007A4A5A">
        <w:rPr>
          <w:lang w:val="en-US"/>
        </w:rPr>
        <w:instrText>ADDIN CSL_CITATION {"citationItems":[{"id":"ITEM-1","itemData":{"DOI":"10.1016/j.seppur.2017.09.053","ISSN":"18733794","abstract":"In this manuscript, we demonstrate a room temperature electrochemical process for efficiently recycling NdFeB magnet waste. First, the magnet waste was completely leached with HCl and then, in-situ electrochemical oxidation was performed to selectively oxidize Fe(II) in the leachate to Fe(III). Finally, oxalic acid was added directly to the electro-oxidized leachate which selectively precipitated more than 98% of rare earth elements as rare-earth oxalates. The calcination of rare-earth oxalates produced mixed rare-earth oxides of 99.2% purity and a marketable Fe(III) solution as by-product. The electro-oxidized leachate was also subjected to an alternative neutralization route in which ammonium hydroxide was added to remove iron as ferric hydroxide. The iron free leachate with rare earth elements and cobalt was then subjected to oxalic acid precipitation treatment, which finally produced rare-earth oxides of 99.7% purity. Furthermore, a cobalt-rich solution was obtained in the end and electrowinning studies performed on the solution showed the feasibility of recovering pure metallic cobalt.","author":[{"dropping-particle":"","family":"Venkatesan","given":"Prakash","non-dropping-particle":"","parse-names":false,"suffix":""},{"dropping-particle":"","family":"Sun","given":"Z. H.I.","non-dropping-particle":"","parse-names":false,"suffix":""},{"dropping-particle":"","family":"Sietsma","given":"Jilt","non-dropping-particle":"","parse-names":false,"suffix":""},{"dropping-particle":"","family":"Yang","given":"Yongxiang","non-dropping-particle":"","parse-names":false,"suffix":""}],"container-title":"Separation and Purification Technology","id":"ITEM-1","issue":"September 2017","issued":{"date-parts":[["2018"]]},"page":"384-391","publisher":"Elsevier","title":"An environmentally friendly electro-oxidative approach to recover valuable elements from NdFeB magnet waste","type":"article-journal","volume":"191"},"uris":["http://www.mendeley.com/documents/?uuid=6cc7c960-2151-4874-a501-f7d3389eaa58"]}],"mendeley":{"formattedCitation":"(Venkatesan, Sun, et al., 2018)","manualFormatting":"Venkatesan et al. (2018b)","plainTextFormattedCitation":"(Venkatesan, Sun, et al., 2018)","previouslyFormattedCitation":"(Venkatesan, Sun, et al., 2018)"},"properties":{"noteIndex":0},"schema":"https://github.com/citation-style-language/schema/raw/master/csl-citation.json"}</w:instrText>
      </w:r>
      <w:r w:rsidR="007A4A5A">
        <w:rPr>
          <w:lang w:val="en-US"/>
        </w:rPr>
        <w:fldChar w:fldCharType="separate"/>
      </w:r>
      <w:r w:rsidR="007A4A5A" w:rsidRPr="007A4A5A">
        <w:rPr>
          <w:noProof/>
          <w:lang w:val="en-US"/>
        </w:rPr>
        <w:t>Venkatesan</w:t>
      </w:r>
      <w:r w:rsidR="007A4A5A">
        <w:rPr>
          <w:noProof/>
          <w:lang w:val="en-US"/>
        </w:rPr>
        <w:t xml:space="preserve"> </w:t>
      </w:r>
      <w:r w:rsidR="007A4A5A" w:rsidRPr="007A4A5A">
        <w:rPr>
          <w:noProof/>
          <w:lang w:val="en-US"/>
        </w:rPr>
        <w:t xml:space="preserve">et al. </w:t>
      </w:r>
      <w:r w:rsidR="007A4A5A">
        <w:rPr>
          <w:noProof/>
          <w:lang w:val="en-US"/>
        </w:rPr>
        <w:t>(</w:t>
      </w:r>
      <w:r w:rsidR="007A4A5A" w:rsidRPr="007A4A5A">
        <w:rPr>
          <w:noProof/>
          <w:lang w:val="en-US"/>
        </w:rPr>
        <w:t>2018</w:t>
      </w:r>
      <w:r w:rsidR="007A4A5A">
        <w:rPr>
          <w:noProof/>
          <w:lang w:val="en-US"/>
        </w:rPr>
        <w:t>b</w:t>
      </w:r>
      <w:r w:rsidR="007A4A5A" w:rsidRPr="007A4A5A">
        <w:rPr>
          <w:noProof/>
          <w:lang w:val="en-US"/>
        </w:rPr>
        <w:t>)</w:t>
      </w:r>
      <w:r w:rsidR="007A4A5A">
        <w:rPr>
          <w:lang w:val="en-US"/>
        </w:rPr>
        <w:fldChar w:fldCharType="end"/>
      </w:r>
      <w:r w:rsidRPr="007A4A5A">
        <w:rPr>
          <w:lang w:val="en-US"/>
        </w:rPr>
        <w:t xml:space="preserve"> , which developed recycling routes for extraction of REEs from </w:t>
      </w:r>
      <w:proofErr w:type="spellStart"/>
      <w:r w:rsidRPr="007A4A5A">
        <w:rPr>
          <w:lang w:val="en-US"/>
        </w:rPr>
        <w:t>NdFeB</w:t>
      </w:r>
      <w:proofErr w:type="spellEnd"/>
      <w:r w:rsidRPr="007A4A5A">
        <w:rPr>
          <w:lang w:val="en-US"/>
        </w:rPr>
        <w:t xml:space="preserve"> waste that resemble this work. </w:t>
      </w:r>
      <w:r w:rsidRPr="00F87E93">
        <w:rPr>
          <w:lang w:val="en-US"/>
        </w:rPr>
        <w:t xml:space="preserve">Additionally, the literature </w:t>
      </w:r>
      <w:r w:rsidRPr="00F87E93">
        <w:rPr>
          <w:lang w:val="en-US"/>
        </w:rPr>
        <w:lastRenderedPageBreak/>
        <w:t xml:space="preserve">also acknowledges that impurities presented in the leachate consume oxalic acid </w:t>
      </w:r>
      <w:r w:rsidR="004E3711">
        <w:rPr>
          <w:lang w:val="en-US"/>
        </w:rPr>
        <w:fldChar w:fldCharType="begin" w:fldLock="1"/>
      </w:r>
      <w:r w:rsidR="00F13457">
        <w:rPr>
          <w:lang w:val="en-US"/>
        </w:rPr>
        <w:instrText>ADDIN CSL_CITATION {"citationItems":[{"id":"ITEM-1","itemData":{"DOI":"10.1016/b978-0-12-813920-2.00007-6","ISBN":"9780128139202","abstract":"by improving the phase-separator design in order to handle higher flow rates. A unique feature of the system is the ability to carry out several washing steps on the organic phase trapped in the loop to remove interferences and/or to strip the analyte, without the need for extra phase separators. Extraction in a closed system has the advantage of avoiding exposure to hazardous solvents, minimizing evaporation, and decreasing cross contamination (26). It would be ideally suited for radiochemical separations. The system can be used only when a relatively large sample volume is available. However, compared to the limitations encountered in batch extraction procedures (2), factors such as organic solvent loss due to adherence on the wall of the extraction vessel, emulsion formation, and time of analysis are decreased. With the present method, the small loop surface area decreases the relative volume of organic solvent adherence, plus it is washed along the tube, and the absence of mechanical mixing minimizes emulsion formation. In addition , the method can be easily automated. LITERATURE CITED (1) Minczewski, J.; Chwastowska, J.; Dybczynskh R. Separation and Pre-concentration Methods in Inorganic Trace Analysk ; Ellis Harwood: Chichester, U.K., 1982. (2) Leyden, D.; Wegscheider, W. (8) Snyder, L. R.; Levine, J., Soy, R.; Conetta, A. Anal. Chem. 1976, 48, 942A-956A. (9) Ruzicka, J.; Hansen, E. H. A method b described for the determlnatlon of trace amounts of sodlum monofluoroacetate (MFA-Ne) In water. MFA-Na was converted to the dlchloroanlllde derlvatlve In a water sample acidifled wlth hydrochloric acld by uslng N,N'-dl-cyclohexykarbocHhnMe (DCC) and 2,4dkhloroanlllne (M A) and the derlvatlve was extracted from the sample water and cleaned up by silka gel column chromatography. The derlv-atlve was quantified by gas chromatography wlth electron capture detectlon (GC-ECD). The llmlt of detectlon was 0.0006 pg/mL, wlth a 50-mL water sample. The recoverles from environmental waters splked at concentratlons of 0.005-0.01 hg/mL were 93-97% wlth less than 4 % relatlve standard devlatlon.","author":[{"dropping-particle":"","family":"Qi","given":"Dezhi","non-dropping-particle":"","parse-names":false,"suffix":""}],"container-title":"Hydrometallurgy of Rare Earths","id":"ITEM-1","issued":{"date-parts":[["2018"]]},"number-of-pages":"671-741","title":"Chemical Separation Method","type":"book"},"uris":["http://www.mendeley.com/documents/?uuid=88ac58a8-b6ad-47ce-aeee-2a3f529020f1"]}],"mendeley":{"formattedCitation":"(Qi, 2018)","plainTextFormattedCitation":"(Qi, 2018)","previouslyFormattedCitation":"(Qi, 2018)"},"properties":{"noteIndex":0},"schema":"https://github.com/citation-style-language/schema/raw/master/csl-citation.json"}</w:instrText>
      </w:r>
      <w:r w:rsidR="004E3711">
        <w:rPr>
          <w:lang w:val="en-US"/>
        </w:rPr>
        <w:fldChar w:fldCharType="separate"/>
      </w:r>
      <w:r w:rsidR="004E3711" w:rsidRPr="004E3711">
        <w:rPr>
          <w:noProof/>
          <w:lang w:val="en-US"/>
        </w:rPr>
        <w:t>(Qi, 2018)</w:t>
      </w:r>
      <w:r w:rsidR="004E3711">
        <w:rPr>
          <w:lang w:val="en-US"/>
        </w:rPr>
        <w:fldChar w:fldCharType="end"/>
      </w:r>
      <w:r w:rsidRPr="00F87E93">
        <w:rPr>
          <w:lang w:val="en-US"/>
        </w:rPr>
        <w:t>. As the quantity of impurities is not known in this work, the estimation of the oxalic acid consumed by them derives from the mass balance of acetic acid in this unit process. Therefore, the total amount of oxalic acid is set to be the sum of the stoichiometric needs, the excess related to the stoichiometric needs, and the quantity consumed by impurities. Thus, the total quantity of oxalic acid to be inputted into the system exceeds in 29%.</w:t>
      </w:r>
    </w:p>
    <w:p w14:paraId="3148C61E" w14:textId="77777777" w:rsidR="00F87E93" w:rsidRDefault="00F87E93" w:rsidP="0073164B">
      <w:pPr>
        <w:rPr>
          <w:lang w:val="en-US"/>
        </w:rPr>
      </w:pPr>
    </w:p>
    <w:p w14:paraId="314630E7" w14:textId="4C231DD0" w:rsidR="00F87E93" w:rsidRPr="00F87E93" w:rsidRDefault="00F87E93" w:rsidP="00F87E93">
      <w:pPr>
        <w:rPr>
          <w:lang w:val="en-US"/>
        </w:rPr>
      </w:pPr>
      <w:r w:rsidRPr="00F87E93">
        <w:rPr>
          <w:lang w:val="en-US"/>
        </w:rPr>
        <w:t xml:space="preserve">According to literature, a precipitating reactor has a jacket to maintain the precipitation temperature at an optimum by circulating hot water within the jacket. Therefore, a condensing modulating boiler fueled by natural gas is modeled as the heating source here. A boiler requiring a power of 51 kW can operate at the maximum temperature of 90 </w:t>
      </w:r>
      <w:proofErr w:type="spellStart"/>
      <w:r w:rsidRPr="00F60A6C">
        <w:rPr>
          <w:vertAlign w:val="superscript"/>
          <w:lang w:val="en-US"/>
        </w:rPr>
        <w:t>o</w:t>
      </w:r>
      <w:r w:rsidRPr="00F87E93">
        <w:rPr>
          <w:lang w:val="en-US"/>
        </w:rPr>
        <w:t>C</w:t>
      </w:r>
      <w:proofErr w:type="spellEnd"/>
      <w:r w:rsidRPr="00F87E93">
        <w:rPr>
          <w:lang w:val="en-US"/>
        </w:rPr>
        <w:t xml:space="preserve"> </w:t>
      </w:r>
      <w:r w:rsidR="00F13457">
        <w:rPr>
          <w:lang w:val="en-US"/>
        </w:rPr>
        <w:fldChar w:fldCharType="begin" w:fldLock="1"/>
      </w:r>
      <w:r w:rsidR="0020776A">
        <w:rPr>
          <w:lang w:val="en-US"/>
        </w:rPr>
        <w:instrText>ADDIN CSL_CITATION {"citationItems":[{"id":"ITEM-1","itemData":{"DOI":"10.1016/B978-0-08-102057-9.00013-5","ISBN":"9780081020579","abstract":"The objective of this chapter is to describe a mobile demonstration plant for the recovery of metals from waste electrical and electronic equipment and other waste such as spent batteries and exhausted industrial catalysts. The plant was designed within the European FP7 framework HydroWEEE demo (2012-16) and can offer an effective proposal to addressing the problem of electronic waste, reducing the environmental impact of their incorrect disposal, recovering critical materials such as rare earths and precious elements, and giving economic benefits.","author":[{"dropping-particle":"","family":"Michelis","given":"Ida","non-dropping-particle":"De","parse-names":false,"suffix":""},{"dropping-particle":"","family":"Kopacek","given":"Bernd","non-dropping-particle":"","parse-names":false,"suffix":""}],"container-title":"Waste Electrical and Electronic Equipment Recycling: Aqueous Recovery Methods","id":"ITEM-1","issued":{"date-parts":[["2018"]]},"number-of-pages":"357-383","publisher":"Elsevier Ltd","title":"HydroWEEE project: Design and construction of a mobile demonstration plant","type":"book"},"uris":["http://www.mendeley.com/documents/?uuid=7fd8bcc0-6213-4007-9959-5aaf14b12b8d"]}],"mendeley":{"formattedCitation":"(De Michelis &amp; Kopacek, 2018)","plainTextFormattedCitation":"(De Michelis &amp; Kopacek, 2018)","previouslyFormattedCitation":"(De Michelis &amp; Kopacek, 2018)"},"properties":{"noteIndex":0},"schema":"https://github.com/citation-style-language/schema/raw/master/csl-citation.json"}</w:instrText>
      </w:r>
      <w:r w:rsidR="00F13457">
        <w:rPr>
          <w:lang w:val="en-US"/>
        </w:rPr>
        <w:fldChar w:fldCharType="separate"/>
      </w:r>
      <w:r w:rsidR="00F13457" w:rsidRPr="00F13457">
        <w:rPr>
          <w:noProof/>
          <w:lang w:val="en-US"/>
        </w:rPr>
        <w:t>(De Michelis &amp; Kopacek, 2018)</w:t>
      </w:r>
      <w:r w:rsidR="00F13457">
        <w:rPr>
          <w:lang w:val="en-US"/>
        </w:rPr>
        <w:fldChar w:fldCharType="end"/>
      </w:r>
      <w:r w:rsidRPr="00F87E93">
        <w:rPr>
          <w:lang w:val="en-US"/>
        </w:rPr>
        <w:t xml:space="preserve">. From personal communication with experts, precipitation takes about 2 hours, then the heating produced by such boiler in a month is 1,10E+01 MJ, assuming no losses. </w:t>
      </w:r>
    </w:p>
    <w:p w14:paraId="6CCECB82" w14:textId="77777777" w:rsidR="00F87E93" w:rsidRPr="00F87E93" w:rsidRDefault="00F87E93" w:rsidP="00F87E93">
      <w:pPr>
        <w:rPr>
          <w:lang w:val="en-US"/>
        </w:rPr>
      </w:pPr>
    </w:p>
    <w:p w14:paraId="54621FE7" w14:textId="77777777" w:rsidR="00F87E93" w:rsidRPr="00F87E93" w:rsidRDefault="00F87E93" w:rsidP="00F87E93">
      <w:pPr>
        <w:rPr>
          <w:lang w:val="en-US"/>
        </w:rPr>
      </w:pPr>
      <w:r w:rsidRPr="00F87E93">
        <w:rPr>
          <w:lang w:val="en-US"/>
        </w:rPr>
        <w:t>The precipitated Nd will be removed in the subsequent process through filtration. Therefore, the output of this unit process consists of a solid-liquid suspension containing Nd oxalates and regenerated acetic acid, which is used in the leaching process.</w:t>
      </w:r>
    </w:p>
    <w:p w14:paraId="536ECD7D" w14:textId="77777777" w:rsidR="00F87E93" w:rsidRPr="00F87E93" w:rsidRDefault="00F87E93" w:rsidP="00F87E93">
      <w:pPr>
        <w:rPr>
          <w:lang w:val="en-US"/>
        </w:rPr>
      </w:pPr>
    </w:p>
    <w:p w14:paraId="5CCE15D1" w14:textId="77777777" w:rsidR="00F87E93" w:rsidRPr="00F87E93" w:rsidRDefault="00F87E93" w:rsidP="00F87E93">
      <w:pPr>
        <w:rPr>
          <w:lang w:val="en-US"/>
        </w:rPr>
      </w:pPr>
      <w:r w:rsidRPr="00F87E93">
        <w:rPr>
          <w:lang w:val="en-US"/>
        </w:rPr>
        <w:t xml:space="preserve">Additionally, this process includes the ship freight transportation of oxalic acid from China to France. For that, the port of Shanghai in China and the port of Marseille in France are considered yielding 6,02E+03 </w:t>
      </w:r>
      <w:proofErr w:type="spellStart"/>
      <w:r w:rsidRPr="00F87E93">
        <w:rPr>
          <w:lang w:val="en-US"/>
        </w:rPr>
        <w:t>tkm</w:t>
      </w:r>
      <w:proofErr w:type="spellEnd"/>
      <w:r w:rsidRPr="00F87E93">
        <w:rPr>
          <w:lang w:val="en-US"/>
        </w:rPr>
        <w:t xml:space="preserve"> for a batch.   </w:t>
      </w:r>
    </w:p>
    <w:p w14:paraId="6927D1DC" w14:textId="77777777" w:rsidR="00F87E93" w:rsidRPr="00F87E93" w:rsidRDefault="00F87E93" w:rsidP="00F87E93">
      <w:pPr>
        <w:rPr>
          <w:lang w:val="en-US"/>
        </w:rPr>
      </w:pPr>
    </w:p>
    <w:p w14:paraId="6B4788BB" w14:textId="4BEFB747" w:rsidR="000C01D1" w:rsidRDefault="00F87E93" w:rsidP="00F87E93">
      <w:pPr>
        <w:rPr>
          <w:lang w:val="en-US"/>
        </w:rPr>
      </w:pPr>
      <w:r w:rsidRPr="00F87E93">
        <w:rPr>
          <w:lang w:val="en-US"/>
        </w:rPr>
        <w:t xml:space="preserve">For running a batch, an input of 4,27E+03 kg of filtrate solution results in 1,48E+03 kg of solid-liquid suspension and 3,05E+03 </w:t>
      </w:r>
      <w:r w:rsidR="005A3B0A">
        <w:rPr>
          <w:lang w:val="en-US"/>
        </w:rPr>
        <w:t>kg</w:t>
      </w:r>
      <w:r w:rsidRPr="00F87E93">
        <w:rPr>
          <w:lang w:val="en-US"/>
        </w:rPr>
        <w:t xml:space="preserve"> of regenerated acetic acid.</w:t>
      </w:r>
    </w:p>
    <w:p w14:paraId="770C8DAA" w14:textId="77777777" w:rsidR="005A3B0A" w:rsidRDefault="005A3B0A" w:rsidP="00F87E93">
      <w:pPr>
        <w:rPr>
          <w:lang w:val="en-US"/>
        </w:rPr>
      </w:pPr>
    </w:p>
    <w:p w14:paraId="45C10A61" w14:textId="03934945" w:rsidR="00711A82" w:rsidRDefault="00711A82" w:rsidP="00711A82">
      <w:pPr>
        <w:rPr>
          <w:lang w:val="en-US"/>
        </w:rPr>
      </w:pPr>
      <w:r>
        <w:rPr>
          <w:lang w:val="en-US"/>
        </w:rPr>
        <w:t xml:space="preserve">Please, refer to </w:t>
      </w:r>
      <w:r w:rsidR="00F13457">
        <w:rPr>
          <w:lang w:val="en-US"/>
        </w:rPr>
        <w:fldChar w:fldCharType="begin"/>
      </w:r>
      <w:r w:rsidR="00F13457">
        <w:rPr>
          <w:lang w:val="en-US"/>
        </w:rPr>
        <w:instrText xml:space="preserve"> REF _Ref74851102 \w \h </w:instrText>
      </w:r>
      <w:r w:rsidR="00F13457">
        <w:rPr>
          <w:lang w:val="en-US"/>
        </w:rPr>
      </w:r>
      <w:r w:rsidR="00F13457">
        <w:rPr>
          <w:lang w:val="en-US"/>
        </w:rPr>
        <w:fldChar w:fldCharType="separate"/>
      </w:r>
      <w:r w:rsidR="00F13457">
        <w:rPr>
          <w:lang w:val="en-US"/>
        </w:rPr>
        <w:t>appendix B</w:t>
      </w:r>
      <w:r w:rsidR="00F13457">
        <w:rPr>
          <w:lang w:val="en-US"/>
        </w:rPr>
        <w:fldChar w:fldCharType="end"/>
      </w:r>
      <w:r w:rsidR="00F13457">
        <w:rPr>
          <w:lang w:val="en-US"/>
        </w:rPr>
        <w:t xml:space="preserve"> </w:t>
      </w:r>
      <w:r>
        <w:rPr>
          <w:lang w:val="en-US"/>
        </w:rPr>
        <w:t xml:space="preserve">for the detailed calculations.  </w:t>
      </w:r>
    </w:p>
    <w:p w14:paraId="0E9232F4" w14:textId="19B972D7" w:rsidR="000C01D1" w:rsidRDefault="000C01D1" w:rsidP="00711A82">
      <w:pPr>
        <w:rPr>
          <w:lang w:val="en-US"/>
        </w:rPr>
      </w:pPr>
    </w:p>
    <w:p w14:paraId="2C27A3F9" w14:textId="77777777" w:rsidR="005A3B0A" w:rsidRPr="005A3B0A" w:rsidRDefault="005A3B0A" w:rsidP="005A3B0A">
      <w:pPr>
        <w:rPr>
          <w:lang w:val="en-US"/>
        </w:rPr>
      </w:pPr>
      <w:r w:rsidRPr="005A3B0A">
        <w:rPr>
          <w:lang w:val="en-US"/>
        </w:rPr>
        <w:t>The electricity consumption of the reactor is modeled according to the consumption factor (kWh/</w:t>
      </w:r>
      <w:proofErr w:type="spellStart"/>
      <w:r w:rsidRPr="005A3B0A">
        <w:rPr>
          <w:lang w:val="en-US"/>
        </w:rPr>
        <w:t>tonHDDs</w:t>
      </w:r>
      <w:proofErr w:type="spellEnd"/>
      <w:r w:rsidRPr="005A3B0A">
        <w:rPr>
          <w:lang w:val="en-US"/>
        </w:rPr>
        <w:t xml:space="preserve">) of the precipitation step in the EXTRADE project. The individual consumption factor of the precipitation step is assumed as half of the factor provided because it is reported together with the leaching step. Therefore, the consumption factor is not upscaled or downscaled to adapt to the envisaged plant’s capacity. </w:t>
      </w:r>
    </w:p>
    <w:p w14:paraId="07CA5C6E" w14:textId="77777777" w:rsidR="005A3B0A" w:rsidRPr="005A3B0A" w:rsidRDefault="005A3B0A" w:rsidP="005A3B0A">
      <w:pPr>
        <w:rPr>
          <w:lang w:val="en-US"/>
        </w:rPr>
      </w:pPr>
    </w:p>
    <w:p w14:paraId="4A87A3D6" w14:textId="71632AA6" w:rsidR="005E02C0" w:rsidRDefault="005A3B0A" w:rsidP="005A3B0A">
      <w:pPr>
        <w:rPr>
          <w:lang w:val="en-US"/>
        </w:rPr>
      </w:pPr>
      <w:r w:rsidRPr="005A3B0A">
        <w:rPr>
          <w:lang w:val="en-US"/>
        </w:rPr>
        <w:lastRenderedPageBreak/>
        <w:t>For running a batch, the electricity consumption in the magnetic separation step is 7,73E+02 kWh.</w:t>
      </w:r>
    </w:p>
    <w:p w14:paraId="046824E9" w14:textId="77777777" w:rsidR="005A3B0A" w:rsidRDefault="005A3B0A" w:rsidP="005A3B0A">
      <w:pPr>
        <w:rPr>
          <w:lang w:val="en-US"/>
        </w:rPr>
      </w:pPr>
    </w:p>
    <w:p w14:paraId="6C741C8C" w14:textId="30C790E1" w:rsidR="005E02C0" w:rsidRDefault="005E02C0" w:rsidP="00711A82">
      <w:pPr>
        <w:rPr>
          <w:b/>
          <w:bCs/>
          <w:lang w:val="en-US"/>
        </w:rPr>
      </w:pPr>
      <w:r w:rsidRPr="005E02C0">
        <w:rPr>
          <w:b/>
          <w:bCs/>
          <w:lang w:val="en-US"/>
        </w:rPr>
        <w:t xml:space="preserve">Filtration </w:t>
      </w:r>
      <w:proofErr w:type="gramStart"/>
      <w:r w:rsidRPr="005E02C0">
        <w:rPr>
          <w:b/>
          <w:bCs/>
          <w:lang w:val="en-US"/>
        </w:rPr>
        <w:t>2 unit</w:t>
      </w:r>
      <w:proofErr w:type="gramEnd"/>
      <w:r w:rsidRPr="005E02C0">
        <w:rPr>
          <w:b/>
          <w:bCs/>
          <w:lang w:val="en-US"/>
        </w:rPr>
        <w:t xml:space="preserve"> process</w:t>
      </w:r>
    </w:p>
    <w:p w14:paraId="470F6844" w14:textId="77777777" w:rsidR="009172FC" w:rsidRDefault="009172FC" w:rsidP="009172FC">
      <w:pPr>
        <w:rPr>
          <w:lang w:val="en-US"/>
        </w:rPr>
      </w:pPr>
    </w:p>
    <w:p w14:paraId="2B09BF66" w14:textId="77777777" w:rsidR="00E174DF" w:rsidRPr="00E174DF" w:rsidRDefault="00E174DF" w:rsidP="00E174DF">
      <w:pPr>
        <w:rPr>
          <w:lang w:val="en-US"/>
        </w:rPr>
      </w:pPr>
      <w:r w:rsidRPr="00E174DF">
        <w:rPr>
          <w:lang w:val="en-US"/>
        </w:rPr>
        <w:t xml:space="preserve">Note: the assumptions for the filtration 2 step derives from personal communication with BRGM experts and literature. </w:t>
      </w:r>
    </w:p>
    <w:p w14:paraId="3000641A" w14:textId="77777777" w:rsidR="00E174DF" w:rsidRPr="00E174DF" w:rsidRDefault="00E174DF" w:rsidP="00E174DF">
      <w:pPr>
        <w:rPr>
          <w:lang w:val="en-US"/>
        </w:rPr>
      </w:pPr>
    </w:p>
    <w:p w14:paraId="1A0D0E31" w14:textId="77777777" w:rsidR="00E174DF" w:rsidRPr="00E174DF" w:rsidRDefault="00E174DF" w:rsidP="00E174DF">
      <w:pPr>
        <w:rPr>
          <w:lang w:val="en-US"/>
        </w:rPr>
      </w:pPr>
      <w:r w:rsidRPr="00E174DF">
        <w:rPr>
          <w:lang w:val="en-US"/>
        </w:rPr>
        <w:t xml:space="preserve">The solid-liquid suspension outflowing the RE recovery step contains Nd oxalates that will be removed in the filtration 2 process. In the envisaged plant, the filtration is performed by a filter press. After filtration, there are two outputs, the Nd </w:t>
      </w:r>
      <w:proofErr w:type="gramStart"/>
      <w:r w:rsidRPr="00E174DF">
        <w:rPr>
          <w:lang w:val="en-US"/>
        </w:rPr>
        <w:t>oxalate</w:t>
      </w:r>
      <w:proofErr w:type="gramEnd"/>
      <w:r w:rsidRPr="00E174DF">
        <w:rPr>
          <w:lang w:val="en-US"/>
        </w:rPr>
        <w:t xml:space="preserve"> and the filtrate solution, which contains oxalic acid and iron oxalate dissolved. No losses are accounted for in this step. </w:t>
      </w:r>
    </w:p>
    <w:p w14:paraId="01E631FD" w14:textId="77777777" w:rsidR="00E174DF" w:rsidRPr="00E174DF" w:rsidRDefault="00E174DF" w:rsidP="00E174DF">
      <w:pPr>
        <w:rPr>
          <w:lang w:val="en-US"/>
        </w:rPr>
      </w:pPr>
    </w:p>
    <w:p w14:paraId="7718759F" w14:textId="77777777" w:rsidR="00E174DF" w:rsidRPr="00E174DF" w:rsidRDefault="00E174DF" w:rsidP="00E174DF">
      <w:pPr>
        <w:rPr>
          <w:lang w:val="en-US"/>
        </w:rPr>
      </w:pPr>
      <w:r w:rsidRPr="00E174DF">
        <w:rPr>
          <w:lang w:val="en-US"/>
        </w:rPr>
        <w:t xml:space="preserve">In personal communication with BRGM experts, the filtrate solution may have potential to be regenerated, using the oxalic acid back into the system and selling iron oxide to the market. However, to do so, the complexes in the iron oxalate need to be destabilized to precipitate it and reuse the oxalic acid. The experts say that this process was not directly possible, and changes in other parts of the chain should be made to avoid the iron residue in solution. Unfortunately, those changes could not be shared due to confidentiality issues. Thus, the filtrate solution outflow is modeled as a spent solvent to be treated as hazardous waste in the route proposed here. </w:t>
      </w:r>
    </w:p>
    <w:p w14:paraId="0065563F" w14:textId="77777777" w:rsidR="00E174DF" w:rsidRPr="00E174DF" w:rsidRDefault="00E174DF" w:rsidP="00E174DF">
      <w:pPr>
        <w:rPr>
          <w:lang w:val="en-US"/>
        </w:rPr>
      </w:pPr>
    </w:p>
    <w:p w14:paraId="71BAD6A3" w14:textId="0289FE1F" w:rsidR="00553AAF" w:rsidRDefault="00E174DF" w:rsidP="00E174DF">
      <w:pPr>
        <w:rPr>
          <w:lang w:val="en-US"/>
        </w:rPr>
      </w:pPr>
      <w:r w:rsidRPr="00E174DF">
        <w:rPr>
          <w:lang w:val="en-US"/>
        </w:rPr>
        <w:t>For running a batch, the input of 1,48E+03 kg of the solid-liquid suspension, after filtration, forms 2,90E+02 kg of Nd oxalate and 1,19E+03 kg of filtrate solution.</w:t>
      </w:r>
    </w:p>
    <w:p w14:paraId="02E6A496" w14:textId="77777777" w:rsidR="00E174DF" w:rsidRDefault="00E174DF" w:rsidP="00E174DF">
      <w:pPr>
        <w:rPr>
          <w:lang w:val="en-US"/>
        </w:rPr>
      </w:pPr>
    </w:p>
    <w:p w14:paraId="27C9171D" w14:textId="1531912F" w:rsidR="00553AAF" w:rsidRDefault="00553AAF" w:rsidP="00553AAF">
      <w:pPr>
        <w:rPr>
          <w:lang w:val="en-US"/>
        </w:rPr>
      </w:pPr>
      <w:r>
        <w:rPr>
          <w:lang w:val="en-US"/>
        </w:rPr>
        <w:t xml:space="preserve">Please, refer to </w:t>
      </w:r>
      <w:r w:rsidR="00BA61EA">
        <w:rPr>
          <w:lang w:val="en-US"/>
        </w:rPr>
        <w:fldChar w:fldCharType="begin"/>
      </w:r>
      <w:r w:rsidR="00BA61EA">
        <w:rPr>
          <w:lang w:val="en-US"/>
        </w:rPr>
        <w:instrText xml:space="preserve"> REF _Ref74851102 \w \h </w:instrText>
      </w:r>
      <w:r w:rsidR="00BA61EA">
        <w:rPr>
          <w:lang w:val="en-US"/>
        </w:rPr>
      </w:r>
      <w:r w:rsidR="00BA61EA">
        <w:rPr>
          <w:lang w:val="en-US"/>
        </w:rPr>
        <w:fldChar w:fldCharType="separate"/>
      </w:r>
      <w:r w:rsidR="00BA61EA">
        <w:rPr>
          <w:lang w:val="en-US"/>
        </w:rPr>
        <w:t>appendix B</w:t>
      </w:r>
      <w:r w:rsidR="00BA61EA">
        <w:rPr>
          <w:lang w:val="en-US"/>
        </w:rPr>
        <w:fldChar w:fldCharType="end"/>
      </w:r>
      <w:r w:rsidR="00BA61EA">
        <w:rPr>
          <w:lang w:val="en-US"/>
        </w:rPr>
        <w:t xml:space="preserve"> </w:t>
      </w:r>
      <w:r>
        <w:rPr>
          <w:lang w:val="en-US"/>
        </w:rPr>
        <w:t xml:space="preserve">for the detailed calculations.  </w:t>
      </w:r>
    </w:p>
    <w:p w14:paraId="15C65D52" w14:textId="75F6C703" w:rsidR="001447B3" w:rsidRDefault="001447B3" w:rsidP="00553AAF">
      <w:pPr>
        <w:rPr>
          <w:lang w:val="en-US"/>
        </w:rPr>
      </w:pPr>
    </w:p>
    <w:p w14:paraId="71C59367" w14:textId="77777777" w:rsidR="00E174DF" w:rsidRPr="00E174DF" w:rsidRDefault="00E174DF" w:rsidP="00E174DF">
      <w:pPr>
        <w:rPr>
          <w:lang w:val="en-US"/>
        </w:rPr>
      </w:pPr>
      <w:r w:rsidRPr="00E174DF">
        <w:rPr>
          <w:lang w:val="en-US"/>
        </w:rPr>
        <w:t>The electricity consumption of the filter press is modeled according to the consumption factor (kWh/</w:t>
      </w:r>
      <w:proofErr w:type="spellStart"/>
      <w:r w:rsidRPr="00E174DF">
        <w:rPr>
          <w:lang w:val="en-US"/>
        </w:rPr>
        <w:t>tonHDDs</w:t>
      </w:r>
      <w:proofErr w:type="spellEnd"/>
      <w:r w:rsidRPr="00E174DF">
        <w:rPr>
          <w:lang w:val="en-US"/>
        </w:rPr>
        <w:t xml:space="preserve">) of the filtration step in the EXTRADE project. Therefore, the consumption factor is not upscaled or downscaled to adapt to the envisaged plant’s capacity. </w:t>
      </w:r>
    </w:p>
    <w:p w14:paraId="43B4C709" w14:textId="77777777" w:rsidR="00E174DF" w:rsidRPr="00E174DF" w:rsidRDefault="00E174DF" w:rsidP="00E174DF">
      <w:pPr>
        <w:rPr>
          <w:lang w:val="en-US"/>
        </w:rPr>
      </w:pPr>
    </w:p>
    <w:p w14:paraId="72CBCF2A" w14:textId="23B24954" w:rsidR="001447B3" w:rsidRDefault="00E174DF" w:rsidP="00E174DF">
      <w:pPr>
        <w:rPr>
          <w:lang w:val="en-US"/>
        </w:rPr>
      </w:pPr>
      <w:r w:rsidRPr="00E174DF">
        <w:rPr>
          <w:lang w:val="en-US"/>
        </w:rPr>
        <w:t>For running a batch, the electricity consumption in the magnetic separation step is 1,55E+03 kWh.</w:t>
      </w:r>
    </w:p>
    <w:p w14:paraId="09B3E46D" w14:textId="77777777" w:rsidR="00E174DF" w:rsidRDefault="00E174DF" w:rsidP="00E174DF">
      <w:pPr>
        <w:rPr>
          <w:lang w:val="en-US"/>
        </w:rPr>
      </w:pPr>
    </w:p>
    <w:p w14:paraId="32A4D10E" w14:textId="791572A3" w:rsidR="00553AAF" w:rsidRPr="00553AAF" w:rsidRDefault="00553AAF" w:rsidP="00553AAF">
      <w:pPr>
        <w:rPr>
          <w:b/>
          <w:bCs/>
          <w:lang w:val="en-US"/>
        </w:rPr>
      </w:pPr>
      <w:r w:rsidRPr="00553AAF">
        <w:rPr>
          <w:b/>
          <w:bCs/>
          <w:lang w:val="en-US"/>
        </w:rPr>
        <w:lastRenderedPageBreak/>
        <w:t>Calcination</w:t>
      </w:r>
    </w:p>
    <w:p w14:paraId="69792B74" w14:textId="77777777" w:rsidR="00C86A76" w:rsidRDefault="00C86A76" w:rsidP="00553AAF">
      <w:pPr>
        <w:rPr>
          <w:lang w:val="en-US"/>
        </w:rPr>
      </w:pPr>
    </w:p>
    <w:p w14:paraId="4184FA91" w14:textId="09656678" w:rsidR="00553AAF" w:rsidRDefault="00553AAF" w:rsidP="00553AAF">
      <w:pPr>
        <w:rPr>
          <w:lang w:val="en-US"/>
        </w:rPr>
      </w:pPr>
      <w:r>
        <w:rPr>
          <w:lang w:val="en-US"/>
        </w:rPr>
        <w:t xml:space="preserve">Note: the assumptions for the calcination step derives from </w:t>
      </w:r>
      <w:r w:rsidR="00654C08">
        <w:rPr>
          <w:lang w:val="en-US"/>
        </w:rPr>
        <w:t>literature</w:t>
      </w:r>
      <w:r w:rsidR="00D00C5F">
        <w:rPr>
          <w:lang w:val="en-US"/>
        </w:rPr>
        <w:t xml:space="preserve"> and</w:t>
      </w:r>
      <w:r w:rsidR="00D875B6">
        <w:rPr>
          <w:lang w:val="en-US"/>
        </w:rPr>
        <w:t xml:space="preserve"> </w:t>
      </w:r>
      <w:r w:rsidR="00D00C5F">
        <w:rPr>
          <w:lang w:val="en-US"/>
        </w:rPr>
        <w:t>personal communication with BRGM experts</w:t>
      </w:r>
      <w:r>
        <w:rPr>
          <w:lang w:val="en-US"/>
        </w:rPr>
        <w:t>.</w:t>
      </w:r>
      <w:r w:rsidR="00352A33">
        <w:rPr>
          <w:lang w:val="en-US"/>
        </w:rPr>
        <w:t xml:space="preserve"> The mass balance for this process is according to the stoichiometry of the calcination reaction</w:t>
      </w:r>
      <w:r w:rsidR="00EA0BDB">
        <w:rPr>
          <w:lang w:val="en-US"/>
        </w:rPr>
        <w:t xml:space="preserve">: </w:t>
      </w:r>
      <w:r w:rsidR="00710E77" w:rsidRPr="00710E77">
        <w:rPr>
          <w:lang w:val="en-US"/>
        </w:rPr>
        <w:t>2Nd</w:t>
      </w:r>
      <w:r w:rsidR="00710E77" w:rsidRPr="00EA0BDB">
        <w:rPr>
          <w:vertAlign w:val="subscript"/>
          <w:lang w:val="en-US"/>
        </w:rPr>
        <w:t>2</w:t>
      </w:r>
      <w:r w:rsidR="00710E77" w:rsidRPr="00710E77">
        <w:rPr>
          <w:lang w:val="en-US"/>
        </w:rPr>
        <w:t>(C</w:t>
      </w:r>
      <w:r w:rsidR="00710E77" w:rsidRPr="00EA0BDB">
        <w:rPr>
          <w:vertAlign w:val="subscript"/>
          <w:lang w:val="en-US"/>
        </w:rPr>
        <w:t>2</w:t>
      </w:r>
      <w:r w:rsidR="00710E77" w:rsidRPr="00710E77">
        <w:rPr>
          <w:lang w:val="en-US"/>
        </w:rPr>
        <w:t>O</w:t>
      </w:r>
      <w:r w:rsidR="00710E77" w:rsidRPr="00EA0BDB">
        <w:rPr>
          <w:vertAlign w:val="subscript"/>
          <w:lang w:val="en-US"/>
        </w:rPr>
        <w:t>4</w:t>
      </w:r>
      <w:r w:rsidR="00710E77" w:rsidRPr="00710E77">
        <w:rPr>
          <w:lang w:val="en-US"/>
        </w:rPr>
        <w:t>)</w:t>
      </w:r>
      <w:r w:rsidR="00710E77" w:rsidRPr="00EA0BDB">
        <w:rPr>
          <w:vertAlign w:val="subscript"/>
          <w:lang w:val="en-US"/>
        </w:rPr>
        <w:t>3</w:t>
      </w:r>
      <w:r w:rsidR="00710E77" w:rsidRPr="00710E77">
        <w:rPr>
          <w:lang w:val="en-US"/>
        </w:rPr>
        <w:t xml:space="preserve"> +3O</w:t>
      </w:r>
      <w:r w:rsidR="00710E77" w:rsidRPr="00EA0BDB">
        <w:rPr>
          <w:vertAlign w:val="subscript"/>
          <w:lang w:val="en-US"/>
        </w:rPr>
        <w:t>2</w:t>
      </w:r>
      <w:r w:rsidR="00EA0BDB">
        <w:rPr>
          <w:lang w:val="en-US"/>
        </w:rPr>
        <w:t xml:space="preserve"> </w:t>
      </w:r>
      <w:r w:rsidR="00EA0BDB" w:rsidRPr="00EA0BDB">
        <w:rPr>
          <w:lang w:val="en-US"/>
        </w:rPr>
        <w:sym w:font="Wingdings" w:char="F0E0"/>
      </w:r>
      <w:r w:rsidR="00710E77" w:rsidRPr="00710E77">
        <w:rPr>
          <w:lang w:val="en-US"/>
        </w:rPr>
        <w:t xml:space="preserve"> 2Nd</w:t>
      </w:r>
      <w:r w:rsidR="00710E77" w:rsidRPr="00EA0BDB">
        <w:rPr>
          <w:vertAlign w:val="subscript"/>
          <w:lang w:val="en-US"/>
        </w:rPr>
        <w:t>2</w:t>
      </w:r>
      <w:r w:rsidR="00710E77" w:rsidRPr="00710E77">
        <w:rPr>
          <w:lang w:val="en-US"/>
        </w:rPr>
        <w:t>O</w:t>
      </w:r>
      <w:r w:rsidR="00710E77" w:rsidRPr="00EA0BDB">
        <w:rPr>
          <w:vertAlign w:val="subscript"/>
          <w:lang w:val="en-US"/>
        </w:rPr>
        <w:t>3</w:t>
      </w:r>
      <w:r w:rsidR="00710E77" w:rsidRPr="00710E77">
        <w:rPr>
          <w:lang w:val="en-US"/>
        </w:rPr>
        <w:t xml:space="preserve"> +12CO</w:t>
      </w:r>
      <w:r w:rsidR="00710E77" w:rsidRPr="00EA0BDB">
        <w:rPr>
          <w:vertAlign w:val="subscript"/>
          <w:lang w:val="en-US"/>
        </w:rPr>
        <w:t>2</w:t>
      </w:r>
      <w:r w:rsidR="00710E77">
        <w:rPr>
          <w:lang w:val="en-US"/>
        </w:rPr>
        <w:t>.</w:t>
      </w:r>
    </w:p>
    <w:p w14:paraId="224A4895" w14:textId="77777777" w:rsidR="00C86A76" w:rsidRDefault="00C86A76" w:rsidP="00553AAF">
      <w:pPr>
        <w:rPr>
          <w:lang w:val="en-US"/>
        </w:rPr>
      </w:pPr>
    </w:p>
    <w:p w14:paraId="3AB0AB09" w14:textId="27302D72" w:rsidR="00D875B6" w:rsidRPr="00D875B6" w:rsidRDefault="00D875B6" w:rsidP="00D875B6">
      <w:pPr>
        <w:rPr>
          <w:lang w:val="en-US"/>
        </w:rPr>
      </w:pPr>
      <w:r w:rsidRPr="00D875B6">
        <w:rPr>
          <w:lang w:val="en-US"/>
        </w:rPr>
        <w:t xml:space="preserve">The Nd oxalate output from filtration 2 step needs to be converted into Nd oxide, the preferable commercial form. The process for converting oxalate into oxide involves heating the compound. In the envisaged plant, the calcination is performed in a furnace fueled with natural gas. </w:t>
      </w:r>
      <w:r w:rsidRPr="007F5D9F">
        <w:rPr>
          <w:lang w:val="en-US"/>
        </w:rPr>
        <w:t>From</w:t>
      </w:r>
      <w:r w:rsidR="0020776A" w:rsidRPr="007F5D9F">
        <w:rPr>
          <w:lang w:val="en-US"/>
        </w:rPr>
        <w:t xml:space="preserve"> (</w:t>
      </w:r>
      <w:proofErr w:type="spellStart"/>
      <w:r w:rsidR="000F266E">
        <w:rPr>
          <w:lang w:val="en-US"/>
        </w:rPr>
        <w:t>Skone</w:t>
      </w:r>
      <w:proofErr w:type="spellEnd"/>
      <w:r w:rsidR="0020776A" w:rsidRPr="007F5D9F">
        <w:rPr>
          <w:lang w:val="en-US"/>
        </w:rPr>
        <w:t>, 2014)</w:t>
      </w:r>
      <w:r w:rsidRPr="007F5D9F">
        <w:rPr>
          <w:lang w:val="en-US"/>
        </w:rPr>
        <w:t>,</w:t>
      </w:r>
      <w:r w:rsidRPr="00D875B6">
        <w:rPr>
          <w:lang w:val="en-US"/>
        </w:rPr>
        <w:t xml:space="preserve"> 3,39E+03 kJ of heating needs per kg of Nd oxalate for calcinating at 1000</w:t>
      </w:r>
      <w:r w:rsidRPr="00D875B6">
        <w:rPr>
          <w:vertAlign w:val="superscript"/>
          <w:lang w:val="en-US"/>
        </w:rPr>
        <w:t>o</w:t>
      </w:r>
      <w:r w:rsidRPr="00D875B6">
        <w:rPr>
          <w:lang w:val="en-US"/>
        </w:rPr>
        <w:t>C held for an hour, which is considered enough for this route. The emission of CO2 produced by the heating of Nd oxalate is modeled according to the calcination reaction’s stoichiometry. No losses are accounted for in this step.</w:t>
      </w:r>
    </w:p>
    <w:p w14:paraId="269E4D04" w14:textId="77777777" w:rsidR="00D875B6" w:rsidRPr="00D875B6" w:rsidRDefault="00D875B6" w:rsidP="00D875B6">
      <w:pPr>
        <w:rPr>
          <w:lang w:val="en-US"/>
        </w:rPr>
      </w:pPr>
    </w:p>
    <w:p w14:paraId="013937FE" w14:textId="21FD56A4" w:rsidR="00945184" w:rsidRDefault="00D875B6" w:rsidP="00D875B6">
      <w:pPr>
        <w:rPr>
          <w:lang w:val="en-US"/>
        </w:rPr>
      </w:pPr>
      <w:r w:rsidRPr="00D875B6">
        <w:rPr>
          <w:lang w:val="en-US"/>
        </w:rPr>
        <w:t xml:space="preserve">For running a batch, the input of 2,90E+02 kg of Nd oxalate produces, after calcination, 1,77E+02 kg of Nd oxide and emits 1,38E+02 kg of CO2.  </w:t>
      </w:r>
    </w:p>
    <w:p w14:paraId="5B08C27A" w14:textId="77777777" w:rsidR="00D875B6" w:rsidRDefault="00D875B6" w:rsidP="00945184">
      <w:pPr>
        <w:rPr>
          <w:lang w:val="en-US"/>
        </w:rPr>
      </w:pPr>
    </w:p>
    <w:p w14:paraId="0B25CC2A" w14:textId="3761AB60" w:rsidR="00945184" w:rsidRDefault="00945184" w:rsidP="00945184">
      <w:pPr>
        <w:rPr>
          <w:lang w:val="en-US"/>
        </w:rPr>
      </w:pPr>
      <w:r>
        <w:rPr>
          <w:lang w:val="en-US"/>
        </w:rPr>
        <w:t xml:space="preserve">Please, refer to </w:t>
      </w:r>
      <w:r w:rsidR="00C41A3F">
        <w:rPr>
          <w:lang w:val="en-US"/>
        </w:rPr>
        <w:fldChar w:fldCharType="begin"/>
      </w:r>
      <w:r w:rsidR="00C41A3F">
        <w:rPr>
          <w:lang w:val="en-US"/>
        </w:rPr>
        <w:instrText xml:space="preserve"> REF _Ref74851102 \w \h </w:instrText>
      </w:r>
      <w:r w:rsidR="00C41A3F">
        <w:rPr>
          <w:lang w:val="en-US"/>
        </w:rPr>
      </w:r>
      <w:r w:rsidR="00C41A3F">
        <w:rPr>
          <w:lang w:val="en-US"/>
        </w:rPr>
        <w:fldChar w:fldCharType="separate"/>
      </w:r>
      <w:r w:rsidR="00C41A3F">
        <w:rPr>
          <w:lang w:val="en-US"/>
        </w:rPr>
        <w:t>appendix B</w:t>
      </w:r>
      <w:r w:rsidR="00C41A3F">
        <w:rPr>
          <w:lang w:val="en-US"/>
        </w:rPr>
        <w:fldChar w:fldCharType="end"/>
      </w:r>
      <w:r>
        <w:rPr>
          <w:lang w:val="en-US"/>
        </w:rPr>
        <w:t xml:space="preserve"> for the detailed calculations.  </w:t>
      </w:r>
    </w:p>
    <w:p w14:paraId="0A8005AE" w14:textId="77777777" w:rsidR="00D875B6" w:rsidRDefault="00D875B6" w:rsidP="00151D1C">
      <w:pPr>
        <w:rPr>
          <w:lang w:val="en-US"/>
        </w:rPr>
      </w:pPr>
    </w:p>
    <w:p w14:paraId="7AE82DF3" w14:textId="76779FA6" w:rsidR="00151D1C" w:rsidRDefault="00D875B6" w:rsidP="00151D1C">
      <w:pPr>
        <w:rPr>
          <w:lang w:val="en-US"/>
        </w:rPr>
      </w:pPr>
      <w:r>
        <w:rPr>
          <w:lang w:val="en-US"/>
        </w:rPr>
        <w:t>T</w:t>
      </w:r>
      <w:r w:rsidR="00151D1C" w:rsidRPr="00274F27">
        <w:rPr>
          <w:lang w:val="en-US"/>
        </w:rPr>
        <w:t>he</w:t>
      </w:r>
      <w:r w:rsidR="00151D1C">
        <w:rPr>
          <w:lang w:val="en-US"/>
        </w:rPr>
        <w:t xml:space="preserve"> </w:t>
      </w:r>
      <w:r w:rsidR="00151D1C" w:rsidRPr="00274F27">
        <w:rPr>
          <w:lang w:val="en-US"/>
        </w:rPr>
        <w:t>electricity</w:t>
      </w:r>
      <w:r w:rsidR="00151D1C">
        <w:rPr>
          <w:lang w:val="en-US"/>
        </w:rPr>
        <w:t xml:space="preserve"> consumption of the </w:t>
      </w:r>
      <w:r w:rsidR="005B5579">
        <w:rPr>
          <w:lang w:val="en-US"/>
        </w:rPr>
        <w:t xml:space="preserve">furnace </w:t>
      </w:r>
      <w:r w:rsidR="00151D1C">
        <w:rPr>
          <w:lang w:val="en-US"/>
        </w:rPr>
        <w:t>is modeled according to the consumption factor (kWh/</w:t>
      </w:r>
      <w:proofErr w:type="spellStart"/>
      <w:r w:rsidR="00151D1C">
        <w:rPr>
          <w:lang w:val="en-US"/>
        </w:rPr>
        <w:t>tonHDDs</w:t>
      </w:r>
      <w:proofErr w:type="spellEnd"/>
      <w:r w:rsidR="00151D1C">
        <w:rPr>
          <w:lang w:val="en-US"/>
        </w:rPr>
        <w:t xml:space="preserve">) of the </w:t>
      </w:r>
      <w:r w:rsidR="005B5579">
        <w:rPr>
          <w:lang w:val="en-US"/>
        </w:rPr>
        <w:t>demagnetization</w:t>
      </w:r>
      <w:r w:rsidR="00151D1C">
        <w:rPr>
          <w:lang w:val="en-US"/>
        </w:rPr>
        <w:t xml:space="preserve"> step in the EXTRADE project.</w:t>
      </w:r>
      <w:r w:rsidR="005B5579">
        <w:rPr>
          <w:lang w:val="en-US"/>
        </w:rPr>
        <w:t xml:space="preserve"> The furnace is assumed to be fueled by natural gas</w:t>
      </w:r>
      <w:r w:rsidR="00D02120">
        <w:rPr>
          <w:lang w:val="en-US"/>
        </w:rPr>
        <w:t>.</w:t>
      </w:r>
      <w:r w:rsidR="005B5579">
        <w:rPr>
          <w:lang w:val="en-US"/>
        </w:rPr>
        <w:t xml:space="preserve"> </w:t>
      </w:r>
      <w:r w:rsidR="00D02120">
        <w:rPr>
          <w:lang w:val="en-US"/>
        </w:rPr>
        <w:t>T</w:t>
      </w:r>
      <w:r w:rsidR="005B5579">
        <w:rPr>
          <w:lang w:val="en-US"/>
        </w:rPr>
        <w:t>hus</w:t>
      </w:r>
      <w:r w:rsidR="00D02120">
        <w:rPr>
          <w:lang w:val="en-US"/>
        </w:rPr>
        <w:t>,</w:t>
      </w:r>
      <w:r w:rsidR="005B5579">
        <w:rPr>
          <w:lang w:val="en-US"/>
        </w:rPr>
        <w:t xml:space="preserve"> the electricity consumption is designed to run the electric components of the machine. Because of this</w:t>
      </w:r>
      <w:r w:rsidR="00156251">
        <w:rPr>
          <w:lang w:val="en-US"/>
        </w:rPr>
        <w:t>,</w:t>
      </w:r>
      <w:r w:rsidR="005B5579">
        <w:rPr>
          <w:lang w:val="en-US"/>
        </w:rPr>
        <w:t xml:space="preserve"> the consumption factor is assumed to be 1/</w:t>
      </w:r>
      <w:r w:rsidR="00126994">
        <w:rPr>
          <w:lang w:val="en-US"/>
        </w:rPr>
        <w:t>3</w:t>
      </w:r>
      <w:r w:rsidR="005B5579">
        <w:rPr>
          <w:lang w:val="en-US"/>
        </w:rPr>
        <w:t>0</w:t>
      </w:r>
      <w:r w:rsidR="005B5579" w:rsidRPr="005B5579">
        <w:rPr>
          <w:vertAlign w:val="superscript"/>
          <w:lang w:val="en-US"/>
        </w:rPr>
        <w:t>th</w:t>
      </w:r>
      <w:r w:rsidR="005B5579">
        <w:rPr>
          <w:lang w:val="en-US"/>
        </w:rPr>
        <w:t xml:space="preserve"> of the factor reported for demagnetization</w:t>
      </w:r>
      <w:r w:rsidR="00156251">
        <w:rPr>
          <w:lang w:val="en-US"/>
        </w:rPr>
        <w:t>, in which an electric furnace was assumed</w:t>
      </w:r>
      <w:r w:rsidR="005B5579">
        <w:rPr>
          <w:lang w:val="en-US"/>
        </w:rPr>
        <w:t>.</w:t>
      </w:r>
    </w:p>
    <w:p w14:paraId="3837AA4E" w14:textId="77777777" w:rsidR="00151D1C" w:rsidRDefault="00151D1C" w:rsidP="00151D1C">
      <w:pPr>
        <w:rPr>
          <w:lang w:val="en-US"/>
        </w:rPr>
      </w:pPr>
    </w:p>
    <w:p w14:paraId="3AD0E4D9" w14:textId="127D303E" w:rsidR="00151D1C" w:rsidRDefault="00151D1C" w:rsidP="00945184">
      <w:pPr>
        <w:rPr>
          <w:lang w:val="en-US"/>
        </w:rPr>
      </w:pPr>
      <w:r>
        <w:rPr>
          <w:lang w:val="en-US"/>
        </w:rPr>
        <w:t xml:space="preserve">For running a batch, the electricity consumption in the magnetic separation step is </w:t>
      </w:r>
      <w:r w:rsidR="00075CF6">
        <w:rPr>
          <w:lang w:val="en-US"/>
        </w:rPr>
        <w:t>8</w:t>
      </w:r>
      <w:r>
        <w:rPr>
          <w:lang w:val="en-US"/>
        </w:rPr>
        <w:t>,5</w:t>
      </w:r>
      <w:r w:rsidR="00075CF6">
        <w:rPr>
          <w:lang w:val="en-US"/>
        </w:rPr>
        <w:t>9</w:t>
      </w:r>
      <w:r>
        <w:rPr>
          <w:lang w:val="en-US"/>
        </w:rPr>
        <w:t>E+0</w:t>
      </w:r>
      <w:r w:rsidR="00075CF6">
        <w:rPr>
          <w:lang w:val="en-US"/>
        </w:rPr>
        <w:t>2</w:t>
      </w:r>
      <w:r>
        <w:rPr>
          <w:lang w:val="en-US"/>
        </w:rPr>
        <w:t xml:space="preserve"> kWh.</w:t>
      </w:r>
    </w:p>
    <w:p w14:paraId="67B08022" w14:textId="793073E0" w:rsidR="000340FD" w:rsidRDefault="000340FD" w:rsidP="00945184">
      <w:pPr>
        <w:rPr>
          <w:lang w:val="en-US"/>
        </w:rPr>
      </w:pPr>
    </w:p>
    <w:p w14:paraId="52DA4086" w14:textId="59169B3C" w:rsidR="000340FD" w:rsidRDefault="00BD13EB" w:rsidP="00945184">
      <w:pPr>
        <w:rPr>
          <w:b/>
          <w:bCs/>
          <w:lang w:val="en-US"/>
        </w:rPr>
      </w:pPr>
      <w:r w:rsidRPr="00BD13EB">
        <w:rPr>
          <w:b/>
          <w:bCs/>
          <w:lang w:val="en-US"/>
        </w:rPr>
        <w:t>Sensitivity analysis for oxalic acid recovery</w:t>
      </w:r>
    </w:p>
    <w:p w14:paraId="2D41E0F1" w14:textId="535F3D64" w:rsidR="00BD13EB" w:rsidRDefault="00BD13EB" w:rsidP="00945184">
      <w:pPr>
        <w:rPr>
          <w:b/>
          <w:bCs/>
          <w:lang w:val="en-US"/>
        </w:rPr>
      </w:pPr>
    </w:p>
    <w:p w14:paraId="448C6537" w14:textId="58C5F3AA" w:rsidR="00C9232C" w:rsidRDefault="001D1EA1" w:rsidP="00945184">
      <w:pPr>
        <w:rPr>
          <w:lang w:val="en-US"/>
        </w:rPr>
      </w:pPr>
      <w:r w:rsidRPr="001D1EA1">
        <w:rPr>
          <w:lang w:val="en-US"/>
        </w:rPr>
        <w:t xml:space="preserve">When modeling the regeneration of oxalic acid, the main change in the system is regarding the iron oxide precipitation in the Filtration 1 unit process. Instead of 80%, this is set to be 100%.  According to personal communication with experts, total elimination of iron from the leachate is essential to recover oxalic acid in the filtration </w:t>
      </w:r>
      <w:proofErr w:type="gramStart"/>
      <w:r w:rsidRPr="001D1EA1">
        <w:rPr>
          <w:lang w:val="en-US"/>
        </w:rPr>
        <w:t>2 unit</w:t>
      </w:r>
      <w:proofErr w:type="gramEnd"/>
      <w:r w:rsidRPr="001D1EA1">
        <w:rPr>
          <w:lang w:val="en-US"/>
        </w:rPr>
        <w:t xml:space="preserve"> process. Without iron, impurities in the </w:t>
      </w:r>
      <w:r w:rsidRPr="001D1EA1">
        <w:rPr>
          <w:lang w:val="en-US"/>
        </w:rPr>
        <w:lastRenderedPageBreak/>
        <w:t xml:space="preserve">leachate are reduced, thus reducing oxalic acid consumption by impurities </w:t>
      </w:r>
      <w:r w:rsidRPr="00C821EF">
        <w:rPr>
          <w:lang w:val="en-US"/>
        </w:rPr>
        <w:t>(see RE recovery modeling)</w:t>
      </w:r>
      <w:r w:rsidRPr="001D1EA1">
        <w:rPr>
          <w:lang w:val="en-US"/>
        </w:rPr>
        <w:t>. As a result, the overall need for oxalic acid in the system is reduced by 6,09E+01 kg. The part of the reagent in excess is assumed to be regenerated, which is 9,45E+01 kg. Therefore, in the sensitivity analysis for regeneration of oxalic acid, it is offset by 1,55E+02 kg compared to the original system.</w:t>
      </w:r>
    </w:p>
    <w:p w14:paraId="48605188" w14:textId="22FB05D6" w:rsidR="00B70033" w:rsidRDefault="00B70033">
      <w:pPr>
        <w:spacing w:before="0" w:after="0" w:line="240" w:lineRule="auto"/>
        <w:contextualSpacing w:val="0"/>
        <w:jc w:val="left"/>
        <w:rPr>
          <w:lang w:val="en-US"/>
        </w:rPr>
      </w:pPr>
      <w:r>
        <w:rPr>
          <w:lang w:val="en-US"/>
        </w:rPr>
        <w:br w:type="page"/>
      </w:r>
    </w:p>
    <w:p w14:paraId="131B9F83" w14:textId="77777777" w:rsidR="00BD13EB" w:rsidRDefault="00BD13EB" w:rsidP="00945184">
      <w:pPr>
        <w:rPr>
          <w:lang w:val="en-US"/>
        </w:rPr>
      </w:pPr>
    </w:p>
    <w:p w14:paraId="0851EBD7" w14:textId="17BCF7D1" w:rsidR="00BD13EB" w:rsidRDefault="00BD13EB" w:rsidP="00B70033">
      <w:pPr>
        <w:pStyle w:val="Heading6"/>
      </w:pPr>
      <w:bookmarkStart w:id="97" w:name="_Toc76752294"/>
      <w:bookmarkStart w:id="98" w:name="_Ref74851102"/>
      <w:bookmarkEnd w:id="97"/>
    </w:p>
    <w:bookmarkEnd w:id="98"/>
    <w:p w14:paraId="477BC08D" w14:textId="2F326729" w:rsidR="00B70033" w:rsidRPr="00B70033" w:rsidRDefault="00B70033" w:rsidP="00B70033">
      <w:pPr>
        <w:rPr>
          <w:rFonts w:ascii="Arial" w:hAnsi="Arial" w:cs="Arial"/>
          <w:b/>
          <w:bCs/>
          <w:lang w:val="en-US"/>
        </w:rPr>
      </w:pPr>
      <w:r>
        <w:rPr>
          <w:rFonts w:ascii="Arial" w:hAnsi="Arial" w:cs="Arial"/>
          <w:b/>
          <w:bCs/>
          <w:lang w:val="en-US"/>
        </w:rPr>
        <w:t xml:space="preserve">                                                       D</w:t>
      </w:r>
      <w:r w:rsidRPr="00B70033">
        <w:rPr>
          <w:rFonts w:ascii="Arial" w:hAnsi="Arial" w:cs="Arial"/>
          <w:b/>
          <w:bCs/>
          <w:lang w:val="en-US"/>
        </w:rPr>
        <w:t>ataset</w:t>
      </w:r>
    </w:p>
    <w:p w14:paraId="7C3B5267" w14:textId="77777777" w:rsidR="00BD13EB" w:rsidRDefault="00BD13EB" w:rsidP="00945184">
      <w:pPr>
        <w:rPr>
          <w:lang w:val="en-US"/>
        </w:rPr>
      </w:pPr>
    </w:p>
    <w:p w14:paraId="4AD055EA" w14:textId="3B7AB340" w:rsidR="000340FD" w:rsidRDefault="00B70033" w:rsidP="00945184">
      <w:pPr>
        <w:rPr>
          <w:lang w:val="en-US"/>
        </w:rPr>
      </w:pPr>
      <w:r>
        <w:rPr>
          <w:lang w:val="en-US"/>
        </w:rPr>
        <w:t>Appendix B refers to the excel file “Appendix B, dataset.” In the file</w:t>
      </w:r>
      <w:r w:rsidR="00E65528">
        <w:rPr>
          <w:lang w:val="en-US"/>
        </w:rPr>
        <w:t>,</w:t>
      </w:r>
      <w:r>
        <w:rPr>
          <w:lang w:val="en-US"/>
        </w:rPr>
        <w:t xml:space="preserve"> there </w:t>
      </w:r>
      <w:r w:rsidR="00E65528">
        <w:rPr>
          <w:lang w:val="en-US"/>
        </w:rPr>
        <w:t>is</w:t>
      </w:r>
      <w:r>
        <w:rPr>
          <w:lang w:val="en-US"/>
        </w:rPr>
        <w:t xml:space="preserve"> the dataset for the product system’s mass balance, including the case for regeneration of oxalic acid</w:t>
      </w:r>
      <w:r w:rsidR="00E65528">
        <w:rPr>
          <w:lang w:val="en-US"/>
        </w:rPr>
        <w:t>. Additionally,</w:t>
      </w:r>
      <w:r w:rsidR="002D570F">
        <w:rPr>
          <w:lang w:val="en-US"/>
        </w:rPr>
        <w:t xml:space="preserve"> there is</w:t>
      </w:r>
      <w:r>
        <w:rPr>
          <w:lang w:val="en-US"/>
        </w:rPr>
        <w:t xml:space="preserve"> the LCI dataset</w:t>
      </w:r>
      <w:r w:rsidR="00E65528">
        <w:rPr>
          <w:lang w:val="en-US"/>
        </w:rPr>
        <w:t xml:space="preserve"> </w:t>
      </w:r>
      <w:r w:rsidR="00576A4C">
        <w:rPr>
          <w:lang w:val="en-US"/>
        </w:rPr>
        <w:t xml:space="preserve">used </w:t>
      </w:r>
      <w:r w:rsidR="00E65528">
        <w:rPr>
          <w:lang w:val="en-US"/>
        </w:rPr>
        <w:t xml:space="preserve">from the </w:t>
      </w:r>
      <w:proofErr w:type="spellStart"/>
      <w:r w:rsidR="00E65528">
        <w:rPr>
          <w:lang w:val="en-US"/>
        </w:rPr>
        <w:t>ecoinvent</w:t>
      </w:r>
      <w:proofErr w:type="spellEnd"/>
      <w:r w:rsidR="00E65528">
        <w:rPr>
          <w:lang w:val="en-US"/>
        </w:rPr>
        <w:t xml:space="preserve"> v.3.6 database. </w:t>
      </w:r>
    </w:p>
    <w:p w14:paraId="5B179A3B" w14:textId="391ADA3D" w:rsidR="00855185" w:rsidRDefault="00855185">
      <w:pPr>
        <w:spacing w:before="0" w:after="0" w:line="240" w:lineRule="auto"/>
        <w:contextualSpacing w:val="0"/>
        <w:jc w:val="left"/>
        <w:rPr>
          <w:lang w:val="en-US"/>
        </w:rPr>
      </w:pPr>
      <w:r>
        <w:rPr>
          <w:lang w:val="en-US"/>
        </w:rPr>
        <w:br w:type="page"/>
      </w:r>
    </w:p>
    <w:p w14:paraId="563323B6" w14:textId="77777777" w:rsidR="000340FD" w:rsidRDefault="000340FD" w:rsidP="00945184">
      <w:pPr>
        <w:rPr>
          <w:lang w:val="en-US"/>
        </w:rPr>
      </w:pPr>
    </w:p>
    <w:p w14:paraId="6EEDCC4A" w14:textId="77777777" w:rsidR="00855185" w:rsidRDefault="00855185" w:rsidP="00855185">
      <w:pPr>
        <w:pStyle w:val="Heading6"/>
      </w:pPr>
      <w:bookmarkStart w:id="99" w:name="_Toc76752295"/>
      <w:bookmarkEnd w:id="99"/>
    </w:p>
    <w:p w14:paraId="08F3475A" w14:textId="1524FE0E" w:rsidR="005F1D23" w:rsidRPr="00855185" w:rsidRDefault="00855185" w:rsidP="00855185">
      <w:pPr>
        <w:jc w:val="center"/>
        <w:rPr>
          <w:rFonts w:ascii="Arial" w:hAnsi="Arial" w:cs="Arial"/>
          <w:b/>
          <w:bCs/>
          <w:lang w:val="en-US"/>
        </w:rPr>
      </w:pPr>
      <w:r>
        <w:rPr>
          <w:rFonts w:ascii="Arial" w:hAnsi="Arial" w:cs="Arial"/>
          <w:b/>
          <w:bCs/>
          <w:lang w:val="en-US"/>
        </w:rPr>
        <w:t>Relative c</w:t>
      </w:r>
      <w:r w:rsidR="005F1D23" w:rsidRPr="00855185">
        <w:rPr>
          <w:rFonts w:ascii="Arial" w:hAnsi="Arial" w:cs="Arial"/>
          <w:b/>
          <w:bCs/>
          <w:lang w:val="en-US"/>
        </w:rPr>
        <w:t xml:space="preserve">ontribution analysis of the </w:t>
      </w:r>
      <w:r w:rsidR="00963224" w:rsidRPr="00855185">
        <w:rPr>
          <w:rFonts w:ascii="Arial" w:hAnsi="Arial" w:cs="Arial"/>
          <w:b/>
          <w:bCs/>
          <w:lang w:val="en-US"/>
        </w:rPr>
        <w:t xml:space="preserve">top 4 </w:t>
      </w:r>
      <w:r w:rsidR="005F1D23" w:rsidRPr="00855185">
        <w:rPr>
          <w:rFonts w:ascii="Arial" w:hAnsi="Arial" w:cs="Arial"/>
          <w:b/>
          <w:bCs/>
          <w:lang w:val="en-US"/>
        </w:rPr>
        <w:t xml:space="preserve">product system’s </w:t>
      </w:r>
      <w:r w:rsidR="00963224" w:rsidRPr="00855185">
        <w:rPr>
          <w:rFonts w:ascii="Arial" w:hAnsi="Arial" w:cs="Arial"/>
          <w:b/>
          <w:bCs/>
          <w:lang w:val="en-US"/>
        </w:rPr>
        <w:t>processes</w:t>
      </w:r>
      <w:r w:rsidR="00BC75E9">
        <w:rPr>
          <w:rFonts w:ascii="Arial" w:hAnsi="Arial" w:cs="Arial"/>
          <w:b/>
          <w:bCs/>
          <w:lang w:val="en-US"/>
        </w:rPr>
        <w:t xml:space="preserve"> to</w:t>
      </w:r>
      <w:r w:rsidR="005F1D23" w:rsidRPr="00855185">
        <w:rPr>
          <w:rFonts w:ascii="Arial" w:hAnsi="Arial" w:cs="Arial"/>
          <w:b/>
          <w:bCs/>
          <w:lang w:val="en-US"/>
        </w:rPr>
        <w:t xml:space="preserve"> impact categor</w:t>
      </w:r>
      <w:r w:rsidR="00BC75E9">
        <w:rPr>
          <w:rFonts w:ascii="Arial" w:hAnsi="Arial" w:cs="Arial"/>
          <w:b/>
          <w:bCs/>
          <w:lang w:val="en-US"/>
        </w:rPr>
        <w:t>ies</w:t>
      </w:r>
    </w:p>
    <w:p w14:paraId="30BB8851" w14:textId="3CD7D917" w:rsidR="00CA1CE7" w:rsidRDefault="00CA1CE7" w:rsidP="00945184">
      <w:pPr>
        <w:rPr>
          <w:lang w:val="en-US"/>
        </w:rPr>
      </w:pPr>
    </w:p>
    <w:p w14:paraId="3FB020E5" w14:textId="3FB9F6D1" w:rsidR="00BC75E9" w:rsidRDefault="00BC75E9" w:rsidP="00BC75E9">
      <w:pPr>
        <w:rPr>
          <w:lang w:val="en-US"/>
        </w:rPr>
      </w:pPr>
      <w:r>
        <w:rPr>
          <w:lang w:val="en-US"/>
        </w:rPr>
        <w:t xml:space="preserve">The </w:t>
      </w:r>
      <w:r w:rsidR="007726BC">
        <w:rPr>
          <w:lang w:val="en-US"/>
        </w:rPr>
        <w:t>v</w:t>
      </w:r>
      <w:r w:rsidRPr="00855185">
        <w:rPr>
          <w:lang w:val="en-US"/>
        </w:rPr>
        <w:t>alues are relative to the category indicator result</w:t>
      </w:r>
      <w:r>
        <w:rPr>
          <w:lang w:val="en-US"/>
        </w:rPr>
        <w:t>.</w:t>
      </w:r>
    </w:p>
    <w:p w14:paraId="4D0F85ED" w14:textId="2517742E" w:rsidR="00BC75E9" w:rsidRDefault="00BC75E9" w:rsidP="00BC75E9">
      <w:pPr>
        <w:rPr>
          <w:lang w:val="en-US"/>
        </w:rPr>
      </w:pPr>
    </w:p>
    <w:p w14:paraId="011C19CE" w14:textId="586991D2" w:rsidR="00DC3C4D" w:rsidRPr="004310D0" w:rsidRDefault="00D50035" w:rsidP="004310D0">
      <w:pPr>
        <w:pStyle w:val="Caption"/>
        <w:rPr>
          <w:lang w:val="en-US"/>
        </w:rPr>
      </w:pPr>
      <w:r>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1</w:t>
      </w:r>
      <w:r w:rsidR="00BE45E3">
        <w:rPr>
          <w:noProof/>
        </w:rPr>
        <w:fldChar w:fldCharType="end"/>
      </w:r>
      <w:r w:rsidR="004310D0">
        <w:rPr>
          <w:lang w:val="en-US"/>
        </w:rPr>
        <w:t xml:space="preserve"> Relative contribution analysis in climate change (%). Category indicator: 78,74 kg CO2 eq. Top 4 contributors are shown in the figure.</w:t>
      </w:r>
      <w:r w:rsidR="003E09CD">
        <w:rPr>
          <w:lang w:val="en-US"/>
        </w:rPr>
        <w:t xml:space="preserve"> Source: author’s image.</w:t>
      </w:r>
    </w:p>
    <w:p w14:paraId="2B3082D6" w14:textId="79AEA0E3" w:rsidR="00875882" w:rsidRDefault="00963224" w:rsidP="00552209">
      <w:pPr>
        <w:jc w:val="center"/>
        <w:rPr>
          <w:b/>
          <w:bCs/>
          <w:lang w:val="en-US"/>
        </w:rPr>
      </w:pPr>
      <w:r>
        <w:rPr>
          <w:b/>
          <w:bCs/>
          <w:noProof/>
          <w:lang w:val="en-US"/>
        </w:rPr>
        <w:drawing>
          <wp:inline distT="0" distB="0" distL="0" distR="0" wp14:anchorId="3B5F0D37" wp14:editId="48CE2503">
            <wp:extent cx="6661417" cy="472028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726719" cy="4766554"/>
                    </a:xfrm>
                    <a:prstGeom prst="rect">
                      <a:avLst/>
                    </a:prstGeom>
                  </pic:spPr>
                </pic:pic>
              </a:graphicData>
            </a:graphic>
          </wp:inline>
        </w:drawing>
      </w:r>
    </w:p>
    <w:p w14:paraId="18D25CD2" w14:textId="77777777" w:rsidR="00875882" w:rsidRDefault="00875882" w:rsidP="00711A82">
      <w:pPr>
        <w:rPr>
          <w:b/>
          <w:bCs/>
          <w:lang w:val="en-US"/>
        </w:rPr>
      </w:pPr>
    </w:p>
    <w:p w14:paraId="3A322CAF" w14:textId="77777777" w:rsidR="00026AD5" w:rsidRDefault="00026AD5" w:rsidP="00026AD5">
      <w:pPr>
        <w:rPr>
          <w:lang w:val="en-US"/>
        </w:rPr>
      </w:pPr>
    </w:p>
    <w:p w14:paraId="023946D9" w14:textId="4B1BC5B9" w:rsidR="003E09CD" w:rsidRPr="003B32F4" w:rsidRDefault="003E09CD" w:rsidP="003E09CD">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2</w:t>
      </w:r>
      <w:r w:rsidR="00BE45E3">
        <w:rPr>
          <w:noProof/>
        </w:rPr>
        <w:fldChar w:fldCharType="end"/>
      </w:r>
      <w:r>
        <w:rPr>
          <w:lang w:val="en-US"/>
        </w:rPr>
        <w:t xml:space="preserve"> Relative contribution analysis in freshwater and terrestrial acidification (%). Category indicator: 0,77 mol H+ eq. Top 4 contributors are shown in the figure. Source: author’s image.</w:t>
      </w:r>
    </w:p>
    <w:p w14:paraId="381D22B7" w14:textId="372E1531" w:rsidR="00DC3C4D" w:rsidRDefault="00F67BD2" w:rsidP="00552209">
      <w:pPr>
        <w:jc w:val="center"/>
        <w:rPr>
          <w:b/>
          <w:bCs/>
          <w:lang w:val="en-US"/>
        </w:rPr>
      </w:pPr>
      <w:r>
        <w:rPr>
          <w:b/>
          <w:bCs/>
          <w:noProof/>
          <w:lang w:val="en-US"/>
        </w:rPr>
        <w:drawing>
          <wp:inline distT="0" distB="0" distL="0" distR="0" wp14:anchorId="7DEFC48D" wp14:editId="4E17C55D">
            <wp:extent cx="6649796" cy="4712043"/>
            <wp:effectExtent l="0" t="0" r="508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07507" cy="4823797"/>
                    </a:xfrm>
                    <a:prstGeom prst="rect">
                      <a:avLst/>
                    </a:prstGeom>
                  </pic:spPr>
                </pic:pic>
              </a:graphicData>
            </a:graphic>
          </wp:inline>
        </w:drawing>
      </w:r>
    </w:p>
    <w:p w14:paraId="3003C65E" w14:textId="77777777" w:rsidR="003E09CD" w:rsidRDefault="003E09CD" w:rsidP="003D49EA">
      <w:pPr>
        <w:pStyle w:val="Caption"/>
      </w:pPr>
    </w:p>
    <w:p w14:paraId="289D0FF7" w14:textId="77777777" w:rsidR="003E09CD" w:rsidRDefault="003E09CD" w:rsidP="003D49EA">
      <w:pPr>
        <w:pStyle w:val="Caption"/>
      </w:pPr>
    </w:p>
    <w:p w14:paraId="17E6DA55" w14:textId="77777777" w:rsidR="003E09CD" w:rsidRDefault="003E09CD" w:rsidP="003D49EA">
      <w:pPr>
        <w:pStyle w:val="Caption"/>
        <w:rPr>
          <w:lang w:val="en-US"/>
        </w:rPr>
      </w:pPr>
    </w:p>
    <w:p w14:paraId="13EBE612" w14:textId="77777777" w:rsidR="003E09CD" w:rsidRDefault="003E09CD" w:rsidP="003D49EA">
      <w:pPr>
        <w:pStyle w:val="Caption"/>
        <w:rPr>
          <w:lang w:val="en-US"/>
        </w:rPr>
      </w:pPr>
    </w:p>
    <w:p w14:paraId="1E9B7CF7" w14:textId="77777777" w:rsidR="003E09CD" w:rsidRDefault="003E09CD" w:rsidP="003D49EA">
      <w:pPr>
        <w:pStyle w:val="Caption"/>
        <w:rPr>
          <w:lang w:val="en-US"/>
        </w:rPr>
      </w:pPr>
    </w:p>
    <w:p w14:paraId="36B499FC" w14:textId="77777777" w:rsidR="003E09CD" w:rsidRDefault="003E09CD" w:rsidP="003D49EA">
      <w:pPr>
        <w:pStyle w:val="Caption"/>
        <w:rPr>
          <w:lang w:val="en-US"/>
        </w:rPr>
      </w:pPr>
    </w:p>
    <w:p w14:paraId="6C6BD5B7" w14:textId="77777777" w:rsidR="003E09CD" w:rsidRDefault="003E09CD" w:rsidP="003D49EA">
      <w:pPr>
        <w:pStyle w:val="Caption"/>
        <w:rPr>
          <w:lang w:val="en-US"/>
        </w:rPr>
      </w:pPr>
    </w:p>
    <w:p w14:paraId="208D271D" w14:textId="77777777" w:rsidR="003E09CD" w:rsidRDefault="003E09CD" w:rsidP="003D49EA">
      <w:pPr>
        <w:pStyle w:val="Caption"/>
        <w:rPr>
          <w:lang w:val="en-US"/>
        </w:rPr>
      </w:pPr>
    </w:p>
    <w:p w14:paraId="59261769" w14:textId="77777777" w:rsidR="003E09CD" w:rsidRDefault="003E09CD" w:rsidP="003D49EA">
      <w:pPr>
        <w:pStyle w:val="Caption"/>
        <w:rPr>
          <w:lang w:val="en-US"/>
        </w:rPr>
      </w:pPr>
    </w:p>
    <w:p w14:paraId="7A9F5A4F" w14:textId="77777777" w:rsidR="003E09CD" w:rsidRDefault="003E09CD" w:rsidP="003E09CD">
      <w:pPr>
        <w:pStyle w:val="Caption"/>
      </w:pPr>
    </w:p>
    <w:p w14:paraId="2491A1CE" w14:textId="2A9DBECA" w:rsidR="00875882" w:rsidRPr="003B32F4" w:rsidRDefault="003E09CD" w:rsidP="003E09CD">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3</w:t>
      </w:r>
      <w:r w:rsidR="00BE45E3">
        <w:rPr>
          <w:noProof/>
        </w:rPr>
        <w:fldChar w:fldCharType="end"/>
      </w:r>
      <w:r>
        <w:rPr>
          <w:lang w:val="en-US"/>
        </w:rPr>
        <w:t xml:space="preserve"> Relative contribution analysis in freshwater ecotoxicity (%). Category indicator: 31,66 CTU. Top 4 contributors are shown in the figure. Source: author’s image.</w:t>
      </w:r>
    </w:p>
    <w:p w14:paraId="7BF25ABA" w14:textId="423E700F" w:rsidR="00875882" w:rsidRDefault="00C67532" w:rsidP="00552209">
      <w:pPr>
        <w:jc w:val="center"/>
        <w:rPr>
          <w:b/>
          <w:bCs/>
          <w:lang w:val="en-US"/>
        </w:rPr>
      </w:pPr>
      <w:r>
        <w:rPr>
          <w:b/>
          <w:bCs/>
          <w:noProof/>
          <w:lang w:val="en-US"/>
        </w:rPr>
        <w:drawing>
          <wp:inline distT="0" distB="0" distL="0" distR="0" wp14:anchorId="705DD68C" wp14:editId="16A2ADB8">
            <wp:extent cx="6664411" cy="4722399"/>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6761682" cy="4791325"/>
                    </a:xfrm>
                    <a:prstGeom prst="rect">
                      <a:avLst/>
                    </a:prstGeom>
                  </pic:spPr>
                </pic:pic>
              </a:graphicData>
            </a:graphic>
          </wp:inline>
        </w:drawing>
      </w:r>
    </w:p>
    <w:p w14:paraId="0B80FFCA" w14:textId="77777777" w:rsidR="00875882" w:rsidRDefault="00875882" w:rsidP="00875882">
      <w:pPr>
        <w:rPr>
          <w:lang w:val="en-US"/>
        </w:rPr>
      </w:pPr>
    </w:p>
    <w:p w14:paraId="3025CC2D" w14:textId="77777777" w:rsidR="003E09CD" w:rsidRDefault="003E09CD" w:rsidP="003D49EA">
      <w:pPr>
        <w:pStyle w:val="Caption"/>
      </w:pPr>
    </w:p>
    <w:p w14:paraId="3EA1B9EF" w14:textId="77777777" w:rsidR="003E09CD" w:rsidRDefault="003E09CD" w:rsidP="003D49EA">
      <w:pPr>
        <w:pStyle w:val="Caption"/>
      </w:pPr>
    </w:p>
    <w:p w14:paraId="4FCD20DA" w14:textId="77777777" w:rsidR="003E09CD" w:rsidRDefault="003E09CD" w:rsidP="003D49EA">
      <w:pPr>
        <w:pStyle w:val="Caption"/>
      </w:pPr>
    </w:p>
    <w:p w14:paraId="33574F36" w14:textId="77777777" w:rsidR="003E09CD" w:rsidRDefault="003E09CD" w:rsidP="003D49EA">
      <w:pPr>
        <w:pStyle w:val="Caption"/>
      </w:pPr>
    </w:p>
    <w:p w14:paraId="43574E90" w14:textId="77777777" w:rsidR="003E09CD" w:rsidRDefault="003E09CD" w:rsidP="003D49EA">
      <w:pPr>
        <w:pStyle w:val="Caption"/>
      </w:pPr>
    </w:p>
    <w:p w14:paraId="1AD3E948" w14:textId="77777777" w:rsidR="003E09CD" w:rsidRDefault="003E09CD" w:rsidP="003D49EA">
      <w:pPr>
        <w:pStyle w:val="Caption"/>
      </w:pPr>
    </w:p>
    <w:p w14:paraId="491B589A" w14:textId="77777777" w:rsidR="003E09CD" w:rsidRDefault="003E09CD" w:rsidP="003D49EA">
      <w:pPr>
        <w:pStyle w:val="Caption"/>
      </w:pPr>
    </w:p>
    <w:p w14:paraId="0B0CBF3D" w14:textId="77777777" w:rsidR="003E09CD" w:rsidRDefault="003E09CD" w:rsidP="003D49EA">
      <w:pPr>
        <w:pStyle w:val="Caption"/>
      </w:pPr>
    </w:p>
    <w:p w14:paraId="46B5B461" w14:textId="77777777" w:rsidR="003E09CD" w:rsidRDefault="003E09CD" w:rsidP="003D49EA">
      <w:pPr>
        <w:pStyle w:val="Caption"/>
      </w:pPr>
    </w:p>
    <w:p w14:paraId="6086D432" w14:textId="538B7AAE" w:rsidR="00875882" w:rsidRPr="003B32F4" w:rsidRDefault="003E09CD" w:rsidP="003E09CD">
      <w:pPr>
        <w:pStyle w:val="Caption"/>
        <w:rPr>
          <w:lang w:val="en-US"/>
        </w:rPr>
      </w:pPr>
      <w:r>
        <w:lastRenderedPageBreak/>
        <w:t xml:space="preserve">Figure </w:t>
      </w:r>
      <w:fldSimple w:instr=" STYLEREF 6 \s ">
        <w:r w:rsidR="00BC31F4">
          <w:rPr>
            <w:noProof/>
          </w:rPr>
          <w:t>C</w:t>
        </w:r>
      </w:fldSimple>
      <w:r>
        <w:t>.</w:t>
      </w:r>
      <w:r w:rsidR="00BE45E3">
        <w:fldChar w:fldCharType="begin"/>
      </w:r>
      <w:r w:rsidR="00BE45E3">
        <w:instrText xml:space="preserve"> SEQ Appendix_Figure \* ARABIC \s 6 </w:instrText>
      </w:r>
      <w:r w:rsidR="00BE45E3">
        <w:fldChar w:fldCharType="separate"/>
      </w:r>
      <w:r w:rsidR="00BC31F4">
        <w:rPr>
          <w:noProof/>
        </w:rPr>
        <w:t>4</w:t>
      </w:r>
      <w:r w:rsidR="00BE45E3">
        <w:rPr>
          <w:noProof/>
        </w:rPr>
        <w:fldChar w:fldCharType="end"/>
      </w:r>
      <w:r>
        <w:rPr>
          <w:lang w:val="en-US"/>
        </w:rPr>
        <w:t xml:space="preserve"> Relative contribution analysis in freshwater eutrophication (%). Category indicator: 0,01 kg P eq. Top 4 contributors are shown in the figure. Source: author’s image.</w:t>
      </w:r>
    </w:p>
    <w:p w14:paraId="630E0070" w14:textId="23938F46" w:rsidR="00DC3C4D" w:rsidRDefault="00804E37" w:rsidP="00552209">
      <w:pPr>
        <w:jc w:val="center"/>
        <w:rPr>
          <w:b/>
          <w:bCs/>
          <w:lang w:val="en-US"/>
        </w:rPr>
      </w:pPr>
      <w:r>
        <w:rPr>
          <w:b/>
          <w:bCs/>
          <w:noProof/>
          <w:lang w:val="en-US"/>
        </w:rPr>
        <w:drawing>
          <wp:inline distT="0" distB="0" distL="0" distR="0" wp14:anchorId="6EEC2A59" wp14:editId="5008B858">
            <wp:extent cx="6644640" cy="4708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6656997" cy="4717146"/>
                    </a:xfrm>
                    <a:prstGeom prst="rect">
                      <a:avLst/>
                    </a:prstGeom>
                  </pic:spPr>
                </pic:pic>
              </a:graphicData>
            </a:graphic>
          </wp:inline>
        </w:drawing>
      </w:r>
    </w:p>
    <w:p w14:paraId="6CAA9A45" w14:textId="77777777" w:rsidR="00BB0923" w:rsidRDefault="00BB0923" w:rsidP="00BB0923">
      <w:pPr>
        <w:rPr>
          <w:lang w:val="en-US"/>
        </w:rPr>
      </w:pPr>
    </w:p>
    <w:p w14:paraId="4C2BFC1D" w14:textId="77777777" w:rsidR="003E09CD" w:rsidRDefault="003E09CD" w:rsidP="00BB0923">
      <w:pPr>
        <w:rPr>
          <w:lang w:val="en-US"/>
        </w:rPr>
      </w:pPr>
    </w:p>
    <w:p w14:paraId="67ED2B85" w14:textId="674C0EDC" w:rsidR="00BB0923" w:rsidRDefault="00BB0923" w:rsidP="00BB0923">
      <w:pPr>
        <w:rPr>
          <w:lang w:val="en-US"/>
        </w:rPr>
      </w:pPr>
    </w:p>
    <w:p w14:paraId="10AB813C" w14:textId="4E73BD06" w:rsidR="00BB0923" w:rsidRDefault="00BB0923" w:rsidP="00BB0923">
      <w:pPr>
        <w:rPr>
          <w:lang w:val="en-US"/>
        </w:rPr>
      </w:pPr>
    </w:p>
    <w:p w14:paraId="7DE172FA" w14:textId="77777777" w:rsidR="003E09CD" w:rsidRDefault="003E09CD" w:rsidP="003D49EA">
      <w:pPr>
        <w:pStyle w:val="Caption"/>
      </w:pPr>
    </w:p>
    <w:p w14:paraId="50FFA07E" w14:textId="77777777" w:rsidR="003E09CD" w:rsidRDefault="003E09CD" w:rsidP="003D49EA">
      <w:pPr>
        <w:pStyle w:val="Caption"/>
      </w:pPr>
    </w:p>
    <w:p w14:paraId="5E643AA5" w14:textId="77777777" w:rsidR="003E09CD" w:rsidRDefault="003E09CD" w:rsidP="003D49EA">
      <w:pPr>
        <w:pStyle w:val="Caption"/>
      </w:pPr>
    </w:p>
    <w:p w14:paraId="6DF5B204" w14:textId="77777777" w:rsidR="003E09CD" w:rsidRDefault="003E09CD" w:rsidP="003D49EA">
      <w:pPr>
        <w:pStyle w:val="Caption"/>
      </w:pPr>
    </w:p>
    <w:p w14:paraId="77D5472D" w14:textId="77777777" w:rsidR="003E09CD" w:rsidRDefault="003E09CD" w:rsidP="003D49EA">
      <w:pPr>
        <w:pStyle w:val="Caption"/>
      </w:pPr>
    </w:p>
    <w:p w14:paraId="431C366E" w14:textId="6D99DF5F"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5</w:t>
      </w:r>
      <w:r w:rsidR="00BE45E3">
        <w:rPr>
          <w:noProof/>
        </w:rPr>
        <w:fldChar w:fldCharType="end"/>
      </w:r>
      <w:r>
        <w:rPr>
          <w:lang w:val="en-US"/>
        </w:rPr>
        <w:t xml:space="preserve"> Relative contribution analysis in marine eutrophication (%). Category indicator: 0,23 kg N eq. Top 4 contributors are shown in the figure. Source: author’s image.</w:t>
      </w:r>
    </w:p>
    <w:p w14:paraId="49277CE0" w14:textId="77777777" w:rsidR="003E09CD" w:rsidRPr="003B32F4" w:rsidRDefault="003E09CD" w:rsidP="00BB0923">
      <w:pPr>
        <w:rPr>
          <w:lang w:val="en-US"/>
        </w:rPr>
      </w:pPr>
    </w:p>
    <w:p w14:paraId="5A78F061" w14:textId="4F077D34" w:rsidR="00BB0923" w:rsidRDefault="002A001A" w:rsidP="00552209">
      <w:pPr>
        <w:jc w:val="center"/>
        <w:rPr>
          <w:b/>
          <w:bCs/>
          <w:lang w:val="en-US"/>
        </w:rPr>
      </w:pPr>
      <w:r>
        <w:rPr>
          <w:b/>
          <w:bCs/>
          <w:noProof/>
          <w:lang w:val="en-US"/>
        </w:rPr>
        <w:drawing>
          <wp:inline distT="0" distB="0" distL="0" distR="0" wp14:anchorId="6D5B1799" wp14:editId="0A6554FA">
            <wp:extent cx="6644640" cy="4708390"/>
            <wp:effectExtent l="0" t="0" r="0" b="381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660752" cy="4719807"/>
                    </a:xfrm>
                    <a:prstGeom prst="rect">
                      <a:avLst/>
                    </a:prstGeom>
                  </pic:spPr>
                </pic:pic>
              </a:graphicData>
            </a:graphic>
          </wp:inline>
        </w:drawing>
      </w:r>
    </w:p>
    <w:p w14:paraId="67FCFC85" w14:textId="77777777" w:rsidR="00BB0923" w:rsidRDefault="00BB0923" w:rsidP="00BB0923">
      <w:pPr>
        <w:rPr>
          <w:lang w:val="en-US"/>
        </w:rPr>
      </w:pPr>
    </w:p>
    <w:p w14:paraId="4467880C" w14:textId="4C18916B" w:rsidR="00BB0923" w:rsidRDefault="00BB0923" w:rsidP="00BB0923">
      <w:pPr>
        <w:rPr>
          <w:lang w:val="en-US"/>
        </w:rPr>
      </w:pPr>
    </w:p>
    <w:p w14:paraId="004AF739" w14:textId="77777777" w:rsidR="003E09CD" w:rsidRDefault="003E09CD" w:rsidP="003D49EA">
      <w:pPr>
        <w:pStyle w:val="Caption"/>
      </w:pPr>
    </w:p>
    <w:p w14:paraId="7225950D" w14:textId="77777777" w:rsidR="003E09CD" w:rsidRDefault="003E09CD" w:rsidP="003D49EA">
      <w:pPr>
        <w:pStyle w:val="Caption"/>
      </w:pPr>
    </w:p>
    <w:p w14:paraId="2F443155" w14:textId="77777777" w:rsidR="003E09CD" w:rsidRDefault="003E09CD" w:rsidP="003D49EA">
      <w:pPr>
        <w:pStyle w:val="Caption"/>
      </w:pPr>
    </w:p>
    <w:p w14:paraId="43D3F6FD" w14:textId="77777777" w:rsidR="003E09CD" w:rsidRDefault="003E09CD" w:rsidP="003D49EA">
      <w:pPr>
        <w:pStyle w:val="Caption"/>
      </w:pPr>
    </w:p>
    <w:p w14:paraId="4EE6E54A" w14:textId="77777777" w:rsidR="003E09CD" w:rsidRDefault="003E09CD" w:rsidP="003D49EA">
      <w:pPr>
        <w:pStyle w:val="Caption"/>
      </w:pPr>
    </w:p>
    <w:p w14:paraId="483F8C13" w14:textId="77777777" w:rsidR="003E09CD" w:rsidRDefault="003E09CD" w:rsidP="003D49EA">
      <w:pPr>
        <w:pStyle w:val="Caption"/>
      </w:pPr>
    </w:p>
    <w:p w14:paraId="07CCAB8F" w14:textId="1FFC2238"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w:instrText>
      </w:r>
      <w:r w:rsidR="00BE45E3">
        <w:instrText xml:space="preserve">Figure \* ARABIC \s 6 </w:instrText>
      </w:r>
      <w:r w:rsidR="00BE45E3">
        <w:fldChar w:fldCharType="separate"/>
      </w:r>
      <w:r w:rsidR="00BC31F4">
        <w:rPr>
          <w:noProof/>
        </w:rPr>
        <w:t>6</w:t>
      </w:r>
      <w:r w:rsidR="00BE45E3">
        <w:rPr>
          <w:noProof/>
        </w:rPr>
        <w:fldChar w:fldCharType="end"/>
      </w:r>
      <w:r>
        <w:rPr>
          <w:lang w:val="en-US"/>
        </w:rPr>
        <w:t xml:space="preserve"> Relative contribution analysis in terrestrial eutrophication (%). Category indicator: 2,61 mol N eq. Top 4 contributors are shown in the figure. Source: author’s image. </w:t>
      </w:r>
    </w:p>
    <w:p w14:paraId="658F8A50" w14:textId="77777777" w:rsidR="003E09CD" w:rsidRPr="003B32F4" w:rsidRDefault="003E09CD" w:rsidP="00BB0923">
      <w:pPr>
        <w:rPr>
          <w:lang w:val="en-US"/>
        </w:rPr>
      </w:pPr>
    </w:p>
    <w:p w14:paraId="7C136B7B" w14:textId="7C710744" w:rsidR="00DC3C4D" w:rsidRDefault="003D30A0" w:rsidP="00552209">
      <w:pPr>
        <w:jc w:val="center"/>
        <w:rPr>
          <w:b/>
          <w:bCs/>
          <w:lang w:val="en-US"/>
        </w:rPr>
      </w:pPr>
      <w:r>
        <w:rPr>
          <w:b/>
          <w:bCs/>
          <w:noProof/>
          <w:lang w:val="en-US"/>
        </w:rPr>
        <w:drawing>
          <wp:inline distT="0" distB="0" distL="0" distR="0" wp14:anchorId="1730AECC" wp14:editId="2F789DE9">
            <wp:extent cx="6635931" cy="4702219"/>
            <wp:effectExtent l="0" t="0" r="6350" b="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646147" cy="4709458"/>
                    </a:xfrm>
                    <a:prstGeom prst="rect">
                      <a:avLst/>
                    </a:prstGeom>
                  </pic:spPr>
                </pic:pic>
              </a:graphicData>
            </a:graphic>
          </wp:inline>
        </w:drawing>
      </w:r>
    </w:p>
    <w:p w14:paraId="376E6936" w14:textId="77777777" w:rsidR="006870DB" w:rsidRDefault="006870DB" w:rsidP="006870DB">
      <w:pPr>
        <w:rPr>
          <w:lang w:val="en-US"/>
        </w:rPr>
      </w:pPr>
    </w:p>
    <w:p w14:paraId="5BEBC7CF" w14:textId="77777777" w:rsidR="003E09CD" w:rsidRDefault="003E09CD" w:rsidP="006870DB">
      <w:pPr>
        <w:rPr>
          <w:lang w:val="en-US"/>
        </w:rPr>
      </w:pPr>
    </w:p>
    <w:p w14:paraId="6B9330BF" w14:textId="57131ED0" w:rsidR="006870DB" w:rsidRDefault="006870DB" w:rsidP="006870DB">
      <w:pPr>
        <w:rPr>
          <w:lang w:val="en-US"/>
        </w:rPr>
      </w:pPr>
    </w:p>
    <w:p w14:paraId="1391EBB4" w14:textId="600C1F92" w:rsidR="003E09CD" w:rsidRDefault="003E09CD" w:rsidP="006870DB">
      <w:pPr>
        <w:rPr>
          <w:lang w:val="en-US"/>
        </w:rPr>
      </w:pPr>
    </w:p>
    <w:p w14:paraId="4C24134F" w14:textId="1F058D6D" w:rsidR="003E09CD" w:rsidRDefault="003E09CD" w:rsidP="006870DB">
      <w:pPr>
        <w:rPr>
          <w:lang w:val="en-US"/>
        </w:rPr>
      </w:pPr>
    </w:p>
    <w:p w14:paraId="330F4C44" w14:textId="6CED92FC" w:rsidR="003E09CD" w:rsidRDefault="003E09CD" w:rsidP="006870DB">
      <w:pPr>
        <w:rPr>
          <w:lang w:val="en-US"/>
        </w:rPr>
      </w:pPr>
    </w:p>
    <w:p w14:paraId="712CB5EB" w14:textId="5B4BF99F" w:rsidR="003E09CD" w:rsidRDefault="003E09CD" w:rsidP="006870DB">
      <w:pPr>
        <w:rPr>
          <w:lang w:val="en-US"/>
        </w:rPr>
      </w:pPr>
    </w:p>
    <w:p w14:paraId="5A77BB33" w14:textId="3E557B27" w:rsidR="003E09CD" w:rsidRDefault="003E09CD" w:rsidP="006870DB">
      <w:pPr>
        <w:rPr>
          <w:lang w:val="en-US"/>
        </w:rPr>
      </w:pPr>
    </w:p>
    <w:p w14:paraId="70626906" w14:textId="77777777" w:rsidR="003E09CD" w:rsidRDefault="003E09CD" w:rsidP="006870DB">
      <w:pPr>
        <w:rPr>
          <w:lang w:val="en-US"/>
        </w:rPr>
      </w:pPr>
    </w:p>
    <w:p w14:paraId="5C877A32" w14:textId="33393190"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7</w:t>
      </w:r>
      <w:r w:rsidR="00BE45E3">
        <w:rPr>
          <w:noProof/>
        </w:rPr>
        <w:fldChar w:fldCharType="end"/>
      </w:r>
      <w:r>
        <w:rPr>
          <w:lang w:val="en-US"/>
        </w:rPr>
        <w:t xml:space="preserve"> Relative contribution analysis in carcinogenic effects (%). Category indicator: 5,20 E-07 </w:t>
      </w:r>
      <w:proofErr w:type="spellStart"/>
      <w:r>
        <w:rPr>
          <w:lang w:val="en-US"/>
        </w:rPr>
        <w:t>CTUh</w:t>
      </w:r>
      <w:proofErr w:type="spellEnd"/>
      <w:r>
        <w:rPr>
          <w:lang w:val="en-US"/>
        </w:rPr>
        <w:t>. Top 4 contributors are shown in the figure. Source: author’s image.</w:t>
      </w:r>
    </w:p>
    <w:p w14:paraId="338A3A29" w14:textId="77777777" w:rsidR="003E09CD" w:rsidRPr="003B32F4" w:rsidRDefault="003E09CD" w:rsidP="006870DB">
      <w:pPr>
        <w:rPr>
          <w:lang w:val="en-US"/>
        </w:rPr>
      </w:pPr>
    </w:p>
    <w:p w14:paraId="115CFD4F" w14:textId="2E595985" w:rsidR="006870DB" w:rsidRDefault="00F74367" w:rsidP="00552209">
      <w:pPr>
        <w:jc w:val="center"/>
        <w:rPr>
          <w:b/>
          <w:bCs/>
          <w:lang w:val="en-US"/>
        </w:rPr>
      </w:pPr>
      <w:r>
        <w:rPr>
          <w:b/>
          <w:bCs/>
          <w:noProof/>
          <w:lang w:val="en-US"/>
        </w:rPr>
        <w:drawing>
          <wp:inline distT="0" distB="0" distL="0" distR="0" wp14:anchorId="34CC1584" wp14:editId="66F66F2B">
            <wp:extent cx="6644640" cy="4708390"/>
            <wp:effectExtent l="0" t="0" r="0" b="381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655070" cy="4715781"/>
                    </a:xfrm>
                    <a:prstGeom prst="rect">
                      <a:avLst/>
                    </a:prstGeom>
                  </pic:spPr>
                </pic:pic>
              </a:graphicData>
            </a:graphic>
          </wp:inline>
        </w:drawing>
      </w:r>
    </w:p>
    <w:p w14:paraId="0FA8DF78" w14:textId="77777777" w:rsidR="006870DB" w:rsidRDefault="006870DB" w:rsidP="006870DB">
      <w:pPr>
        <w:rPr>
          <w:lang w:val="en-US"/>
        </w:rPr>
      </w:pPr>
    </w:p>
    <w:p w14:paraId="216736AA" w14:textId="6EEF0343" w:rsidR="006870DB" w:rsidRDefault="006870DB" w:rsidP="00711A82">
      <w:pPr>
        <w:rPr>
          <w:lang w:val="en-US"/>
        </w:rPr>
      </w:pPr>
    </w:p>
    <w:p w14:paraId="625D085D" w14:textId="2616CEB3" w:rsidR="003E09CD" w:rsidRDefault="003E09CD" w:rsidP="00711A82">
      <w:pPr>
        <w:rPr>
          <w:lang w:val="en-US"/>
        </w:rPr>
      </w:pPr>
    </w:p>
    <w:p w14:paraId="5404669E" w14:textId="47E1A113" w:rsidR="003E09CD" w:rsidRDefault="003E09CD" w:rsidP="00711A82">
      <w:pPr>
        <w:rPr>
          <w:lang w:val="en-US"/>
        </w:rPr>
      </w:pPr>
    </w:p>
    <w:p w14:paraId="35ED4266" w14:textId="6A191D7E" w:rsidR="003E09CD" w:rsidRDefault="003E09CD" w:rsidP="00711A82">
      <w:pPr>
        <w:rPr>
          <w:lang w:val="en-US"/>
        </w:rPr>
      </w:pPr>
    </w:p>
    <w:p w14:paraId="608D4DD4" w14:textId="27EF9CCD" w:rsidR="003E09CD" w:rsidRDefault="003E09CD" w:rsidP="00711A82">
      <w:pPr>
        <w:rPr>
          <w:lang w:val="en-US"/>
        </w:rPr>
      </w:pPr>
    </w:p>
    <w:p w14:paraId="2E5F35B2" w14:textId="159BC39C" w:rsidR="003E09CD" w:rsidRDefault="003E09CD" w:rsidP="00711A82">
      <w:pPr>
        <w:rPr>
          <w:lang w:val="en-US"/>
        </w:rPr>
      </w:pPr>
    </w:p>
    <w:p w14:paraId="45E79E93" w14:textId="61BB56D3" w:rsidR="003E09CD" w:rsidRDefault="003E09CD" w:rsidP="00711A82">
      <w:pPr>
        <w:rPr>
          <w:lang w:val="en-US"/>
        </w:rPr>
      </w:pPr>
    </w:p>
    <w:p w14:paraId="6AFECC4B" w14:textId="77777777" w:rsidR="003E09CD" w:rsidRDefault="003E09CD" w:rsidP="00711A82">
      <w:pPr>
        <w:rPr>
          <w:b/>
          <w:bCs/>
          <w:lang w:val="en-US"/>
        </w:rPr>
      </w:pPr>
    </w:p>
    <w:p w14:paraId="5F13830C" w14:textId="15557C9C"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w:instrText>
      </w:r>
      <w:r w:rsidR="00BE45E3">
        <w:instrText xml:space="preserve">x_Figure \* ARABIC \s 6 </w:instrText>
      </w:r>
      <w:r w:rsidR="00BE45E3">
        <w:fldChar w:fldCharType="separate"/>
      </w:r>
      <w:r w:rsidR="00BC31F4">
        <w:rPr>
          <w:noProof/>
        </w:rPr>
        <w:t>8</w:t>
      </w:r>
      <w:r w:rsidR="00BE45E3">
        <w:rPr>
          <w:noProof/>
        </w:rPr>
        <w:fldChar w:fldCharType="end"/>
      </w:r>
      <w:r>
        <w:rPr>
          <w:lang w:val="en-US"/>
        </w:rPr>
        <w:t xml:space="preserve"> Relative contribution analysis of foreground processes in non-carcinogenic effects (%). Category indicator: 5,31E-06 </w:t>
      </w:r>
      <w:proofErr w:type="spellStart"/>
      <w:r>
        <w:rPr>
          <w:lang w:val="en-US"/>
        </w:rPr>
        <w:t>CTUh</w:t>
      </w:r>
      <w:proofErr w:type="spellEnd"/>
      <w:r>
        <w:rPr>
          <w:lang w:val="en-US"/>
        </w:rPr>
        <w:t xml:space="preserve">. Top 4 contributors are shown in the figure. Source: author’s image. </w:t>
      </w:r>
    </w:p>
    <w:p w14:paraId="369D73D2" w14:textId="77777777" w:rsidR="003E09CD" w:rsidRDefault="003E09CD" w:rsidP="00711A82">
      <w:pPr>
        <w:rPr>
          <w:b/>
          <w:bCs/>
          <w:lang w:val="en-US"/>
        </w:rPr>
      </w:pPr>
    </w:p>
    <w:p w14:paraId="661C01AD" w14:textId="35037690" w:rsidR="006870DB" w:rsidRDefault="00805E56" w:rsidP="00552209">
      <w:pPr>
        <w:jc w:val="center"/>
        <w:rPr>
          <w:lang w:val="en-US"/>
        </w:rPr>
      </w:pPr>
      <w:r>
        <w:rPr>
          <w:noProof/>
          <w:lang w:val="en-US"/>
        </w:rPr>
        <w:drawing>
          <wp:inline distT="0" distB="0" distL="0" distR="0" wp14:anchorId="60E8428F" wp14:editId="0254BB97">
            <wp:extent cx="6653348" cy="471456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6662499" cy="4721045"/>
                    </a:xfrm>
                    <a:prstGeom prst="rect">
                      <a:avLst/>
                    </a:prstGeom>
                  </pic:spPr>
                </pic:pic>
              </a:graphicData>
            </a:graphic>
          </wp:inline>
        </w:drawing>
      </w:r>
    </w:p>
    <w:p w14:paraId="1E951331" w14:textId="77777777" w:rsidR="00805E56" w:rsidRDefault="00805E56" w:rsidP="006870DB">
      <w:pPr>
        <w:rPr>
          <w:lang w:val="en-US"/>
        </w:rPr>
      </w:pPr>
    </w:p>
    <w:p w14:paraId="51E7C246" w14:textId="6C413F93" w:rsidR="006870DB" w:rsidRDefault="006870DB" w:rsidP="006870DB">
      <w:pPr>
        <w:rPr>
          <w:lang w:val="en-US"/>
        </w:rPr>
      </w:pPr>
    </w:p>
    <w:p w14:paraId="1E30D28E" w14:textId="520A57A5" w:rsidR="003E09CD" w:rsidRDefault="003E09CD" w:rsidP="006870DB">
      <w:pPr>
        <w:rPr>
          <w:lang w:val="en-US"/>
        </w:rPr>
      </w:pPr>
    </w:p>
    <w:p w14:paraId="71D12869" w14:textId="00082B53" w:rsidR="003E09CD" w:rsidRDefault="003E09CD" w:rsidP="006870DB">
      <w:pPr>
        <w:rPr>
          <w:lang w:val="en-US"/>
        </w:rPr>
      </w:pPr>
    </w:p>
    <w:p w14:paraId="5472C746" w14:textId="5253A424" w:rsidR="003E09CD" w:rsidRDefault="003E09CD" w:rsidP="006870DB">
      <w:pPr>
        <w:rPr>
          <w:lang w:val="en-US"/>
        </w:rPr>
      </w:pPr>
    </w:p>
    <w:p w14:paraId="6DCCED24" w14:textId="69B265C7" w:rsidR="003E09CD" w:rsidRDefault="003E09CD" w:rsidP="006870DB">
      <w:pPr>
        <w:rPr>
          <w:lang w:val="en-US"/>
        </w:rPr>
      </w:pPr>
    </w:p>
    <w:p w14:paraId="7BF76C1D" w14:textId="5DFB9928" w:rsidR="003E09CD" w:rsidRDefault="003E09CD" w:rsidP="006870DB">
      <w:pPr>
        <w:rPr>
          <w:lang w:val="en-US"/>
        </w:rPr>
      </w:pPr>
    </w:p>
    <w:p w14:paraId="182F80DB" w14:textId="77777777" w:rsidR="003E09CD" w:rsidRDefault="003E09CD" w:rsidP="006870DB">
      <w:pPr>
        <w:rPr>
          <w:lang w:val="en-US"/>
        </w:rPr>
      </w:pPr>
    </w:p>
    <w:p w14:paraId="505DCDB4" w14:textId="6D44AEA8"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9</w:t>
      </w:r>
      <w:r w:rsidR="00BE45E3">
        <w:rPr>
          <w:noProof/>
        </w:rPr>
        <w:fldChar w:fldCharType="end"/>
      </w:r>
      <w:r>
        <w:rPr>
          <w:lang w:val="en-US"/>
        </w:rPr>
        <w:t xml:space="preserve"> Relative contribution analysis in ozone layer depletion (%). Category indicator: 8,05E-06 kg CFC-11. Top 4 contributors are shown in the figure. Source: author’s image.</w:t>
      </w:r>
    </w:p>
    <w:p w14:paraId="5C993A0F" w14:textId="77777777" w:rsidR="003E09CD" w:rsidRPr="003B32F4" w:rsidRDefault="003E09CD" w:rsidP="006870DB">
      <w:pPr>
        <w:rPr>
          <w:lang w:val="en-US"/>
        </w:rPr>
      </w:pPr>
    </w:p>
    <w:p w14:paraId="46229AD0" w14:textId="5FCDBFF8" w:rsidR="006870DB" w:rsidRDefault="004D2AA6" w:rsidP="00552209">
      <w:pPr>
        <w:jc w:val="center"/>
        <w:rPr>
          <w:b/>
          <w:bCs/>
          <w:lang w:val="en-US"/>
        </w:rPr>
      </w:pPr>
      <w:r>
        <w:rPr>
          <w:b/>
          <w:bCs/>
          <w:noProof/>
          <w:lang w:val="en-US"/>
        </w:rPr>
        <w:drawing>
          <wp:inline distT="0" distB="0" distL="0" distR="0" wp14:anchorId="734A899F" wp14:editId="4E9A36AE">
            <wp:extent cx="6662057" cy="4720732"/>
            <wp:effectExtent l="0" t="0" r="5715" b="381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674171" cy="4729316"/>
                    </a:xfrm>
                    <a:prstGeom prst="rect">
                      <a:avLst/>
                    </a:prstGeom>
                  </pic:spPr>
                </pic:pic>
              </a:graphicData>
            </a:graphic>
          </wp:inline>
        </w:drawing>
      </w:r>
    </w:p>
    <w:p w14:paraId="61B98187" w14:textId="77777777" w:rsidR="009523EA" w:rsidRDefault="009523EA" w:rsidP="009523EA">
      <w:pPr>
        <w:rPr>
          <w:lang w:val="en-US"/>
        </w:rPr>
      </w:pPr>
    </w:p>
    <w:p w14:paraId="4B351B09" w14:textId="73DE6527" w:rsidR="003E09CD" w:rsidRDefault="003E09CD" w:rsidP="009523EA">
      <w:pPr>
        <w:rPr>
          <w:lang w:val="en-US"/>
        </w:rPr>
      </w:pPr>
    </w:p>
    <w:p w14:paraId="35DB8806" w14:textId="41FE1596" w:rsidR="003E09CD" w:rsidRDefault="003E09CD" w:rsidP="009523EA">
      <w:pPr>
        <w:rPr>
          <w:lang w:val="en-US"/>
        </w:rPr>
      </w:pPr>
    </w:p>
    <w:p w14:paraId="4B8EF94D" w14:textId="46FEE8B2" w:rsidR="003E09CD" w:rsidRDefault="003E09CD" w:rsidP="009523EA">
      <w:pPr>
        <w:rPr>
          <w:lang w:val="en-US"/>
        </w:rPr>
      </w:pPr>
    </w:p>
    <w:p w14:paraId="3C31D9D1" w14:textId="5F7E0901" w:rsidR="003E09CD" w:rsidRDefault="003E09CD" w:rsidP="009523EA">
      <w:pPr>
        <w:rPr>
          <w:lang w:val="en-US"/>
        </w:rPr>
      </w:pPr>
    </w:p>
    <w:p w14:paraId="012C62A7" w14:textId="1ED15ABD" w:rsidR="003E09CD" w:rsidRDefault="003E09CD" w:rsidP="009523EA">
      <w:pPr>
        <w:rPr>
          <w:lang w:val="en-US"/>
        </w:rPr>
      </w:pPr>
    </w:p>
    <w:p w14:paraId="3474965A" w14:textId="77B8DA87" w:rsidR="003E09CD" w:rsidRDefault="003E09CD" w:rsidP="009523EA">
      <w:pPr>
        <w:rPr>
          <w:lang w:val="en-US"/>
        </w:rPr>
      </w:pPr>
    </w:p>
    <w:p w14:paraId="09A45319" w14:textId="77777777" w:rsidR="003E09CD" w:rsidRDefault="003E09CD" w:rsidP="009523EA">
      <w:pPr>
        <w:rPr>
          <w:lang w:val="en-US"/>
        </w:rPr>
      </w:pPr>
    </w:p>
    <w:p w14:paraId="21A3CE73" w14:textId="058612C8" w:rsidR="003E09CD" w:rsidRPr="003E09CD" w:rsidRDefault="003E09CD"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C</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10</w:t>
      </w:r>
      <w:r w:rsidR="00BE45E3">
        <w:rPr>
          <w:noProof/>
        </w:rPr>
        <w:fldChar w:fldCharType="end"/>
      </w:r>
      <w:r>
        <w:rPr>
          <w:lang w:val="en-US"/>
        </w:rPr>
        <w:t xml:space="preserve"> Relative contribution analysis in photochemical ozone creation (%). Category indicator: 0,64 kg NMVOC. Top 4 contributors are shown in the figure. Source: author’s image.</w:t>
      </w:r>
    </w:p>
    <w:p w14:paraId="72CB6E10" w14:textId="77777777" w:rsidR="003E09CD" w:rsidRDefault="003E09CD" w:rsidP="009523EA">
      <w:pPr>
        <w:rPr>
          <w:lang w:val="en-US"/>
        </w:rPr>
      </w:pPr>
    </w:p>
    <w:p w14:paraId="4EF9C6A8" w14:textId="712D9AA4" w:rsidR="009523EA" w:rsidRPr="003B32F4" w:rsidRDefault="00C5486C" w:rsidP="00552209">
      <w:pPr>
        <w:jc w:val="center"/>
        <w:rPr>
          <w:lang w:val="en-US"/>
        </w:rPr>
      </w:pPr>
      <w:r>
        <w:rPr>
          <w:noProof/>
          <w:lang w:val="en-US"/>
        </w:rPr>
        <w:drawing>
          <wp:inline distT="0" distB="0" distL="0" distR="0" wp14:anchorId="7D9276B7" wp14:editId="6E9D80D9">
            <wp:extent cx="6618514" cy="4689878"/>
            <wp:effectExtent l="0" t="0" r="0" b="0"/>
            <wp:docPr id="24" name="Picture 24"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 box and whiske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627957" cy="4696570"/>
                    </a:xfrm>
                    <a:prstGeom prst="rect">
                      <a:avLst/>
                    </a:prstGeom>
                  </pic:spPr>
                </pic:pic>
              </a:graphicData>
            </a:graphic>
          </wp:inline>
        </w:drawing>
      </w:r>
    </w:p>
    <w:p w14:paraId="03DD914E" w14:textId="5D3ACBB7" w:rsidR="006870DB" w:rsidRDefault="006870DB" w:rsidP="00711A82">
      <w:pPr>
        <w:rPr>
          <w:b/>
          <w:bCs/>
          <w:lang w:val="en-US"/>
        </w:rPr>
      </w:pPr>
    </w:p>
    <w:p w14:paraId="36F874AD" w14:textId="77777777" w:rsidR="00735A7B" w:rsidRDefault="00735A7B" w:rsidP="00677356">
      <w:pPr>
        <w:rPr>
          <w:lang w:val="en-US"/>
        </w:rPr>
      </w:pPr>
    </w:p>
    <w:p w14:paraId="5DC8230E" w14:textId="77777777" w:rsidR="00735A7B" w:rsidRDefault="00735A7B" w:rsidP="00677356">
      <w:pPr>
        <w:rPr>
          <w:lang w:val="en-US"/>
        </w:rPr>
      </w:pPr>
    </w:p>
    <w:p w14:paraId="29E92ABC" w14:textId="77777777" w:rsidR="00735A7B" w:rsidRDefault="00735A7B" w:rsidP="00677356">
      <w:pPr>
        <w:rPr>
          <w:lang w:val="en-US"/>
        </w:rPr>
      </w:pPr>
    </w:p>
    <w:p w14:paraId="70088E5F" w14:textId="77777777" w:rsidR="00735A7B" w:rsidRDefault="00735A7B" w:rsidP="00677356">
      <w:pPr>
        <w:rPr>
          <w:lang w:val="en-US"/>
        </w:rPr>
      </w:pPr>
    </w:p>
    <w:p w14:paraId="3432B9E4" w14:textId="77777777" w:rsidR="00735A7B" w:rsidRDefault="00735A7B" w:rsidP="00677356">
      <w:pPr>
        <w:rPr>
          <w:lang w:val="en-US"/>
        </w:rPr>
      </w:pPr>
    </w:p>
    <w:p w14:paraId="451297CD" w14:textId="0014A8D9" w:rsidR="003E09CD" w:rsidRDefault="003E09CD">
      <w:pPr>
        <w:spacing w:before="0" w:after="0" w:line="240" w:lineRule="auto"/>
        <w:contextualSpacing w:val="0"/>
        <w:jc w:val="left"/>
        <w:rPr>
          <w:lang w:val="en-US"/>
        </w:rPr>
      </w:pPr>
      <w:r>
        <w:rPr>
          <w:lang w:val="en-US"/>
        </w:rPr>
        <w:br w:type="page"/>
      </w:r>
    </w:p>
    <w:p w14:paraId="339E3A3D" w14:textId="582D12D9" w:rsidR="00735A7B" w:rsidRDefault="00735A7B" w:rsidP="003E09CD">
      <w:pPr>
        <w:pStyle w:val="Heading6"/>
      </w:pPr>
      <w:bookmarkStart w:id="100" w:name="_Toc76752296"/>
      <w:bookmarkStart w:id="101" w:name="_Ref75264443"/>
      <w:bookmarkEnd w:id="100"/>
    </w:p>
    <w:bookmarkEnd w:id="101"/>
    <w:p w14:paraId="5438EA65" w14:textId="26C8D722" w:rsidR="003E09CD" w:rsidRPr="003E09CD" w:rsidRDefault="003E09CD" w:rsidP="003E09CD">
      <w:pPr>
        <w:jc w:val="center"/>
        <w:rPr>
          <w:rFonts w:ascii="Arial" w:hAnsi="Arial" w:cs="Arial"/>
          <w:b/>
          <w:bCs/>
          <w:lang w:val="en-US"/>
        </w:rPr>
      </w:pPr>
      <w:r w:rsidRPr="003E09CD">
        <w:rPr>
          <w:rFonts w:ascii="Arial" w:hAnsi="Arial" w:cs="Arial"/>
          <w:b/>
          <w:bCs/>
          <w:lang w:val="en-US"/>
        </w:rPr>
        <w:t>Relative contribution analysis of the top 4 product system’s environmental flows to impact categories</w:t>
      </w:r>
    </w:p>
    <w:p w14:paraId="08B84641" w14:textId="77777777" w:rsidR="003E09CD" w:rsidRDefault="003E09CD" w:rsidP="00677356">
      <w:pPr>
        <w:rPr>
          <w:lang w:val="en-US"/>
        </w:rPr>
      </w:pPr>
    </w:p>
    <w:p w14:paraId="0271D49D" w14:textId="3C9DB1BC" w:rsidR="00677356" w:rsidRDefault="00B94B8A" w:rsidP="00677356">
      <w:pPr>
        <w:rPr>
          <w:lang w:val="en-US"/>
        </w:rPr>
      </w:pPr>
      <w:r>
        <w:rPr>
          <w:lang w:val="en-US"/>
        </w:rPr>
        <w:t>The values are relative to the category indicator result.</w:t>
      </w:r>
    </w:p>
    <w:p w14:paraId="427E660E" w14:textId="77777777" w:rsidR="00960005" w:rsidRDefault="00960005" w:rsidP="003D49EA">
      <w:pPr>
        <w:pStyle w:val="Caption"/>
        <w:rPr>
          <w:lang w:val="en-US"/>
        </w:rPr>
      </w:pPr>
    </w:p>
    <w:p w14:paraId="353CE79D" w14:textId="4741BBDE" w:rsidR="00B94B8A" w:rsidRPr="00960005" w:rsidRDefault="00960005" w:rsidP="00960005">
      <w:pPr>
        <w:pStyle w:val="Caption"/>
        <w:rPr>
          <w:lang w:val="en-US"/>
        </w:rPr>
      </w:pPr>
      <w:r>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1</w:t>
      </w:r>
      <w:r w:rsidR="00BE45E3">
        <w:rPr>
          <w:noProof/>
        </w:rPr>
        <w:fldChar w:fldCharType="end"/>
      </w:r>
      <w:r>
        <w:rPr>
          <w:lang w:val="en-US"/>
        </w:rPr>
        <w:t xml:space="preserve"> Relative contribution analysis in climate change (%). Category indicator: 78,74 kg CO2 eq. Top 4 contributors are shown in the figure. Source: author’s image.</w:t>
      </w:r>
    </w:p>
    <w:p w14:paraId="7C8E4D38" w14:textId="3F59F75F" w:rsidR="00B94B8A" w:rsidRDefault="00B94B8A" w:rsidP="00552209">
      <w:pPr>
        <w:jc w:val="center"/>
        <w:rPr>
          <w:b/>
          <w:bCs/>
          <w:lang w:val="en-US"/>
        </w:rPr>
      </w:pPr>
      <w:r>
        <w:rPr>
          <w:b/>
          <w:bCs/>
          <w:noProof/>
          <w:lang w:val="en-US"/>
        </w:rPr>
        <w:drawing>
          <wp:inline distT="0" distB="0" distL="0" distR="0" wp14:anchorId="7973C9EE" wp14:editId="71D09191">
            <wp:extent cx="6662057" cy="4720732"/>
            <wp:effectExtent l="0" t="0" r="5715" b="3810"/>
            <wp:docPr id="40" name="Picture 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676446" cy="4730928"/>
                    </a:xfrm>
                    <a:prstGeom prst="rect">
                      <a:avLst/>
                    </a:prstGeom>
                  </pic:spPr>
                </pic:pic>
              </a:graphicData>
            </a:graphic>
          </wp:inline>
        </w:drawing>
      </w:r>
    </w:p>
    <w:p w14:paraId="7A355FB7" w14:textId="55B54270" w:rsidR="00B94B8A" w:rsidRDefault="00B94B8A" w:rsidP="00B94B8A">
      <w:pPr>
        <w:rPr>
          <w:b/>
          <w:bCs/>
          <w:lang w:val="en-US"/>
        </w:rPr>
      </w:pPr>
    </w:p>
    <w:p w14:paraId="25C2A140" w14:textId="77777777" w:rsidR="00960005" w:rsidRDefault="00960005" w:rsidP="00B94B8A">
      <w:pPr>
        <w:rPr>
          <w:b/>
          <w:bCs/>
          <w:lang w:val="en-US"/>
        </w:rPr>
      </w:pPr>
    </w:p>
    <w:p w14:paraId="6CA5F1C7" w14:textId="77777777" w:rsidR="00B94B8A" w:rsidRDefault="00B94B8A" w:rsidP="00B94B8A">
      <w:pPr>
        <w:rPr>
          <w:b/>
          <w:bCs/>
          <w:lang w:val="en-US"/>
        </w:rPr>
      </w:pPr>
    </w:p>
    <w:p w14:paraId="35395AB3" w14:textId="65E289C7" w:rsidR="00B94B8A" w:rsidRPr="00960005" w:rsidRDefault="00960005" w:rsidP="00960005">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2</w:t>
      </w:r>
      <w:r w:rsidR="00BE45E3">
        <w:rPr>
          <w:noProof/>
        </w:rPr>
        <w:fldChar w:fldCharType="end"/>
      </w:r>
      <w:r>
        <w:rPr>
          <w:lang w:val="en-US"/>
        </w:rPr>
        <w:t xml:space="preserve"> Relative contribution analysis in freshwater and terrestrial acidification (%). Category indicator: 0,77 mol H+ eq. Top 4 contributors are shown in the figure. Source: author’s image.</w:t>
      </w:r>
    </w:p>
    <w:p w14:paraId="77C6AE24" w14:textId="449E8ACD" w:rsidR="00B94B8A" w:rsidRDefault="00B94B8A" w:rsidP="00552209">
      <w:pPr>
        <w:jc w:val="center"/>
        <w:rPr>
          <w:b/>
          <w:bCs/>
          <w:lang w:val="en-US"/>
        </w:rPr>
      </w:pPr>
      <w:r>
        <w:rPr>
          <w:b/>
          <w:bCs/>
          <w:noProof/>
          <w:lang w:val="en-US"/>
        </w:rPr>
        <w:drawing>
          <wp:inline distT="0" distB="0" distL="0" distR="0" wp14:anchorId="113FC5C6" wp14:editId="5EDD8BE6">
            <wp:extent cx="6670766" cy="4726903"/>
            <wp:effectExtent l="0" t="0" r="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685277" cy="4737185"/>
                    </a:xfrm>
                    <a:prstGeom prst="rect">
                      <a:avLst/>
                    </a:prstGeom>
                  </pic:spPr>
                </pic:pic>
              </a:graphicData>
            </a:graphic>
          </wp:inline>
        </w:drawing>
      </w:r>
    </w:p>
    <w:p w14:paraId="1C1396B6" w14:textId="77777777" w:rsidR="00B94B8A" w:rsidRDefault="00B94B8A" w:rsidP="00B94B8A">
      <w:pPr>
        <w:rPr>
          <w:lang w:val="en-US"/>
        </w:rPr>
      </w:pPr>
    </w:p>
    <w:p w14:paraId="0634E07E" w14:textId="77777777" w:rsidR="00960005" w:rsidRDefault="00960005" w:rsidP="003D49EA">
      <w:pPr>
        <w:pStyle w:val="Caption"/>
      </w:pPr>
    </w:p>
    <w:p w14:paraId="2F690039" w14:textId="77777777" w:rsidR="00960005" w:rsidRDefault="00960005" w:rsidP="003D49EA">
      <w:pPr>
        <w:pStyle w:val="Caption"/>
      </w:pPr>
    </w:p>
    <w:p w14:paraId="5CCB850E" w14:textId="77777777" w:rsidR="00960005" w:rsidRDefault="00960005" w:rsidP="003D49EA">
      <w:pPr>
        <w:pStyle w:val="Caption"/>
      </w:pPr>
    </w:p>
    <w:p w14:paraId="03D39B3E" w14:textId="77777777" w:rsidR="00960005" w:rsidRDefault="00960005" w:rsidP="003D49EA">
      <w:pPr>
        <w:pStyle w:val="Caption"/>
      </w:pPr>
    </w:p>
    <w:p w14:paraId="146EB4E4" w14:textId="77777777" w:rsidR="00960005" w:rsidRDefault="00960005" w:rsidP="003D49EA">
      <w:pPr>
        <w:pStyle w:val="Caption"/>
      </w:pPr>
    </w:p>
    <w:p w14:paraId="049CFC96" w14:textId="77777777" w:rsidR="00960005" w:rsidRDefault="00960005" w:rsidP="003D49EA">
      <w:pPr>
        <w:pStyle w:val="Caption"/>
      </w:pPr>
    </w:p>
    <w:p w14:paraId="384E7844" w14:textId="77777777" w:rsidR="00960005" w:rsidRDefault="00960005" w:rsidP="003D49EA">
      <w:pPr>
        <w:pStyle w:val="Caption"/>
      </w:pPr>
    </w:p>
    <w:p w14:paraId="0B7271B0" w14:textId="77777777" w:rsidR="00960005" w:rsidRDefault="00960005" w:rsidP="003D49EA">
      <w:pPr>
        <w:pStyle w:val="Caption"/>
      </w:pPr>
    </w:p>
    <w:p w14:paraId="18CFC936" w14:textId="77777777" w:rsidR="00960005" w:rsidRDefault="00960005" w:rsidP="003D49EA">
      <w:pPr>
        <w:pStyle w:val="Caption"/>
      </w:pPr>
    </w:p>
    <w:p w14:paraId="56D424D1" w14:textId="48668C4D" w:rsidR="00B94B8A" w:rsidRPr="003B32F4" w:rsidRDefault="00960005" w:rsidP="00960005">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3</w:t>
      </w:r>
      <w:r w:rsidR="00BE45E3">
        <w:rPr>
          <w:noProof/>
        </w:rPr>
        <w:fldChar w:fldCharType="end"/>
      </w:r>
      <w:r>
        <w:rPr>
          <w:lang w:val="en-US"/>
        </w:rPr>
        <w:t xml:space="preserve"> Relative contribution analysis in freshwater ecotoxicity (%). Category indicator: 31,66 CTU. Top 4 contributors are shown in the figure. Source: author’s image.</w:t>
      </w:r>
    </w:p>
    <w:p w14:paraId="23953B6C" w14:textId="25A2FC5F" w:rsidR="00B94B8A" w:rsidRDefault="00B94B8A" w:rsidP="00552209">
      <w:pPr>
        <w:jc w:val="center"/>
        <w:rPr>
          <w:b/>
          <w:bCs/>
          <w:lang w:val="en-US"/>
        </w:rPr>
      </w:pPr>
      <w:r>
        <w:rPr>
          <w:b/>
          <w:bCs/>
          <w:noProof/>
          <w:lang w:val="en-US"/>
        </w:rPr>
        <w:drawing>
          <wp:inline distT="0" distB="0" distL="0" distR="0" wp14:anchorId="78B89995" wp14:editId="221CA4B0">
            <wp:extent cx="6618514" cy="4689878"/>
            <wp:effectExtent l="0" t="0" r="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626906" cy="4695825"/>
                    </a:xfrm>
                    <a:prstGeom prst="rect">
                      <a:avLst/>
                    </a:prstGeom>
                  </pic:spPr>
                </pic:pic>
              </a:graphicData>
            </a:graphic>
          </wp:inline>
        </w:drawing>
      </w:r>
    </w:p>
    <w:p w14:paraId="2F155B61" w14:textId="77777777" w:rsidR="00B94B8A" w:rsidRDefault="00B94B8A" w:rsidP="00B94B8A">
      <w:pPr>
        <w:rPr>
          <w:lang w:val="en-US"/>
        </w:rPr>
      </w:pPr>
    </w:p>
    <w:p w14:paraId="1CD6D78A" w14:textId="77777777" w:rsidR="00960005" w:rsidRDefault="00960005" w:rsidP="00B94B8A">
      <w:pPr>
        <w:rPr>
          <w:lang w:val="en-US"/>
        </w:rPr>
      </w:pPr>
    </w:p>
    <w:p w14:paraId="6B46E118" w14:textId="77777777" w:rsidR="00960005" w:rsidRDefault="00960005" w:rsidP="003D49EA">
      <w:pPr>
        <w:pStyle w:val="Caption"/>
      </w:pPr>
    </w:p>
    <w:p w14:paraId="541815A7" w14:textId="77777777" w:rsidR="00960005" w:rsidRDefault="00960005" w:rsidP="003D49EA">
      <w:pPr>
        <w:pStyle w:val="Caption"/>
      </w:pPr>
    </w:p>
    <w:p w14:paraId="133B2AFE" w14:textId="77777777" w:rsidR="00960005" w:rsidRDefault="00960005" w:rsidP="003D49EA">
      <w:pPr>
        <w:pStyle w:val="Caption"/>
      </w:pPr>
    </w:p>
    <w:p w14:paraId="24D1339A" w14:textId="77777777" w:rsidR="00960005" w:rsidRDefault="00960005" w:rsidP="003D49EA">
      <w:pPr>
        <w:pStyle w:val="Caption"/>
      </w:pPr>
    </w:p>
    <w:p w14:paraId="328AC8FF" w14:textId="77777777" w:rsidR="00960005" w:rsidRDefault="00960005" w:rsidP="003D49EA">
      <w:pPr>
        <w:pStyle w:val="Caption"/>
      </w:pPr>
    </w:p>
    <w:p w14:paraId="6CD35BB0" w14:textId="77777777" w:rsidR="00960005" w:rsidRDefault="00960005" w:rsidP="003D49EA">
      <w:pPr>
        <w:pStyle w:val="Caption"/>
      </w:pPr>
    </w:p>
    <w:p w14:paraId="3203A6ED" w14:textId="77777777" w:rsidR="00960005" w:rsidRDefault="00960005" w:rsidP="003D49EA">
      <w:pPr>
        <w:pStyle w:val="Caption"/>
      </w:pPr>
    </w:p>
    <w:p w14:paraId="794C8FBF" w14:textId="77777777" w:rsidR="00960005" w:rsidRDefault="00960005" w:rsidP="003D49EA">
      <w:pPr>
        <w:pStyle w:val="Caption"/>
      </w:pPr>
    </w:p>
    <w:p w14:paraId="1BF36113" w14:textId="036BE00E"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4</w:t>
      </w:r>
      <w:r w:rsidR="00BE45E3">
        <w:rPr>
          <w:noProof/>
        </w:rPr>
        <w:fldChar w:fldCharType="end"/>
      </w:r>
      <w:r>
        <w:rPr>
          <w:lang w:val="en-US"/>
        </w:rPr>
        <w:t xml:space="preserve"> Relative contribution analysis in freshwater eutrophication (%). Category indicator: 0,01 kg P eq. Top 4 contributors are shown in the figure. Source: author’s image.</w:t>
      </w:r>
    </w:p>
    <w:p w14:paraId="167B8E2E" w14:textId="77777777" w:rsidR="00960005" w:rsidRDefault="00960005" w:rsidP="00B94B8A">
      <w:pPr>
        <w:rPr>
          <w:lang w:val="en-US"/>
        </w:rPr>
      </w:pPr>
    </w:p>
    <w:p w14:paraId="212A6EAC" w14:textId="6CC96A24" w:rsidR="00B94B8A" w:rsidRPr="003B32F4" w:rsidRDefault="00B94B8A" w:rsidP="00552209">
      <w:pPr>
        <w:jc w:val="center"/>
        <w:rPr>
          <w:lang w:val="en-US"/>
        </w:rPr>
      </w:pPr>
      <w:r>
        <w:rPr>
          <w:noProof/>
          <w:lang w:val="en-US"/>
        </w:rPr>
        <w:drawing>
          <wp:inline distT="0" distB="0" distL="0" distR="0" wp14:anchorId="05F9D826" wp14:editId="65D4D0C5">
            <wp:extent cx="6670766" cy="4726903"/>
            <wp:effectExtent l="0" t="0" r="0" b="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81465" cy="4734484"/>
                    </a:xfrm>
                    <a:prstGeom prst="rect">
                      <a:avLst/>
                    </a:prstGeom>
                  </pic:spPr>
                </pic:pic>
              </a:graphicData>
            </a:graphic>
          </wp:inline>
        </w:drawing>
      </w:r>
    </w:p>
    <w:p w14:paraId="73E46E4F" w14:textId="3FE6B6A0" w:rsidR="00B94B8A" w:rsidRDefault="00B94B8A" w:rsidP="00B94B8A">
      <w:pPr>
        <w:rPr>
          <w:b/>
          <w:bCs/>
          <w:lang w:val="en-US"/>
        </w:rPr>
      </w:pPr>
    </w:p>
    <w:p w14:paraId="1D68C4E3" w14:textId="77777777" w:rsidR="00B94B8A" w:rsidRDefault="00B94B8A" w:rsidP="00B94B8A">
      <w:pPr>
        <w:rPr>
          <w:lang w:val="en-US"/>
        </w:rPr>
      </w:pPr>
    </w:p>
    <w:p w14:paraId="184EB6F2" w14:textId="160897F6" w:rsidR="00B94B8A" w:rsidRDefault="00B94B8A" w:rsidP="00B94B8A">
      <w:pPr>
        <w:rPr>
          <w:lang w:val="en-US"/>
        </w:rPr>
      </w:pPr>
    </w:p>
    <w:p w14:paraId="62BA750F" w14:textId="26299F3C" w:rsidR="00960005" w:rsidRDefault="00960005" w:rsidP="00B94B8A">
      <w:pPr>
        <w:rPr>
          <w:lang w:val="en-US"/>
        </w:rPr>
      </w:pPr>
    </w:p>
    <w:p w14:paraId="25CE9205" w14:textId="00C49FC3" w:rsidR="00960005" w:rsidRDefault="00960005" w:rsidP="00B94B8A">
      <w:pPr>
        <w:rPr>
          <w:lang w:val="en-US"/>
        </w:rPr>
      </w:pPr>
    </w:p>
    <w:p w14:paraId="1231BC6E" w14:textId="19169178" w:rsidR="00960005" w:rsidRDefault="00960005" w:rsidP="00B94B8A">
      <w:pPr>
        <w:rPr>
          <w:lang w:val="en-US"/>
        </w:rPr>
      </w:pPr>
    </w:p>
    <w:p w14:paraId="4A39BE9E" w14:textId="245292BF" w:rsidR="00960005" w:rsidRDefault="00960005" w:rsidP="00B94B8A">
      <w:pPr>
        <w:rPr>
          <w:lang w:val="en-US"/>
        </w:rPr>
      </w:pPr>
    </w:p>
    <w:p w14:paraId="0ED4755E" w14:textId="77777777" w:rsidR="00960005" w:rsidRDefault="00960005" w:rsidP="00B94B8A">
      <w:pPr>
        <w:rPr>
          <w:lang w:val="en-US"/>
        </w:rPr>
      </w:pPr>
    </w:p>
    <w:p w14:paraId="14240944" w14:textId="666B1308"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w:instrText>
      </w:r>
      <w:r w:rsidR="00BE45E3">
        <w:instrText xml:space="preserve">dix_Figure \* ARABIC \s 6 </w:instrText>
      </w:r>
      <w:r w:rsidR="00BE45E3">
        <w:fldChar w:fldCharType="separate"/>
      </w:r>
      <w:r w:rsidR="00BC31F4">
        <w:rPr>
          <w:noProof/>
        </w:rPr>
        <w:t>5</w:t>
      </w:r>
      <w:r w:rsidR="00BE45E3">
        <w:rPr>
          <w:noProof/>
        </w:rPr>
        <w:fldChar w:fldCharType="end"/>
      </w:r>
      <w:r>
        <w:rPr>
          <w:lang w:val="en-US"/>
        </w:rPr>
        <w:t xml:space="preserve"> Relative contribution analysis in marine eutrophication (%). Category indicator: 0,23 kg N eq. Top 4 contributors are shown in the figure. Source: author’s image.</w:t>
      </w:r>
    </w:p>
    <w:p w14:paraId="17E7FAEC" w14:textId="77777777" w:rsidR="00960005" w:rsidRPr="003B32F4" w:rsidRDefault="00960005" w:rsidP="00B94B8A">
      <w:pPr>
        <w:rPr>
          <w:lang w:val="en-US"/>
        </w:rPr>
      </w:pPr>
    </w:p>
    <w:p w14:paraId="1ECD2E6B" w14:textId="3F6C77F0" w:rsidR="00B94B8A" w:rsidRDefault="00B94B8A" w:rsidP="00552209">
      <w:pPr>
        <w:jc w:val="center"/>
        <w:rPr>
          <w:b/>
          <w:bCs/>
          <w:lang w:val="en-US"/>
        </w:rPr>
      </w:pPr>
      <w:r>
        <w:rPr>
          <w:b/>
          <w:bCs/>
          <w:noProof/>
          <w:lang w:val="en-US"/>
        </w:rPr>
        <w:drawing>
          <wp:inline distT="0" distB="0" distL="0" distR="0" wp14:anchorId="3F41FCD1" wp14:editId="208554A7">
            <wp:extent cx="6644640" cy="4708390"/>
            <wp:effectExtent l="0" t="0" r="0" b="3810"/>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ar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656014" cy="4716450"/>
                    </a:xfrm>
                    <a:prstGeom prst="rect">
                      <a:avLst/>
                    </a:prstGeom>
                  </pic:spPr>
                </pic:pic>
              </a:graphicData>
            </a:graphic>
          </wp:inline>
        </w:drawing>
      </w:r>
    </w:p>
    <w:p w14:paraId="47E16A47" w14:textId="39389B33" w:rsidR="00B94B8A" w:rsidRDefault="00B94B8A" w:rsidP="00B94B8A">
      <w:pPr>
        <w:rPr>
          <w:lang w:val="en-US"/>
        </w:rPr>
      </w:pPr>
    </w:p>
    <w:p w14:paraId="4BA6C187" w14:textId="575B3541" w:rsidR="00960005" w:rsidRDefault="00960005" w:rsidP="00B94B8A">
      <w:pPr>
        <w:rPr>
          <w:lang w:val="en-US"/>
        </w:rPr>
      </w:pPr>
    </w:p>
    <w:p w14:paraId="6116D6F4" w14:textId="44412E66" w:rsidR="00960005" w:rsidRDefault="00960005" w:rsidP="00B94B8A">
      <w:pPr>
        <w:rPr>
          <w:lang w:val="en-US"/>
        </w:rPr>
      </w:pPr>
    </w:p>
    <w:p w14:paraId="139DDE24" w14:textId="2A5FD1D0" w:rsidR="00960005" w:rsidRDefault="00960005" w:rsidP="00B94B8A">
      <w:pPr>
        <w:rPr>
          <w:lang w:val="en-US"/>
        </w:rPr>
      </w:pPr>
    </w:p>
    <w:p w14:paraId="3900DE06" w14:textId="71524E44" w:rsidR="00960005" w:rsidRDefault="00960005" w:rsidP="00B94B8A">
      <w:pPr>
        <w:rPr>
          <w:lang w:val="en-US"/>
        </w:rPr>
      </w:pPr>
    </w:p>
    <w:p w14:paraId="7D91687B" w14:textId="4E623889" w:rsidR="00960005" w:rsidRDefault="00960005" w:rsidP="00B94B8A">
      <w:pPr>
        <w:rPr>
          <w:lang w:val="en-US"/>
        </w:rPr>
      </w:pPr>
    </w:p>
    <w:p w14:paraId="291FB15E" w14:textId="3FE43592" w:rsidR="00960005" w:rsidRDefault="00960005" w:rsidP="00B94B8A">
      <w:pPr>
        <w:rPr>
          <w:lang w:val="en-US"/>
        </w:rPr>
      </w:pPr>
    </w:p>
    <w:p w14:paraId="30E7F463" w14:textId="77777777" w:rsidR="00960005" w:rsidRDefault="00960005" w:rsidP="00B94B8A">
      <w:pPr>
        <w:rPr>
          <w:lang w:val="en-US"/>
        </w:rPr>
      </w:pPr>
    </w:p>
    <w:p w14:paraId="38F4E1A4" w14:textId="3A688F37" w:rsidR="00960005" w:rsidRPr="003B32F4" w:rsidRDefault="00960005" w:rsidP="00960005">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6</w:t>
      </w:r>
      <w:r w:rsidR="00BE45E3">
        <w:rPr>
          <w:noProof/>
        </w:rPr>
        <w:fldChar w:fldCharType="end"/>
      </w:r>
      <w:r>
        <w:rPr>
          <w:lang w:val="en-US"/>
        </w:rPr>
        <w:t xml:space="preserve"> Relative contribution analysis in terrestrial eutrophication (%). Category indicator: 2,61 mol N eq. Top 4 contributors are shown in the figure. Source: author’s image. </w:t>
      </w:r>
    </w:p>
    <w:p w14:paraId="2DB6FE96" w14:textId="7EEC4079" w:rsidR="00B94B8A" w:rsidRDefault="00B94B8A" w:rsidP="00552209">
      <w:pPr>
        <w:jc w:val="center"/>
        <w:rPr>
          <w:b/>
          <w:bCs/>
          <w:lang w:val="en-US"/>
        </w:rPr>
      </w:pPr>
      <w:r>
        <w:rPr>
          <w:b/>
          <w:bCs/>
          <w:noProof/>
          <w:lang w:val="en-US"/>
        </w:rPr>
        <w:drawing>
          <wp:inline distT="0" distB="0" distL="0" distR="0" wp14:anchorId="487256D8" wp14:editId="5F48E6BC">
            <wp:extent cx="6635931" cy="4702219"/>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extLst>
                        <a:ext uri="{28A0092B-C50C-407E-A947-70E740481C1C}">
                          <a14:useLocalDpi xmlns:a14="http://schemas.microsoft.com/office/drawing/2010/main" val="0"/>
                        </a:ext>
                      </a:extLst>
                    </a:blip>
                    <a:stretch>
                      <a:fillRect/>
                    </a:stretch>
                  </pic:blipFill>
                  <pic:spPr>
                    <a:xfrm>
                      <a:off x="0" y="0"/>
                      <a:ext cx="6644823" cy="4708520"/>
                    </a:xfrm>
                    <a:prstGeom prst="rect">
                      <a:avLst/>
                    </a:prstGeom>
                  </pic:spPr>
                </pic:pic>
              </a:graphicData>
            </a:graphic>
          </wp:inline>
        </w:drawing>
      </w:r>
    </w:p>
    <w:p w14:paraId="60517D55" w14:textId="77777777" w:rsidR="00B94B8A" w:rsidRDefault="00B94B8A" w:rsidP="00B94B8A">
      <w:pPr>
        <w:rPr>
          <w:lang w:val="en-US"/>
        </w:rPr>
      </w:pPr>
    </w:p>
    <w:p w14:paraId="4ED066ED" w14:textId="49AE1C0A" w:rsidR="00B94B8A" w:rsidRDefault="00B94B8A" w:rsidP="00B94B8A">
      <w:pPr>
        <w:rPr>
          <w:lang w:val="en-US"/>
        </w:rPr>
      </w:pPr>
    </w:p>
    <w:p w14:paraId="3776938F" w14:textId="5B07AC50" w:rsidR="00960005" w:rsidRDefault="00960005" w:rsidP="00B94B8A">
      <w:pPr>
        <w:rPr>
          <w:lang w:val="en-US"/>
        </w:rPr>
      </w:pPr>
    </w:p>
    <w:p w14:paraId="506A7152" w14:textId="1E8A4516" w:rsidR="00960005" w:rsidRDefault="00960005" w:rsidP="00B94B8A">
      <w:pPr>
        <w:rPr>
          <w:lang w:val="en-US"/>
        </w:rPr>
      </w:pPr>
    </w:p>
    <w:p w14:paraId="39891EDB" w14:textId="5C71846F" w:rsidR="00960005" w:rsidRDefault="00960005" w:rsidP="00B94B8A">
      <w:pPr>
        <w:rPr>
          <w:lang w:val="en-US"/>
        </w:rPr>
      </w:pPr>
    </w:p>
    <w:p w14:paraId="09F27E1B" w14:textId="36DC74E0" w:rsidR="00960005" w:rsidRDefault="00960005" w:rsidP="00B94B8A">
      <w:pPr>
        <w:rPr>
          <w:lang w:val="en-US"/>
        </w:rPr>
      </w:pPr>
    </w:p>
    <w:p w14:paraId="427C8F84" w14:textId="3F9A8223" w:rsidR="00960005" w:rsidRDefault="00960005" w:rsidP="00B94B8A">
      <w:pPr>
        <w:rPr>
          <w:lang w:val="en-US"/>
        </w:rPr>
      </w:pPr>
    </w:p>
    <w:p w14:paraId="257F419F" w14:textId="1E05407D" w:rsidR="00960005" w:rsidRDefault="00960005" w:rsidP="00B94B8A">
      <w:pPr>
        <w:rPr>
          <w:lang w:val="en-US"/>
        </w:rPr>
      </w:pPr>
    </w:p>
    <w:p w14:paraId="4A87B913" w14:textId="53D3FA8C" w:rsidR="00960005" w:rsidRDefault="00960005" w:rsidP="00B94B8A">
      <w:pPr>
        <w:rPr>
          <w:lang w:val="en-US"/>
        </w:rPr>
      </w:pPr>
    </w:p>
    <w:p w14:paraId="063FB53D" w14:textId="77777777" w:rsidR="00960005" w:rsidRDefault="00960005" w:rsidP="00B94B8A">
      <w:pPr>
        <w:rPr>
          <w:lang w:val="en-US"/>
        </w:rPr>
      </w:pPr>
    </w:p>
    <w:p w14:paraId="02EB61C7" w14:textId="4AAE59FE"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7</w:t>
      </w:r>
      <w:r w:rsidR="00BE45E3">
        <w:rPr>
          <w:noProof/>
        </w:rPr>
        <w:fldChar w:fldCharType="end"/>
      </w:r>
      <w:r>
        <w:rPr>
          <w:lang w:val="en-US"/>
        </w:rPr>
        <w:t xml:space="preserve"> Relative contribution analysis in carcinogenic effects (%). Category indicator: 5,20 E-07 </w:t>
      </w:r>
      <w:proofErr w:type="spellStart"/>
      <w:r>
        <w:rPr>
          <w:lang w:val="en-US"/>
        </w:rPr>
        <w:t>CTUh</w:t>
      </w:r>
      <w:proofErr w:type="spellEnd"/>
      <w:r>
        <w:rPr>
          <w:lang w:val="en-US"/>
        </w:rPr>
        <w:t>. Top 4 contributors are shown in the figure. Source: author’s image.</w:t>
      </w:r>
    </w:p>
    <w:p w14:paraId="64209AB7" w14:textId="77777777" w:rsidR="00960005" w:rsidRPr="003B32F4" w:rsidRDefault="00960005" w:rsidP="00B94B8A">
      <w:pPr>
        <w:rPr>
          <w:lang w:val="en-US"/>
        </w:rPr>
      </w:pPr>
    </w:p>
    <w:p w14:paraId="2C0968CB" w14:textId="497E2127" w:rsidR="00B94B8A" w:rsidRDefault="00B94B8A" w:rsidP="00552209">
      <w:pPr>
        <w:jc w:val="center"/>
        <w:rPr>
          <w:b/>
          <w:bCs/>
          <w:lang w:val="en-US"/>
        </w:rPr>
      </w:pPr>
      <w:r>
        <w:rPr>
          <w:b/>
          <w:bCs/>
          <w:noProof/>
          <w:lang w:val="en-US"/>
        </w:rPr>
        <w:drawing>
          <wp:inline distT="0" distB="0" distL="0" distR="0" wp14:anchorId="06CAC09E" wp14:editId="5E7D9291">
            <wp:extent cx="6662057" cy="4720732"/>
            <wp:effectExtent l="0" t="0" r="5715" b="381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669377" cy="4725919"/>
                    </a:xfrm>
                    <a:prstGeom prst="rect">
                      <a:avLst/>
                    </a:prstGeom>
                  </pic:spPr>
                </pic:pic>
              </a:graphicData>
            </a:graphic>
          </wp:inline>
        </w:drawing>
      </w:r>
    </w:p>
    <w:p w14:paraId="0005ED4C" w14:textId="77777777" w:rsidR="00B94B8A" w:rsidRDefault="00B94B8A" w:rsidP="00B94B8A">
      <w:pPr>
        <w:rPr>
          <w:lang w:val="en-US"/>
        </w:rPr>
      </w:pPr>
    </w:p>
    <w:p w14:paraId="3AFAAEC6" w14:textId="6CC6420E" w:rsidR="00B94B8A" w:rsidRDefault="00B94B8A" w:rsidP="00B94B8A">
      <w:pPr>
        <w:rPr>
          <w:lang w:val="en-US"/>
        </w:rPr>
      </w:pPr>
    </w:p>
    <w:p w14:paraId="0CE0FDA3" w14:textId="2E6F1515" w:rsidR="00960005" w:rsidRDefault="00960005" w:rsidP="00B94B8A">
      <w:pPr>
        <w:rPr>
          <w:lang w:val="en-US"/>
        </w:rPr>
      </w:pPr>
    </w:p>
    <w:p w14:paraId="76888950" w14:textId="6F08B53A" w:rsidR="00960005" w:rsidRDefault="00960005" w:rsidP="00B94B8A">
      <w:pPr>
        <w:rPr>
          <w:lang w:val="en-US"/>
        </w:rPr>
      </w:pPr>
    </w:p>
    <w:p w14:paraId="3C1D52F4" w14:textId="4C042F3C" w:rsidR="00960005" w:rsidRDefault="00960005" w:rsidP="00B94B8A">
      <w:pPr>
        <w:rPr>
          <w:lang w:val="en-US"/>
        </w:rPr>
      </w:pPr>
    </w:p>
    <w:p w14:paraId="5794ED68" w14:textId="07649C1B" w:rsidR="00960005" w:rsidRDefault="00960005" w:rsidP="00B94B8A">
      <w:pPr>
        <w:rPr>
          <w:lang w:val="en-US"/>
        </w:rPr>
      </w:pPr>
    </w:p>
    <w:p w14:paraId="39C56BCF" w14:textId="65C5C049" w:rsidR="00960005" w:rsidRDefault="00960005" w:rsidP="00B94B8A">
      <w:pPr>
        <w:rPr>
          <w:lang w:val="en-US"/>
        </w:rPr>
      </w:pPr>
    </w:p>
    <w:p w14:paraId="4CB127F4" w14:textId="435697CD" w:rsidR="00960005" w:rsidRDefault="00960005" w:rsidP="00B94B8A">
      <w:pPr>
        <w:rPr>
          <w:lang w:val="en-US"/>
        </w:rPr>
      </w:pPr>
    </w:p>
    <w:p w14:paraId="6C0A7D58" w14:textId="77777777" w:rsidR="00960005" w:rsidRDefault="00960005" w:rsidP="00B94B8A">
      <w:pPr>
        <w:rPr>
          <w:b/>
          <w:bCs/>
          <w:lang w:val="en-US"/>
        </w:rPr>
      </w:pPr>
    </w:p>
    <w:p w14:paraId="02DD70A6" w14:textId="5FAAC61A"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w:instrText>
      </w:r>
      <w:r w:rsidR="00BE45E3">
        <w:instrText xml:space="preserve">\s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8</w:t>
      </w:r>
      <w:r w:rsidR="00BE45E3">
        <w:rPr>
          <w:noProof/>
        </w:rPr>
        <w:fldChar w:fldCharType="end"/>
      </w:r>
      <w:r>
        <w:rPr>
          <w:lang w:val="en-US"/>
        </w:rPr>
        <w:t xml:space="preserve"> Relative contribution analysis of foreground processes in non-carcinogenic effects (%). Category indicator: 5,31E-06 </w:t>
      </w:r>
      <w:proofErr w:type="spellStart"/>
      <w:r>
        <w:rPr>
          <w:lang w:val="en-US"/>
        </w:rPr>
        <w:t>CTUh</w:t>
      </w:r>
      <w:proofErr w:type="spellEnd"/>
      <w:r>
        <w:rPr>
          <w:lang w:val="en-US"/>
        </w:rPr>
        <w:t>. Top 4 contributors are shown in the figure. Source: author’s image.</w:t>
      </w:r>
    </w:p>
    <w:p w14:paraId="2BC9D535" w14:textId="77777777" w:rsidR="00960005" w:rsidRDefault="00960005" w:rsidP="00B94B8A">
      <w:pPr>
        <w:rPr>
          <w:b/>
          <w:bCs/>
          <w:lang w:val="en-US"/>
        </w:rPr>
      </w:pPr>
    </w:p>
    <w:p w14:paraId="3E0FB613" w14:textId="625DB4DF" w:rsidR="00B94B8A" w:rsidRDefault="00B94B8A" w:rsidP="00552209">
      <w:pPr>
        <w:jc w:val="center"/>
        <w:rPr>
          <w:lang w:val="en-US"/>
        </w:rPr>
      </w:pPr>
      <w:r>
        <w:rPr>
          <w:noProof/>
          <w:lang w:val="en-US"/>
        </w:rPr>
        <w:drawing>
          <wp:inline distT="0" distB="0" distL="0" distR="0" wp14:anchorId="3FF0B5F7" wp14:editId="2F3754E6">
            <wp:extent cx="6635931" cy="4702219"/>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6645675" cy="4709124"/>
                    </a:xfrm>
                    <a:prstGeom prst="rect">
                      <a:avLst/>
                    </a:prstGeom>
                  </pic:spPr>
                </pic:pic>
              </a:graphicData>
            </a:graphic>
          </wp:inline>
        </w:drawing>
      </w:r>
    </w:p>
    <w:p w14:paraId="7BC8D010" w14:textId="77777777" w:rsidR="00B94B8A" w:rsidRDefault="00B94B8A" w:rsidP="00B94B8A">
      <w:pPr>
        <w:rPr>
          <w:lang w:val="en-US"/>
        </w:rPr>
      </w:pPr>
    </w:p>
    <w:p w14:paraId="2A44F54A" w14:textId="54734AC1" w:rsidR="00960005" w:rsidRDefault="00960005" w:rsidP="00B94B8A">
      <w:pPr>
        <w:rPr>
          <w:lang w:val="en-US"/>
        </w:rPr>
      </w:pPr>
    </w:p>
    <w:p w14:paraId="6607B5D0" w14:textId="50D6D563" w:rsidR="00960005" w:rsidRDefault="00960005" w:rsidP="00B94B8A">
      <w:pPr>
        <w:rPr>
          <w:lang w:val="en-US"/>
        </w:rPr>
      </w:pPr>
    </w:p>
    <w:p w14:paraId="5CC51539" w14:textId="0FCC18E1" w:rsidR="00960005" w:rsidRDefault="00960005" w:rsidP="00B94B8A">
      <w:pPr>
        <w:rPr>
          <w:lang w:val="en-US"/>
        </w:rPr>
      </w:pPr>
    </w:p>
    <w:p w14:paraId="23E33C2B" w14:textId="5F87FB96" w:rsidR="00960005" w:rsidRDefault="00960005" w:rsidP="00B94B8A">
      <w:pPr>
        <w:rPr>
          <w:lang w:val="en-US"/>
        </w:rPr>
      </w:pPr>
    </w:p>
    <w:p w14:paraId="7ECB8BA5" w14:textId="61B93732" w:rsidR="00960005" w:rsidRDefault="00960005" w:rsidP="00B94B8A">
      <w:pPr>
        <w:rPr>
          <w:lang w:val="en-US"/>
        </w:rPr>
      </w:pPr>
    </w:p>
    <w:p w14:paraId="1987558E" w14:textId="77E9DAA3" w:rsidR="00960005" w:rsidRDefault="00960005" w:rsidP="00B94B8A">
      <w:pPr>
        <w:rPr>
          <w:lang w:val="en-US"/>
        </w:rPr>
      </w:pPr>
    </w:p>
    <w:p w14:paraId="617585F1" w14:textId="77777777" w:rsidR="00960005" w:rsidRDefault="00960005" w:rsidP="00B94B8A">
      <w:pPr>
        <w:rPr>
          <w:lang w:val="en-US"/>
        </w:rPr>
      </w:pPr>
    </w:p>
    <w:p w14:paraId="25A16284" w14:textId="60F2D414"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9</w:t>
      </w:r>
      <w:r w:rsidR="00BE45E3">
        <w:rPr>
          <w:noProof/>
        </w:rPr>
        <w:fldChar w:fldCharType="end"/>
      </w:r>
      <w:r>
        <w:rPr>
          <w:lang w:val="en-US"/>
        </w:rPr>
        <w:t xml:space="preserve"> Relative contribution analysis in ozone layer depletion (%). Category indicator: 8,05E-06 kg CFC-11. Top 4 contributors are shown in the figure. Source: author’s image.</w:t>
      </w:r>
    </w:p>
    <w:p w14:paraId="6346C5F9" w14:textId="77777777" w:rsidR="00960005" w:rsidRDefault="00960005" w:rsidP="00B94B8A">
      <w:pPr>
        <w:rPr>
          <w:lang w:val="en-US"/>
        </w:rPr>
      </w:pPr>
    </w:p>
    <w:p w14:paraId="5BE4FF1C" w14:textId="6B4481CF" w:rsidR="00B94B8A" w:rsidRPr="003B32F4" w:rsidRDefault="00B94B8A" w:rsidP="00552209">
      <w:pPr>
        <w:jc w:val="center"/>
        <w:rPr>
          <w:lang w:val="en-US"/>
        </w:rPr>
      </w:pPr>
      <w:r>
        <w:rPr>
          <w:noProof/>
          <w:lang w:val="en-US"/>
        </w:rPr>
        <w:drawing>
          <wp:inline distT="0" distB="0" distL="0" distR="0" wp14:anchorId="3E34C52E" wp14:editId="5DCEC098">
            <wp:extent cx="6635931" cy="470221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6648879" cy="4711394"/>
                    </a:xfrm>
                    <a:prstGeom prst="rect">
                      <a:avLst/>
                    </a:prstGeom>
                  </pic:spPr>
                </pic:pic>
              </a:graphicData>
            </a:graphic>
          </wp:inline>
        </w:drawing>
      </w:r>
    </w:p>
    <w:p w14:paraId="7B1BCD5B" w14:textId="78C0BE03" w:rsidR="00B94B8A" w:rsidRDefault="00B94B8A" w:rsidP="00B94B8A">
      <w:pPr>
        <w:rPr>
          <w:b/>
          <w:bCs/>
          <w:lang w:val="en-US"/>
        </w:rPr>
      </w:pPr>
    </w:p>
    <w:p w14:paraId="74A20362" w14:textId="77777777" w:rsidR="00B94B8A" w:rsidRDefault="00B94B8A" w:rsidP="00B94B8A">
      <w:pPr>
        <w:rPr>
          <w:lang w:val="en-US"/>
        </w:rPr>
      </w:pPr>
    </w:p>
    <w:p w14:paraId="3E9AD041" w14:textId="77777777" w:rsidR="00960005" w:rsidRDefault="00960005" w:rsidP="003D49EA">
      <w:pPr>
        <w:pStyle w:val="Caption"/>
      </w:pPr>
    </w:p>
    <w:p w14:paraId="71F3E6A0" w14:textId="77777777" w:rsidR="00960005" w:rsidRDefault="00960005" w:rsidP="003D49EA">
      <w:pPr>
        <w:pStyle w:val="Caption"/>
      </w:pPr>
    </w:p>
    <w:p w14:paraId="175F36C9" w14:textId="77777777" w:rsidR="00960005" w:rsidRDefault="00960005" w:rsidP="003D49EA">
      <w:pPr>
        <w:pStyle w:val="Caption"/>
      </w:pPr>
    </w:p>
    <w:p w14:paraId="46288AE6" w14:textId="77777777" w:rsidR="00960005" w:rsidRDefault="00960005" w:rsidP="003D49EA">
      <w:pPr>
        <w:pStyle w:val="Caption"/>
      </w:pPr>
    </w:p>
    <w:p w14:paraId="7CD7868A" w14:textId="77777777" w:rsidR="00960005" w:rsidRDefault="00960005" w:rsidP="003D49EA">
      <w:pPr>
        <w:pStyle w:val="Caption"/>
      </w:pPr>
    </w:p>
    <w:p w14:paraId="208BBD1A" w14:textId="77777777" w:rsidR="00960005" w:rsidRDefault="00960005" w:rsidP="003D49EA">
      <w:pPr>
        <w:pStyle w:val="Caption"/>
      </w:pPr>
    </w:p>
    <w:p w14:paraId="1821D5CB" w14:textId="70089D2D" w:rsidR="00960005" w:rsidRPr="00960005" w:rsidRDefault="00960005" w:rsidP="003D49EA">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sidR="00BC31F4">
        <w:rPr>
          <w:noProof/>
        </w:rPr>
        <w:t>D</w:t>
      </w:r>
      <w:r w:rsidR="00BE45E3">
        <w:rPr>
          <w:noProof/>
        </w:rPr>
        <w:fldChar w:fldCharType="end"/>
      </w:r>
      <w:r>
        <w:t>.</w:t>
      </w:r>
      <w:r w:rsidR="00BE45E3">
        <w:fldChar w:fldCharType="begin"/>
      </w:r>
      <w:r w:rsidR="00BE45E3">
        <w:instrText xml:space="preserve"> SEQ Appendix_Figure \* ARABIC \s 6 </w:instrText>
      </w:r>
      <w:r w:rsidR="00BE45E3">
        <w:fldChar w:fldCharType="separate"/>
      </w:r>
      <w:r w:rsidR="00BC31F4">
        <w:rPr>
          <w:noProof/>
        </w:rPr>
        <w:t>10</w:t>
      </w:r>
      <w:r w:rsidR="00BE45E3">
        <w:rPr>
          <w:noProof/>
        </w:rPr>
        <w:fldChar w:fldCharType="end"/>
      </w:r>
      <w:r>
        <w:rPr>
          <w:lang w:val="en-US"/>
        </w:rPr>
        <w:t xml:space="preserve"> Relative contribution analysis in photochemical ozone creation (%). Category indicator: 0,64 kg NMVOC. Top 4 contributors are shown in the figure. Source: author’s image.</w:t>
      </w:r>
    </w:p>
    <w:p w14:paraId="79A8C0B9" w14:textId="5FBF64CE" w:rsidR="00B94B8A" w:rsidRPr="003B32F4" w:rsidRDefault="00B94B8A" w:rsidP="00B94B8A">
      <w:pPr>
        <w:rPr>
          <w:lang w:val="en-US"/>
        </w:rPr>
      </w:pPr>
    </w:p>
    <w:p w14:paraId="59F6675A" w14:textId="55895445" w:rsidR="00B94B8A" w:rsidRDefault="00B94B8A" w:rsidP="00552209">
      <w:pPr>
        <w:jc w:val="center"/>
        <w:rPr>
          <w:b/>
          <w:bCs/>
          <w:lang w:val="en-US"/>
        </w:rPr>
      </w:pPr>
      <w:r>
        <w:rPr>
          <w:noProof/>
          <w:lang w:val="en-US"/>
        </w:rPr>
        <w:drawing>
          <wp:inline distT="0" distB="0" distL="0" distR="0" wp14:anchorId="1072B8BB" wp14:editId="12DF845F">
            <wp:extent cx="6670766" cy="4726903"/>
            <wp:effectExtent l="0" t="0" r="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681421" cy="4734453"/>
                    </a:xfrm>
                    <a:prstGeom prst="rect">
                      <a:avLst/>
                    </a:prstGeom>
                  </pic:spPr>
                </pic:pic>
              </a:graphicData>
            </a:graphic>
          </wp:inline>
        </w:drawing>
      </w:r>
    </w:p>
    <w:p w14:paraId="47C9A6B9" w14:textId="52F51440" w:rsidR="00677356" w:rsidRDefault="00677356" w:rsidP="00677356">
      <w:pPr>
        <w:rPr>
          <w:b/>
          <w:bCs/>
          <w:lang w:val="en-US"/>
        </w:rPr>
      </w:pPr>
    </w:p>
    <w:p w14:paraId="247053CC" w14:textId="2DB6B6A3" w:rsidR="00AC3AC1" w:rsidRDefault="00AC3AC1" w:rsidP="0095761A">
      <w:pPr>
        <w:rPr>
          <w:lang w:val="en-US"/>
        </w:rPr>
      </w:pPr>
    </w:p>
    <w:p w14:paraId="33A6009A" w14:textId="77777777" w:rsidR="00677356" w:rsidRDefault="00677356" w:rsidP="00711A82">
      <w:pPr>
        <w:rPr>
          <w:b/>
          <w:bCs/>
          <w:lang w:val="en-US"/>
        </w:rPr>
      </w:pPr>
    </w:p>
    <w:p w14:paraId="13FF70FE" w14:textId="77777777" w:rsidR="0095761A" w:rsidRPr="003B32F4" w:rsidRDefault="0095761A" w:rsidP="0095761A">
      <w:pPr>
        <w:rPr>
          <w:lang w:val="en-US"/>
        </w:rPr>
      </w:pPr>
    </w:p>
    <w:p w14:paraId="2021F0BD" w14:textId="511D3529" w:rsidR="00677356" w:rsidRDefault="00677356" w:rsidP="00711A82">
      <w:pPr>
        <w:rPr>
          <w:b/>
          <w:bCs/>
          <w:lang w:val="en-US"/>
        </w:rPr>
      </w:pPr>
    </w:p>
    <w:p w14:paraId="688D5011" w14:textId="104584C7" w:rsidR="00677356" w:rsidRDefault="00677356" w:rsidP="00711A82">
      <w:pPr>
        <w:rPr>
          <w:b/>
          <w:bCs/>
          <w:lang w:val="en-US"/>
        </w:rPr>
      </w:pPr>
    </w:p>
    <w:p w14:paraId="47B9ACB3" w14:textId="77777777" w:rsidR="0095761A" w:rsidRPr="003B32F4" w:rsidRDefault="0095761A" w:rsidP="0095761A">
      <w:pPr>
        <w:rPr>
          <w:lang w:val="en-US"/>
        </w:rPr>
      </w:pPr>
    </w:p>
    <w:p w14:paraId="56038FA6" w14:textId="61AAA679" w:rsidR="00677356" w:rsidRDefault="00677356" w:rsidP="00711A82">
      <w:pPr>
        <w:rPr>
          <w:b/>
          <w:bCs/>
          <w:lang w:val="en-US"/>
        </w:rPr>
      </w:pPr>
    </w:p>
    <w:p w14:paraId="111D6A29" w14:textId="27DA8C8D" w:rsidR="000D3E3F" w:rsidRDefault="000D3E3F">
      <w:pPr>
        <w:spacing w:before="0" w:after="0" w:line="240" w:lineRule="auto"/>
        <w:contextualSpacing w:val="0"/>
        <w:jc w:val="left"/>
        <w:rPr>
          <w:lang w:val="en-US"/>
        </w:rPr>
      </w:pPr>
      <w:r>
        <w:rPr>
          <w:lang w:val="en-US"/>
        </w:rPr>
        <w:br w:type="page"/>
      </w:r>
    </w:p>
    <w:p w14:paraId="064EB4E6" w14:textId="147E8D76" w:rsidR="00D5470A" w:rsidRDefault="00D5470A" w:rsidP="000D3E3F">
      <w:pPr>
        <w:pStyle w:val="Heading6"/>
      </w:pPr>
      <w:bookmarkStart w:id="102" w:name="_Toc76752297"/>
      <w:bookmarkStart w:id="103" w:name="_Ref74913424"/>
      <w:bookmarkEnd w:id="102"/>
    </w:p>
    <w:bookmarkEnd w:id="103"/>
    <w:p w14:paraId="3FF2DC14" w14:textId="07841D0C" w:rsidR="00404DBC" w:rsidRDefault="00C66D00" w:rsidP="0013162B">
      <w:pPr>
        <w:rPr>
          <w:rFonts w:ascii="Arial" w:hAnsi="Arial" w:cs="Arial"/>
          <w:b/>
          <w:bCs/>
          <w:lang w:val="en-US"/>
        </w:rPr>
      </w:pPr>
      <w:r>
        <w:rPr>
          <w:rFonts w:ascii="Arial" w:hAnsi="Arial" w:cs="Arial"/>
          <w:b/>
          <w:bCs/>
          <w:lang w:val="en-US"/>
        </w:rPr>
        <w:t xml:space="preserve">                                            </w:t>
      </w:r>
      <w:r w:rsidR="000D3E3F" w:rsidRPr="000D3E3F">
        <w:rPr>
          <w:rFonts w:ascii="Arial" w:hAnsi="Arial" w:cs="Arial"/>
          <w:b/>
          <w:bCs/>
          <w:lang w:val="en-US"/>
        </w:rPr>
        <w:t>Additional information</w:t>
      </w:r>
    </w:p>
    <w:p w14:paraId="725B0F93" w14:textId="77777777" w:rsidR="00E84F00" w:rsidRPr="006958A6" w:rsidRDefault="00E84F00" w:rsidP="0013162B">
      <w:pPr>
        <w:rPr>
          <w:rFonts w:ascii="Arial" w:hAnsi="Arial" w:cs="Arial"/>
          <w:b/>
          <w:bCs/>
          <w:lang w:val="en-US"/>
        </w:rPr>
      </w:pPr>
    </w:p>
    <w:p w14:paraId="12A8AFE7" w14:textId="6AB82F33" w:rsidR="00E84F00" w:rsidRPr="009F3573" w:rsidRDefault="009F3573" w:rsidP="009F3573">
      <w:pPr>
        <w:pStyle w:val="Caption"/>
        <w:rPr>
          <w:lang w:val="en-US"/>
        </w:rPr>
      </w:pPr>
      <w:bookmarkStart w:id="104" w:name="_Ref76732951"/>
      <w:r>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1</w:t>
      </w:r>
      <w:r w:rsidR="00BE45E3">
        <w:rPr>
          <w:noProof/>
        </w:rPr>
        <w:fldChar w:fldCharType="end"/>
      </w:r>
      <w:bookmarkEnd w:id="104"/>
      <w:r>
        <w:rPr>
          <w:lang w:val="en-US"/>
        </w:rPr>
        <w:t xml:space="preserve"> </w:t>
      </w:r>
      <w:r w:rsidR="00E84F00" w:rsidRPr="00236242">
        <w:rPr>
          <w:bCs/>
        </w:rPr>
        <w:t>LCIA impact categories. Source: Fazio et al. (2019).</w:t>
      </w:r>
    </w:p>
    <w:tbl>
      <w:tblPr>
        <w:tblStyle w:val="TableGrid"/>
        <w:tblW w:w="5000" w:type="pct"/>
        <w:tblCellMar>
          <w:left w:w="28" w:type="dxa"/>
          <w:right w:w="28" w:type="dxa"/>
        </w:tblCellMar>
        <w:tblLook w:val="04A0" w:firstRow="1" w:lastRow="0" w:firstColumn="1" w:lastColumn="0" w:noHBand="0" w:noVBand="1"/>
      </w:tblPr>
      <w:tblGrid>
        <w:gridCol w:w="1828"/>
        <w:gridCol w:w="1817"/>
        <w:gridCol w:w="2260"/>
        <w:gridCol w:w="2006"/>
        <w:gridCol w:w="1149"/>
      </w:tblGrid>
      <w:tr w:rsidR="00E84F00" w14:paraId="2B68ED01" w14:textId="77777777" w:rsidTr="00E60293">
        <w:tc>
          <w:tcPr>
            <w:tcW w:w="1009" w:type="pct"/>
          </w:tcPr>
          <w:p w14:paraId="6C70E930" w14:textId="77777777" w:rsidR="00E84F00" w:rsidRPr="005E455D" w:rsidRDefault="00E84F00" w:rsidP="00E60293">
            <w:pPr>
              <w:jc w:val="center"/>
              <w:rPr>
                <w:b/>
                <w:bCs/>
                <w:lang w:val="en-US"/>
              </w:rPr>
            </w:pPr>
            <w:r w:rsidRPr="005E455D">
              <w:rPr>
                <w:b/>
                <w:bCs/>
                <w:lang w:val="en-US"/>
              </w:rPr>
              <w:t xml:space="preserve">Impact </w:t>
            </w:r>
            <w:r>
              <w:rPr>
                <w:b/>
                <w:bCs/>
                <w:lang w:val="en-US"/>
              </w:rPr>
              <w:t>c</w:t>
            </w:r>
            <w:r w:rsidRPr="005E455D">
              <w:rPr>
                <w:b/>
                <w:bCs/>
                <w:lang w:val="en-US"/>
              </w:rPr>
              <w:t>ategory</w:t>
            </w:r>
          </w:p>
        </w:tc>
        <w:tc>
          <w:tcPr>
            <w:tcW w:w="1003" w:type="pct"/>
          </w:tcPr>
          <w:p w14:paraId="42AEC016" w14:textId="77777777" w:rsidR="00E84F00" w:rsidRPr="005E455D" w:rsidRDefault="00E84F00" w:rsidP="00E60293">
            <w:pPr>
              <w:jc w:val="center"/>
              <w:rPr>
                <w:b/>
                <w:bCs/>
                <w:lang w:val="en-US"/>
              </w:rPr>
            </w:pPr>
            <w:r w:rsidRPr="005E455D">
              <w:rPr>
                <w:b/>
                <w:bCs/>
                <w:lang w:val="en-US"/>
              </w:rPr>
              <w:t>Category indicator</w:t>
            </w:r>
          </w:p>
        </w:tc>
        <w:tc>
          <w:tcPr>
            <w:tcW w:w="1247" w:type="pct"/>
          </w:tcPr>
          <w:p w14:paraId="450BEA54" w14:textId="77777777" w:rsidR="00E84F00" w:rsidRPr="005E455D" w:rsidRDefault="00E84F00" w:rsidP="00E60293">
            <w:pPr>
              <w:jc w:val="center"/>
              <w:rPr>
                <w:b/>
                <w:bCs/>
                <w:lang w:val="en-US"/>
              </w:rPr>
            </w:pPr>
            <w:r w:rsidRPr="005E455D">
              <w:rPr>
                <w:b/>
                <w:bCs/>
                <w:lang w:val="en-US"/>
              </w:rPr>
              <w:t>Characterization model</w:t>
            </w:r>
          </w:p>
        </w:tc>
        <w:tc>
          <w:tcPr>
            <w:tcW w:w="1107" w:type="pct"/>
          </w:tcPr>
          <w:p w14:paraId="7529664A" w14:textId="77777777" w:rsidR="00E84F00" w:rsidRPr="005E455D" w:rsidRDefault="00E84F00" w:rsidP="00E60293">
            <w:pPr>
              <w:jc w:val="center"/>
              <w:rPr>
                <w:b/>
                <w:bCs/>
                <w:lang w:val="en-US"/>
              </w:rPr>
            </w:pPr>
            <w:r w:rsidRPr="005E455D">
              <w:rPr>
                <w:b/>
                <w:bCs/>
                <w:lang w:val="en-US"/>
              </w:rPr>
              <w:t>Characterization factor</w:t>
            </w:r>
          </w:p>
        </w:tc>
        <w:tc>
          <w:tcPr>
            <w:tcW w:w="635" w:type="pct"/>
          </w:tcPr>
          <w:p w14:paraId="5046138D" w14:textId="77777777" w:rsidR="00E84F00" w:rsidRPr="005E455D" w:rsidRDefault="00E84F00" w:rsidP="00E60293">
            <w:pPr>
              <w:jc w:val="center"/>
              <w:rPr>
                <w:b/>
                <w:bCs/>
                <w:lang w:val="en-US"/>
              </w:rPr>
            </w:pPr>
            <w:r w:rsidRPr="005E455D">
              <w:rPr>
                <w:b/>
                <w:bCs/>
                <w:lang w:val="en-US"/>
              </w:rPr>
              <w:t>Unit</w:t>
            </w:r>
          </w:p>
        </w:tc>
      </w:tr>
      <w:tr w:rsidR="00E84F00" w14:paraId="08300291" w14:textId="77777777" w:rsidTr="00E60293">
        <w:tc>
          <w:tcPr>
            <w:tcW w:w="1009" w:type="pct"/>
          </w:tcPr>
          <w:p w14:paraId="7358FE9A" w14:textId="77777777" w:rsidR="00E84F00" w:rsidRDefault="00E84F00" w:rsidP="00E60293">
            <w:pPr>
              <w:jc w:val="left"/>
            </w:pPr>
            <w:r>
              <w:rPr>
                <w:lang w:val="en-US"/>
              </w:rPr>
              <w:t>C</w:t>
            </w:r>
            <w:r w:rsidRPr="009D7270">
              <w:t>limate change</w:t>
            </w:r>
          </w:p>
        </w:tc>
        <w:tc>
          <w:tcPr>
            <w:tcW w:w="1003" w:type="pct"/>
          </w:tcPr>
          <w:p w14:paraId="382C3F79" w14:textId="77777777" w:rsidR="00E84F00" w:rsidRPr="005E455D" w:rsidRDefault="00E84F00" w:rsidP="00E60293">
            <w:pPr>
              <w:jc w:val="left"/>
              <w:rPr>
                <w:lang w:val="en-US"/>
              </w:rPr>
            </w:pPr>
            <w:r>
              <w:rPr>
                <w:lang w:val="en-US"/>
              </w:rPr>
              <w:t>Radiative forcing as Global Warming Potential</w:t>
            </w:r>
          </w:p>
        </w:tc>
        <w:tc>
          <w:tcPr>
            <w:tcW w:w="1247" w:type="pct"/>
          </w:tcPr>
          <w:p w14:paraId="148BE398" w14:textId="77777777" w:rsidR="00E84F00" w:rsidRPr="005E455D" w:rsidRDefault="00E84F00" w:rsidP="00E60293">
            <w:pPr>
              <w:jc w:val="left"/>
              <w:rPr>
                <w:lang w:val="en-US"/>
              </w:rPr>
            </w:pPr>
            <w:r>
              <w:rPr>
                <w:lang w:val="en-US"/>
              </w:rPr>
              <w:t>Baseline model of 100 years of the IPCC (based on IPCC 2013)</w:t>
            </w:r>
          </w:p>
        </w:tc>
        <w:tc>
          <w:tcPr>
            <w:tcW w:w="1107" w:type="pct"/>
          </w:tcPr>
          <w:p w14:paraId="55A70181" w14:textId="77777777" w:rsidR="00E84F00" w:rsidRDefault="00E84F00" w:rsidP="00E60293">
            <w:pPr>
              <w:jc w:val="left"/>
            </w:pPr>
            <w:r>
              <w:rPr>
                <w:lang w:val="en-US"/>
              </w:rPr>
              <w:t>GWP100</w:t>
            </w:r>
          </w:p>
        </w:tc>
        <w:tc>
          <w:tcPr>
            <w:tcW w:w="635" w:type="pct"/>
          </w:tcPr>
          <w:p w14:paraId="02F1900D" w14:textId="77777777" w:rsidR="00E84F00" w:rsidRPr="005E455D" w:rsidRDefault="00E84F00" w:rsidP="00E60293">
            <w:pPr>
              <w:jc w:val="left"/>
              <w:rPr>
                <w:lang w:val="en-US"/>
              </w:rPr>
            </w:pPr>
            <w:r>
              <w:rPr>
                <w:lang w:val="en-US"/>
              </w:rPr>
              <w:t>kg CO2 eq</w:t>
            </w:r>
          </w:p>
        </w:tc>
      </w:tr>
      <w:tr w:rsidR="00E84F00" w14:paraId="594E90CE" w14:textId="77777777" w:rsidTr="00E60293">
        <w:tc>
          <w:tcPr>
            <w:tcW w:w="1009" w:type="pct"/>
          </w:tcPr>
          <w:p w14:paraId="34DF1EDD" w14:textId="77777777" w:rsidR="00E84F00" w:rsidRDefault="00E84F00" w:rsidP="00E60293">
            <w:pPr>
              <w:jc w:val="left"/>
            </w:pPr>
            <w:r w:rsidRPr="009D7270">
              <w:t xml:space="preserve">Stratospheric </w:t>
            </w:r>
            <w:r>
              <w:rPr>
                <w:lang w:val="en-US"/>
              </w:rPr>
              <w:t>o</w:t>
            </w:r>
            <w:r w:rsidRPr="009D7270">
              <w:t>zone depletion</w:t>
            </w:r>
          </w:p>
        </w:tc>
        <w:tc>
          <w:tcPr>
            <w:tcW w:w="1003" w:type="pct"/>
          </w:tcPr>
          <w:p w14:paraId="6EAFD8DE" w14:textId="77777777" w:rsidR="00E84F00" w:rsidRPr="00581588" w:rsidRDefault="00E84F00" w:rsidP="00E60293">
            <w:pPr>
              <w:jc w:val="left"/>
              <w:rPr>
                <w:lang w:val="en-US"/>
              </w:rPr>
            </w:pPr>
            <w:r>
              <w:rPr>
                <w:lang w:val="en-US"/>
              </w:rPr>
              <w:t>Ozone Depletion Potential</w:t>
            </w:r>
          </w:p>
        </w:tc>
        <w:tc>
          <w:tcPr>
            <w:tcW w:w="1247" w:type="pct"/>
          </w:tcPr>
          <w:p w14:paraId="6B1FB05F" w14:textId="77777777" w:rsidR="00E84F00" w:rsidRPr="00581588" w:rsidRDefault="00E84F00" w:rsidP="00E60293">
            <w:pPr>
              <w:jc w:val="left"/>
              <w:rPr>
                <w:lang w:val="en-US"/>
              </w:rPr>
            </w:pPr>
            <w:r>
              <w:rPr>
                <w:lang w:val="en-US"/>
              </w:rPr>
              <w:t>Steady-state ODPs as in (WMO 1999)</w:t>
            </w:r>
          </w:p>
        </w:tc>
        <w:tc>
          <w:tcPr>
            <w:tcW w:w="1107" w:type="pct"/>
          </w:tcPr>
          <w:p w14:paraId="39BE2E83" w14:textId="77777777" w:rsidR="00E84F00" w:rsidRDefault="00E84F00" w:rsidP="00E60293">
            <w:pPr>
              <w:jc w:val="left"/>
            </w:pPr>
            <w:r>
              <w:rPr>
                <w:lang w:val="en-US"/>
              </w:rPr>
              <w:t>ODP</w:t>
            </w:r>
          </w:p>
        </w:tc>
        <w:tc>
          <w:tcPr>
            <w:tcW w:w="635" w:type="pct"/>
          </w:tcPr>
          <w:p w14:paraId="500B371F" w14:textId="77777777" w:rsidR="00E84F00" w:rsidRPr="00581588" w:rsidRDefault="00E84F00" w:rsidP="00E60293">
            <w:pPr>
              <w:jc w:val="left"/>
              <w:rPr>
                <w:lang w:val="en-US"/>
              </w:rPr>
            </w:pPr>
            <w:r>
              <w:rPr>
                <w:lang w:val="en-US"/>
              </w:rPr>
              <w:t>Kg CFC-11 eq</w:t>
            </w:r>
          </w:p>
        </w:tc>
      </w:tr>
      <w:tr w:rsidR="00E84F00" w14:paraId="7CC38395" w14:textId="77777777" w:rsidTr="00E60293">
        <w:tc>
          <w:tcPr>
            <w:tcW w:w="1009" w:type="pct"/>
          </w:tcPr>
          <w:p w14:paraId="361601EF" w14:textId="77777777" w:rsidR="00E84F00" w:rsidRDefault="00E84F00" w:rsidP="00E60293">
            <w:pPr>
              <w:jc w:val="left"/>
            </w:pPr>
            <w:r w:rsidRPr="009D7270">
              <w:t>Human toxicity</w:t>
            </w:r>
            <w:r>
              <w:rPr>
                <w:lang w:val="en-US"/>
              </w:rPr>
              <w:t xml:space="preserve"> (cancer effects)</w:t>
            </w:r>
          </w:p>
        </w:tc>
        <w:tc>
          <w:tcPr>
            <w:tcW w:w="1003" w:type="pct"/>
          </w:tcPr>
          <w:p w14:paraId="0554F22A" w14:textId="77777777" w:rsidR="00E84F00" w:rsidRDefault="00E84F00" w:rsidP="00E60293">
            <w:pPr>
              <w:jc w:val="left"/>
            </w:pPr>
            <w:r>
              <w:rPr>
                <w:lang w:val="en-US"/>
              </w:rPr>
              <w:t>Comparative Toxic Unit for humans</w:t>
            </w:r>
          </w:p>
        </w:tc>
        <w:tc>
          <w:tcPr>
            <w:tcW w:w="1247" w:type="pct"/>
          </w:tcPr>
          <w:p w14:paraId="26DADB8C" w14:textId="77777777" w:rsidR="00E84F00" w:rsidRDefault="00E84F00" w:rsidP="00E60293">
            <w:pPr>
              <w:jc w:val="left"/>
            </w:pPr>
            <w:proofErr w:type="spellStart"/>
            <w:r>
              <w:rPr>
                <w:lang w:val="en-US"/>
              </w:rPr>
              <w:t>USEtox</w:t>
            </w:r>
            <w:proofErr w:type="spellEnd"/>
            <w:r>
              <w:rPr>
                <w:lang w:val="en-US"/>
              </w:rPr>
              <w:t xml:space="preserve"> model (Rosenbaum et al., 2008)</w:t>
            </w:r>
          </w:p>
        </w:tc>
        <w:tc>
          <w:tcPr>
            <w:tcW w:w="1107" w:type="pct"/>
          </w:tcPr>
          <w:p w14:paraId="35255CBB" w14:textId="77777777" w:rsidR="00E84F00" w:rsidRDefault="00E84F00" w:rsidP="00E60293">
            <w:pPr>
              <w:jc w:val="left"/>
            </w:pPr>
            <w:proofErr w:type="spellStart"/>
            <w:r>
              <w:rPr>
                <w:lang w:val="en-US"/>
              </w:rPr>
              <w:t>CTUh</w:t>
            </w:r>
            <w:proofErr w:type="spellEnd"/>
          </w:p>
        </w:tc>
        <w:tc>
          <w:tcPr>
            <w:tcW w:w="635" w:type="pct"/>
          </w:tcPr>
          <w:p w14:paraId="756347B9" w14:textId="77777777" w:rsidR="00E84F00" w:rsidRDefault="00E84F00" w:rsidP="00E60293">
            <w:pPr>
              <w:jc w:val="left"/>
            </w:pPr>
            <w:proofErr w:type="spellStart"/>
            <w:r>
              <w:rPr>
                <w:lang w:val="en-US"/>
              </w:rPr>
              <w:t>CTUh</w:t>
            </w:r>
            <w:proofErr w:type="spellEnd"/>
          </w:p>
        </w:tc>
      </w:tr>
      <w:tr w:rsidR="00E84F00" w14:paraId="6D1BEC1C" w14:textId="77777777" w:rsidTr="00E60293">
        <w:tc>
          <w:tcPr>
            <w:tcW w:w="1009" w:type="pct"/>
          </w:tcPr>
          <w:p w14:paraId="739BE33C" w14:textId="77777777" w:rsidR="00E84F00" w:rsidRDefault="00E84F00" w:rsidP="00E60293">
            <w:pPr>
              <w:jc w:val="left"/>
            </w:pPr>
            <w:r w:rsidRPr="009D7270">
              <w:t>Human toxicity</w:t>
            </w:r>
            <w:r>
              <w:rPr>
                <w:lang w:val="en-US"/>
              </w:rPr>
              <w:t xml:space="preserve"> (non-cancer effects)</w:t>
            </w:r>
          </w:p>
        </w:tc>
        <w:tc>
          <w:tcPr>
            <w:tcW w:w="1003" w:type="pct"/>
          </w:tcPr>
          <w:p w14:paraId="3E697B98" w14:textId="77777777" w:rsidR="00E84F00" w:rsidRPr="00581588" w:rsidRDefault="00E84F00" w:rsidP="00E60293">
            <w:pPr>
              <w:jc w:val="left"/>
              <w:rPr>
                <w:lang w:val="en-US"/>
              </w:rPr>
            </w:pPr>
            <w:r>
              <w:rPr>
                <w:lang w:val="en-US"/>
              </w:rPr>
              <w:t>Comparative Toxic Unit for humans</w:t>
            </w:r>
          </w:p>
        </w:tc>
        <w:tc>
          <w:tcPr>
            <w:tcW w:w="1247" w:type="pct"/>
          </w:tcPr>
          <w:p w14:paraId="6FB7475D" w14:textId="77777777" w:rsidR="00E84F00" w:rsidRPr="00581588" w:rsidRDefault="00E84F00" w:rsidP="00E60293">
            <w:pPr>
              <w:jc w:val="left"/>
              <w:rPr>
                <w:lang w:val="en-US"/>
              </w:rPr>
            </w:pPr>
            <w:proofErr w:type="spellStart"/>
            <w:r>
              <w:rPr>
                <w:lang w:val="en-US"/>
              </w:rPr>
              <w:t>USEtox</w:t>
            </w:r>
            <w:proofErr w:type="spellEnd"/>
            <w:r>
              <w:rPr>
                <w:lang w:val="en-US"/>
              </w:rPr>
              <w:t xml:space="preserve"> model (Rosenbaum et al., 2008)</w:t>
            </w:r>
          </w:p>
        </w:tc>
        <w:tc>
          <w:tcPr>
            <w:tcW w:w="1107" w:type="pct"/>
          </w:tcPr>
          <w:p w14:paraId="6539B01F" w14:textId="77777777" w:rsidR="00E84F00" w:rsidRDefault="00E84F00" w:rsidP="00E60293">
            <w:pPr>
              <w:jc w:val="left"/>
            </w:pPr>
            <w:proofErr w:type="spellStart"/>
            <w:r>
              <w:rPr>
                <w:lang w:val="en-US"/>
              </w:rPr>
              <w:t>CTUh</w:t>
            </w:r>
            <w:proofErr w:type="spellEnd"/>
          </w:p>
        </w:tc>
        <w:tc>
          <w:tcPr>
            <w:tcW w:w="635" w:type="pct"/>
          </w:tcPr>
          <w:p w14:paraId="7126807B" w14:textId="77777777" w:rsidR="00E84F00" w:rsidRPr="00581588" w:rsidRDefault="00E84F00" w:rsidP="00E60293">
            <w:pPr>
              <w:jc w:val="left"/>
              <w:rPr>
                <w:lang w:val="en-US"/>
              </w:rPr>
            </w:pPr>
            <w:proofErr w:type="spellStart"/>
            <w:r>
              <w:rPr>
                <w:lang w:val="en-US"/>
              </w:rPr>
              <w:t>CTUh</w:t>
            </w:r>
            <w:proofErr w:type="spellEnd"/>
          </w:p>
        </w:tc>
      </w:tr>
      <w:tr w:rsidR="00E84F00" w14:paraId="530263E1" w14:textId="77777777" w:rsidTr="00E60293">
        <w:tc>
          <w:tcPr>
            <w:tcW w:w="1009" w:type="pct"/>
          </w:tcPr>
          <w:p w14:paraId="633DF112" w14:textId="77777777" w:rsidR="00E84F00" w:rsidRDefault="00E84F00" w:rsidP="00E60293">
            <w:pPr>
              <w:jc w:val="left"/>
            </w:pPr>
            <w:r w:rsidRPr="009D7270">
              <w:t>Ground-leve</w:t>
            </w:r>
            <w:r>
              <w:rPr>
                <w:lang w:val="en-US"/>
              </w:rPr>
              <w:t>l</w:t>
            </w:r>
            <w:r w:rsidRPr="009D7270">
              <w:t xml:space="preserve"> </w:t>
            </w:r>
            <w:r>
              <w:rPr>
                <w:lang w:val="en-US"/>
              </w:rPr>
              <w:t>p</w:t>
            </w:r>
            <w:r w:rsidRPr="009D7270">
              <w:t>hotochemical ozone formation</w:t>
            </w:r>
          </w:p>
        </w:tc>
        <w:tc>
          <w:tcPr>
            <w:tcW w:w="1003" w:type="pct"/>
          </w:tcPr>
          <w:p w14:paraId="5A5625F7" w14:textId="77777777" w:rsidR="00E84F00" w:rsidRPr="00581588" w:rsidRDefault="00E84F00" w:rsidP="00E60293">
            <w:pPr>
              <w:jc w:val="left"/>
              <w:rPr>
                <w:lang w:val="en-US"/>
              </w:rPr>
            </w:pPr>
            <w:r>
              <w:rPr>
                <w:lang w:val="en-US"/>
              </w:rPr>
              <w:t>Tropospheric ozone concentration increase</w:t>
            </w:r>
          </w:p>
        </w:tc>
        <w:tc>
          <w:tcPr>
            <w:tcW w:w="1247" w:type="pct"/>
          </w:tcPr>
          <w:p w14:paraId="35FB5A2F" w14:textId="77777777" w:rsidR="00E84F00" w:rsidRPr="00581588" w:rsidRDefault="00E84F00" w:rsidP="00E60293">
            <w:pPr>
              <w:jc w:val="left"/>
              <w:rPr>
                <w:lang w:val="nl-NL"/>
              </w:rPr>
            </w:pPr>
            <w:r w:rsidRPr="00581588">
              <w:rPr>
                <w:lang w:val="nl-NL"/>
              </w:rPr>
              <w:t xml:space="preserve">LOTOS-EUROS (Van </w:t>
            </w:r>
            <w:proofErr w:type="spellStart"/>
            <w:r w:rsidRPr="00581588">
              <w:rPr>
                <w:lang w:val="nl-NL"/>
              </w:rPr>
              <w:t>Zelm</w:t>
            </w:r>
            <w:proofErr w:type="spellEnd"/>
            <w:r w:rsidRPr="00581588">
              <w:rPr>
                <w:lang w:val="nl-NL"/>
              </w:rPr>
              <w:t xml:space="preserve"> et al,</w:t>
            </w:r>
            <w:r>
              <w:rPr>
                <w:lang w:val="nl-NL"/>
              </w:rPr>
              <w:t xml:space="preserve"> 2008) as </w:t>
            </w:r>
            <w:proofErr w:type="spellStart"/>
            <w:r>
              <w:rPr>
                <w:lang w:val="nl-NL"/>
              </w:rPr>
              <w:t>applied</w:t>
            </w:r>
            <w:proofErr w:type="spellEnd"/>
            <w:r>
              <w:rPr>
                <w:lang w:val="nl-NL"/>
              </w:rPr>
              <w:t xml:space="preserve"> in </w:t>
            </w:r>
            <w:proofErr w:type="spellStart"/>
            <w:r>
              <w:rPr>
                <w:lang w:val="nl-NL"/>
              </w:rPr>
              <w:t>ReCiPe</w:t>
            </w:r>
            <w:proofErr w:type="spellEnd"/>
            <w:r>
              <w:rPr>
                <w:lang w:val="nl-NL"/>
              </w:rPr>
              <w:t xml:space="preserve"> 2008</w:t>
            </w:r>
          </w:p>
        </w:tc>
        <w:tc>
          <w:tcPr>
            <w:tcW w:w="1107" w:type="pct"/>
          </w:tcPr>
          <w:p w14:paraId="06BF94AB" w14:textId="77777777" w:rsidR="00E84F00" w:rsidRPr="008A117A" w:rsidRDefault="00E84F00" w:rsidP="00E60293">
            <w:pPr>
              <w:jc w:val="left"/>
              <w:rPr>
                <w:lang w:val="en-US"/>
              </w:rPr>
            </w:pPr>
            <w:r>
              <w:rPr>
                <w:lang w:val="en-US"/>
              </w:rPr>
              <w:t>NMVOC</w:t>
            </w:r>
          </w:p>
        </w:tc>
        <w:tc>
          <w:tcPr>
            <w:tcW w:w="635" w:type="pct"/>
          </w:tcPr>
          <w:p w14:paraId="7EB7248E" w14:textId="77777777" w:rsidR="00E84F00" w:rsidRPr="00581588" w:rsidRDefault="00E84F00" w:rsidP="00E60293">
            <w:pPr>
              <w:jc w:val="left"/>
              <w:rPr>
                <w:lang w:val="en-US"/>
              </w:rPr>
            </w:pPr>
            <w:r>
              <w:rPr>
                <w:lang w:val="en-US"/>
              </w:rPr>
              <w:t>Kg NMVOC eq</w:t>
            </w:r>
          </w:p>
        </w:tc>
      </w:tr>
      <w:tr w:rsidR="00E84F00" w14:paraId="0EBB72A3" w14:textId="77777777" w:rsidTr="00E60293">
        <w:tc>
          <w:tcPr>
            <w:tcW w:w="1009" w:type="pct"/>
          </w:tcPr>
          <w:p w14:paraId="1DBE982A" w14:textId="77777777" w:rsidR="00E84F00" w:rsidRDefault="00E84F00" w:rsidP="00E60293">
            <w:pPr>
              <w:jc w:val="left"/>
            </w:pPr>
            <w:r w:rsidRPr="009D7270">
              <w:t>Acidification (land and water)</w:t>
            </w:r>
          </w:p>
        </w:tc>
        <w:tc>
          <w:tcPr>
            <w:tcW w:w="1003" w:type="pct"/>
          </w:tcPr>
          <w:p w14:paraId="33E04C8A" w14:textId="77777777" w:rsidR="00E84F00" w:rsidRPr="00581588" w:rsidRDefault="00E84F00" w:rsidP="00E60293">
            <w:pPr>
              <w:jc w:val="left"/>
              <w:rPr>
                <w:lang w:val="en-US"/>
              </w:rPr>
            </w:pPr>
            <w:r>
              <w:rPr>
                <w:lang w:val="en-US"/>
              </w:rPr>
              <w:t>Accumulated Exceedance</w:t>
            </w:r>
          </w:p>
        </w:tc>
        <w:tc>
          <w:tcPr>
            <w:tcW w:w="1247" w:type="pct"/>
          </w:tcPr>
          <w:p w14:paraId="3EE51656" w14:textId="77777777" w:rsidR="00E84F00" w:rsidRDefault="00E84F00" w:rsidP="00E60293">
            <w:pPr>
              <w:jc w:val="left"/>
            </w:pPr>
            <w:r>
              <w:rPr>
                <w:lang w:val="en-US"/>
              </w:rPr>
              <w:t xml:space="preserve">Accumulated Exceedance (Seppala et al. 2006, </w:t>
            </w:r>
            <w:proofErr w:type="spellStart"/>
            <w:r>
              <w:rPr>
                <w:lang w:val="en-US"/>
              </w:rPr>
              <w:t>Posch</w:t>
            </w:r>
            <w:proofErr w:type="spellEnd"/>
            <w:r>
              <w:rPr>
                <w:lang w:val="en-US"/>
              </w:rPr>
              <w:t xml:space="preserve"> et al., 2008)</w:t>
            </w:r>
          </w:p>
        </w:tc>
        <w:tc>
          <w:tcPr>
            <w:tcW w:w="1107" w:type="pct"/>
          </w:tcPr>
          <w:p w14:paraId="7596B0AA" w14:textId="77777777" w:rsidR="00E84F00" w:rsidRPr="008A117A" w:rsidRDefault="00E84F00" w:rsidP="00E60293">
            <w:pPr>
              <w:jc w:val="left"/>
              <w:rPr>
                <w:lang w:val="en-US"/>
              </w:rPr>
            </w:pPr>
            <w:r>
              <w:rPr>
                <w:lang w:val="en-US"/>
              </w:rPr>
              <w:t>AE</w:t>
            </w:r>
          </w:p>
        </w:tc>
        <w:tc>
          <w:tcPr>
            <w:tcW w:w="635" w:type="pct"/>
          </w:tcPr>
          <w:p w14:paraId="31045847" w14:textId="77777777" w:rsidR="00E84F00" w:rsidRPr="00581588" w:rsidRDefault="00E84F00" w:rsidP="00E60293">
            <w:pPr>
              <w:jc w:val="left"/>
              <w:rPr>
                <w:lang w:val="en-US"/>
              </w:rPr>
            </w:pPr>
            <w:r>
              <w:rPr>
                <w:lang w:val="en-US"/>
              </w:rPr>
              <w:t>Mol H+ eq</w:t>
            </w:r>
          </w:p>
        </w:tc>
      </w:tr>
      <w:tr w:rsidR="00E84F00" w14:paraId="65A11EE3" w14:textId="77777777" w:rsidTr="00E60293">
        <w:tc>
          <w:tcPr>
            <w:tcW w:w="1009" w:type="pct"/>
          </w:tcPr>
          <w:p w14:paraId="48299EB2" w14:textId="77777777" w:rsidR="00E84F00" w:rsidRPr="005E455D" w:rsidRDefault="00E84F00" w:rsidP="00E60293">
            <w:pPr>
              <w:jc w:val="left"/>
              <w:rPr>
                <w:lang w:val="en-US"/>
              </w:rPr>
            </w:pPr>
            <w:r w:rsidRPr="009D7270">
              <w:t>Eutrophication (</w:t>
            </w:r>
            <w:r>
              <w:rPr>
                <w:lang w:val="en-US"/>
              </w:rPr>
              <w:t>terrestrial)</w:t>
            </w:r>
          </w:p>
        </w:tc>
        <w:tc>
          <w:tcPr>
            <w:tcW w:w="1003" w:type="pct"/>
          </w:tcPr>
          <w:p w14:paraId="7FB9F770" w14:textId="77777777" w:rsidR="00E84F00" w:rsidRDefault="00E84F00" w:rsidP="00E60293">
            <w:pPr>
              <w:jc w:val="left"/>
            </w:pPr>
            <w:r>
              <w:rPr>
                <w:lang w:val="en-US"/>
              </w:rPr>
              <w:t>Accumulated Exceedance</w:t>
            </w:r>
          </w:p>
        </w:tc>
        <w:tc>
          <w:tcPr>
            <w:tcW w:w="1247" w:type="pct"/>
          </w:tcPr>
          <w:p w14:paraId="1C568FA8" w14:textId="77777777" w:rsidR="00E84F00" w:rsidRDefault="00E84F00" w:rsidP="00E60293">
            <w:pPr>
              <w:jc w:val="left"/>
            </w:pPr>
            <w:r>
              <w:rPr>
                <w:lang w:val="en-US"/>
              </w:rPr>
              <w:t xml:space="preserve">Accumulated Exceedance (Seppala et al. 2006, </w:t>
            </w:r>
            <w:proofErr w:type="spellStart"/>
            <w:r>
              <w:rPr>
                <w:lang w:val="en-US"/>
              </w:rPr>
              <w:t>Posch</w:t>
            </w:r>
            <w:proofErr w:type="spellEnd"/>
            <w:r>
              <w:rPr>
                <w:lang w:val="en-US"/>
              </w:rPr>
              <w:t xml:space="preserve"> et al., 2008)</w:t>
            </w:r>
          </w:p>
        </w:tc>
        <w:tc>
          <w:tcPr>
            <w:tcW w:w="1107" w:type="pct"/>
          </w:tcPr>
          <w:p w14:paraId="3FD1DF32" w14:textId="77777777" w:rsidR="00E84F00" w:rsidRDefault="00E84F00" w:rsidP="00E60293">
            <w:pPr>
              <w:jc w:val="left"/>
            </w:pPr>
            <w:r>
              <w:rPr>
                <w:lang w:val="en-US"/>
              </w:rPr>
              <w:t>AE</w:t>
            </w:r>
          </w:p>
        </w:tc>
        <w:tc>
          <w:tcPr>
            <w:tcW w:w="635" w:type="pct"/>
          </w:tcPr>
          <w:p w14:paraId="716C5FB9" w14:textId="77777777" w:rsidR="00E84F00" w:rsidRPr="00581588" w:rsidRDefault="00E84F00" w:rsidP="00E60293">
            <w:pPr>
              <w:jc w:val="left"/>
              <w:rPr>
                <w:lang w:val="en-US"/>
              </w:rPr>
            </w:pPr>
            <w:r>
              <w:rPr>
                <w:lang w:val="en-US"/>
              </w:rPr>
              <w:t>Mol N eq</w:t>
            </w:r>
          </w:p>
        </w:tc>
      </w:tr>
      <w:tr w:rsidR="00E84F00" w14:paraId="02AAC48E" w14:textId="77777777" w:rsidTr="00E60293">
        <w:tc>
          <w:tcPr>
            <w:tcW w:w="1009" w:type="pct"/>
          </w:tcPr>
          <w:p w14:paraId="712ACCD8" w14:textId="77777777" w:rsidR="00E84F00" w:rsidRDefault="00E84F00" w:rsidP="00E60293">
            <w:pPr>
              <w:jc w:val="left"/>
            </w:pPr>
            <w:r w:rsidRPr="009D7270">
              <w:lastRenderedPageBreak/>
              <w:t>Eutrophication (</w:t>
            </w:r>
            <w:r>
              <w:rPr>
                <w:lang w:val="en-US"/>
              </w:rPr>
              <w:t>aquatic freshwater)</w:t>
            </w:r>
          </w:p>
        </w:tc>
        <w:tc>
          <w:tcPr>
            <w:tcW w:w="1003" w:type="pct"/>
          </w:tcPr>
          <w:p w14:paraId="12016745" w14:textId="77777777" w:rsidR="00E84F00" w:rsidRPr="00581588" w:rsidRDefault="00E84F00" w:rsidP="00E60293">
            <w:pPr>
              <w:jc w:val="left"/>
              <w:rPr>
                <w:lang w:val="en-US"/>
              </w:rPr>
            </w:pPr>
            <w:r>
              <w:rPr>
                <w:lang w:val="en-US"/>
              </w:rPr>
              <w:t>Fraction of nutrients reaching freshwater end compartment (P)</w:t>
            </w:r>
          </w:p>
        </w:tc>
        <w:tc>
          <w:tcPr>
            <w:tcW w:w="1247" w:type="pct"/>
          </w:tcPr>
          <w:p w14:paraId="5AE36BA6" w14:textId="77777777" w:rsidR="00E84F00" w:rsidRPr="00581588" w:rsidRDefault="00E84F00" w:rsidP="00E60293">
            <w:pPr>
              <w:jc w:val="left"/>
              <w:rPr>
                <w:lang w:val="nl-NL"/>
              </w:rPr>
            </w:pPr>
            <w:proofErr w:type="gramStart"/>
            <w:r w:rsidRPr="00581588">
              <w:rPr>
                <w:lang w:val="nl-NL"/>
              </w:rPr>
              <w:t>EUTREND</w:t>
            </w:r>
            <w:r>
              <w:rPr>
                <w:lang w:val="nl-NL"/>
              </w:rPr>
              <w:t xml:space="preserve"> </w:t>
            </w:r>
            <w:r w:rsidRPr="00581588">
              <w:rPr>
                <w:lang w:val="nl-NL"/>
              </w:rPr>
              <w:t>model</w:t>
            </w:r>
            <w:proofErr w:type="gramEnd"/>
            <w:r w:rsidRPr="00581588">
              <w:rPr>
                <w:lang w:val="nl-NL"/>
              </w:rPr>
              <w:t xml:space="preserve"> (</w:t>
            </w:r>
            <w:proofErr w:type="spellStart"/>
            <w:r w:rsidRPr="00581588">
              <w:rPr>
                <w:lang w:val="nl-NL"/>
              </w:rPr>
              <w:t>Struijs</w:t>
            </w:r>
            <w:proofErr w:type="spellEnd"/>
            <w:r w:rsidRPr="00581588">
              <w:rPr>
                <w:lang w:val="nl-NL"/>
              </w:rPr>
              <w:t xml:space="preserve"> et al</w:t>
            </w:r>
            <w:r>
              <w:rPr>
                <w:lang w:val="nl-NL"/>
              </w:rPr>
              <w:t xml:space="preserve">, 2009) as </w:t>
            </w:r>
            <w:proofErr w:type="spellStart"/>
            <w:r>
              <w:rPr>
                <w:lang w:val="nl-NL"/>
              </w:rPr>
              <w:t>implemented</w:t>
            </w:r>
            <w:proofErr w:type="spellEnd"/>
            <w:r>
              <w:rPr>
                <w:lang w:val="nl-NL"/>
              </w:rPr>
              <w:t xml:space="preserve"> in </w:t>
            </w:r>
            <w:proofErr w:type="spellStart"/>
            <w:r>
              <w:rPr>
                <w:lang w:val="nl-NL"/>
              </w:rPr>
              <w:t>ReCiPe</w:t>
            </w:r>
            <w:proofErr w:type="spellEnd"/>
          </w:p>
        </w:tc>
        <w:tc>
          <w:tcPr>
            <w:tcW w:w="1107" w:type="pct"/>
          </w:tcPr>
          <w:p w14:paraId="61A5B83D" w14:textId="77777777" w:rsidR="00E84F00" w:rsidRPr="008A117A" w:rsidRDefault="00E84F00" w:rsidP="00E60293">
            <w:pPr>
              <w:jc w:val="left"/>
              <w:rPr>
                <w:lang w:val="en-US"/>
              </w:rPr>
            </w:pPr>
            <w:r>
              <w:rPr>
                <w:lang w:val="en-US"/>
              </w:rPr>
              <w:t>P</w:t>
            </w:r>
          </w:p>
        </w:tc>
        <w:tc>
          <w:tcPr>
            <w:tcW w:w="635" w:type="pct"/>
          </w:tcPr>
          <w:p w14:paraId="2D99DC72" w14:textId="77777777" w:rsidR="00E84F00" w:rsidRPr="00581588" w:rsidRDefault="00E84F00" w:rsidP="00E60293">
            <w:pPr>
              <w:jc w:val="left"/>
              <w:rPr>
                <w:lang w:val="en-US"/>
              </w:rPr>
            </w:pPr>
            <w:r>
              <w:rPr>
                <w:lang w:val="en-US"/>
              </w:rPr>
              <w:t>Kg P eq</w:t>
            </w:r>
          </w:p>
        </w:tc>
      </w:tr>
      <w:tr w:rsidR="00E84F00" w14:paraId="3FAD513F" w14:textId="77777777" w:rsidTr="00E60293">
        <w:tc>
          <w:tcPr>
            <w:tcW w:w="1009" w:type="pct"/>
          </w:tcPr>
          <w:p w14:paraId="6C432578" w14:textId="77777777" w:rsidR="00E84F00" w:rsidRDefault="00E84F00" w:rsidP="00E60293">
            <w:pPr>
              <w:jc w:val="left"/>
            </w:pPr>
            <w:r w:rsidRPr="009D7270">
              <w:t>Eutrophication (</w:t>
            </w:r>
            <w:r>
              <w:rPr>
                <w:lang w:val="en-US"/>
              </w:rPr>
              <w:t>aquatic marine)</w:t>
            </w:r>
          </w:p>
        </w:tc>
        <w:tc>
          <w:tcPr>
            <w:tcW w:w="1003" w:type="pct"/>
          </w:tcPr>
          <w:p w14:paraId="67015B0A" w14:textId="77777777" w:rsidR="00E84F00" w:rsidRDefault="00E84F00" w:rsidP="00E60293">
            <w:pPr>
              <w:jc w:val="left"/>
            </w:pPr>
            <w:r>
              <w:rPr>
                <w:lang w:val="en-US"/>
              </w:rPr>
              <w:t>Fraction of nutrients reaching marine end compartment (N)</w:t>
            </w:r>
          </w:p>
        </w:tc>
        <w:tc>
          <w:tcPr>
            <w:tcW w:w="1247" w:type="pct"/>
          </w:tcPr>
          <w:p w14:paraId="3A0E7583" w14:textId="77777777" w:rsidR="00E84F00" w:rsidRDefault="00E84F00" w:rsidP="00E60293">
            <w:pPr>
              <w:jc w:val="left"/>
            </w:pPr>
            <w:proofErr w:type="gramStart"/>
            <w:r w:rsidRPr="00581588">
              <w:rPr>
                <w:lang w:val="nl-NL"/>
              </w:rPr>
              <w:t>EUTREND</w:t>
            </w:r>
            <w:r>
              <w:rPr>
                <w:lang w:val="nl-NL"/>
              </w:rPr>
              <w:t xml:space="preserve"> </w:t>
            </w:r>
            <w:r w:rsidRPr="00581588">
              <w:rPr>
                <w:lang w:val="nl-NL"/>
              </w:rPr>
              <w:t>model</w:t>
            </w:r>
            <w:proofErr w:type="gramEnd"/>
            <w:r w:rsidRPr="00581588">
              <w:rPr>
                <w:lang w:val="nl-NL"/>
              </w:rPr>
              <w:t xml:space="preserve"> (</w:t>
            </w:r>
            <w:proofErr w:type="spellStart"/>
            <w:r w:rsidRPr="00581588">
              <w:rPr>
                <w:lang w:val="nl-NL"/>
              </w:rPr>
              <w:t>Struijs</w:t>
            </w:r>
            <w:proofErr w:type="spellEnd"/>
            <w:r w:rsidRPr="00581588">
              <w:rPr>
                <w:lang w:val="nl-NL"/>
              </w:rPr>
              <w:t xml:space="preserve"> et al</w:t>
            </w:r>
            <w:r>
              <w:rPr>
                <w:lang w:val="nl-NL"/>
              </w:rPr>
              <w:t xml:space="preserve">, 2009) as </w:t>
            </w:r>
            <w:proofErr w:type="spellStart"/>
            <w:r>
              <w:rPr>
                <w:lang w:val="nl-NL"/>
              </w:rPr>
              <w:t>implemented</w:t>
            </w:r>
            <w:proofErr w:type="spellEnd"/>
            <w:r>
              <w:rPr>
                <w:lang w:val="nl-NL"/>
              </w:rPr>
              <w:t xml:space="preserve"> in </w:t>
            </w:r>
            <w:proofErr w:type="spellStart"/>
            <w:r>
              <w:rPr>
                <w:lang w:val="nl-NL"/>
              </w:rPr>
              <w:t>ReCiPe</w:t>
            </w:r>
            <w:proofErr w:type="spellEnd"/>
          </w:p>
        </w:tc>
        <w:tc>
          <w:tcPr>
            <w:tcW w:w="1107" w:type="pct"/>
          </w:tcPr>
          <w:p w14:paraId="57BEE520" w14:textId="77777777" w:rsidR="00E84F00" w:rsidRPr="008A117A" w:rsidRDefault="00E84F00" w:rsidP="00E60293">
            <w:pPr>
              <w:jc w:val="left"/>
              <w:rPr>
                <w:lang w:val="en-US"/>
              </w:rPr>
            </w:pPr>
            <w:r>
              <w:rPr>
                <w:lang w:val="en-US"/>
              </w:rPr>
              <w:t>N</w:t>
            </w:r>
          </w:p>
        </w:tc>
        <w:tc>
          <w:tcPr>
            <w:tcW w:w="635" w:type="pct"/>
          </w:tcPr>
          <w:p w14:paraId="5168E1DA" w14:textId="77777777" w:rsidR="00E84F00" w:rsidRPr="00581588" w:rsidRDefault="00E84F00" w:rsidP="00E60293">
            <w:pPr>
              <w:jc w:val="left"/>
              <w:rPr>
                <w:lang w:val="en-US"/>
              </w:rPr>
            </w:pPr>
            <w:r>
              <w:rPr>
                <w:lang w:val="en-US"/>
              </w:rPr>
              <w:t>Kg N eq</w:t>
            </w:r>
          </w:p>
        </w:tc>
      </w:tr>
      <w:tr w:rsidR="00E84F00" w14:paraId="3D872A7B" w14:textId="77777777" w:rsidTr="00E60293">
        <w:tc>
          <w:tcPr>
            <w:tcW w:w="1009" w:type="pct"/>
          </w:tcPr>
          <w:p w14:paraId="7712AAAF" w14:textId="77777777" w:rsidR="00E84F00" w:rsidRPr="009D7270" w:rsidRDefault="00E84F00" w:rsidP="00E60293">
            <w:pPr>
              <w:jc w:val="left"/>
            </w:pPr>
            <w:r w:rsidRPr="009D7270">
              <w:t>Ecotoxicity</w:t>
            </w:r>
            <w:r>
              <w:t xml:space="preserve"> (freshwater)</w:t>
            </w:r>
          </w:p>
        </w:tc>
        <w:tc>
          <w:tcPr>
            <w:tcW w:w="1003" w:type="pct"/>
          </w:tcPr>
          <w:p w14:paraId="222B02BF" w14:textId="77777777" w:rsidR="00E84F00" w:rsidRPr="004821AB" w:rsidRDefault="00E84F00" w:rsidP="00E60293">
            <w:pPr>
              <w:jc w:val="left"/>
              <w:rPr>
                <w:lang w:val="en-US"/>
              </w:rPr>
            </w:pPr>
            <w:r>
              <w:rPr>
                <w:lang w:val="en-US"/>
              </w:rPr>
              <w:t>Comparative Toxic Unit for ecosystems (</w:t>
            </w:r>
            <w:proofErr w:type="spellStart"/>
            <w:r>
              <w:rPr>
                <w:lang w:val="en-US"/>
              </w:rPr>
              <w:t>CTUe</w:t>
            </w:r>
            <w:proofErr w:type="spellEnd"/>
            <w:r>
              <w:rPr>
                <w:lang w:val="en-US"/>
              </w:rPr>
              <w:t>)</w:t>
            </w:r>
          </w:p>
        </w:tc>
        <w:tc>
          <w:tcPr>
            <w:tcW w:w="1247" w:type="pct"/>
          </w:tcPr>
          <w:p w14:paraId="671526EF" w14:textId="77777777" w:rsidR="00E84F00" w:rsidRDefault="00E84F00" w:rsidP="00E60293">
            <w:pPr>
              <w:jc w:val="left"/>
            </w:pPr>
            <w:proofErr w:type="spellStart"/>
            <w:r>
              <w:rPr>
                <w:lang w:val="en-US"/>
              </w:rPr>
              <w:t>USEtox</w:t>
            </w:r>
            <w:proofErr w:type="spellEnd"/>
            <w:r>
              <w:rPr>
                <w:lang w:val="en-US"/>
              </w:rPr>
              <w:t xml:space="preserve"> model (Rosenbaum et al., 2008)</w:t>
            </w:r>
          </w:p>
        </w:tc>
        <w:tc>
          <w:tcPr>
            <w:tcW w:w="1107" w:type="pct"/>
          </w:tcPr>
          <w:p w14:paraId="31839EF4" w14:textId="77777777" w:rsidR="00E84F00" w:rsidRDefault="00E84F00" w:rsidP="00E60293">
            <w:pPr>
              <w:jc w:val="left"/>
            </w:pPr>
            <w:proofErr w:type="spellStart"/>
            <w:r>
              <w:rPr>
                <w:lang w:val="en-US"/>
              </w:rPr>
              <w:t>CTUe</w:t>
            </w:r>
            <w:proofErr w:type="spellEnd"/>
          </w:p>
        </w:tc>
        <w:tc>
          <w:tcPr>
            <w:tcW w:w="635" w:type="pct"/>
          </w:tcPr>
          <w:p w14:paraId="2175C159" w14:textId="77777777" w:rsidR="00E84F00" w:rsidRPr="004821AB" w:rsidRDefault="00E84F00" w:rsidP="00E60293">
            <w:pPr>
              <w:jc w:val="left"/>
              <w:rPr>
                <w:lang w:val="en-US"/>
              </w:rPr>
            </w:pPr>
            <w:proofErr w:type="spellStart"/>
            <w:r>
              <w:rPr>
                <w:lang w:val="en-US"/>
              </w:rPr>
              <w:t>CTUe</w:t>
            </w:r>
            <w:proofErr w:type="spellEnd"/>
          </w:p>
        </w:tc>
      </w:tr>
    </w:tbl>
    <w:p w14:paraId="6D7A2D21" w14:textId="77777777" w:rsidR="00404DBC" w:rsidRDefault="00404DBC" w:rsidP="0013162B">
      <w:pPr>
        <w:rPr>
          <w:lang w:val="en-US"/>
        </w:rPr>
      </w:pPr>
    </w:p>
    <w:p w14:paraId="35720CE4" w14:textId="6ABD7643" w:rsidR="00CE0AC1" w:rsidRPr="00CE0AC1" w:rsidRDefault="00CE0AC1" w:rsidP="00CE0AC1">
      <w:pPr>
        <w:pStyle w:val="Caption"/>
        <w:rPr>
          <w:lang w:val="en-US"/>
        </w:rPr>
      </w:pPr>
      <w:bookmarkStart w:id="105" w:name="_Ref74913400"/>
      <w:r>
        <w:t xml:space="preserve">Table </w:t>
      </w:r>
      <w:r w:rsidR="00BE45E3">
        <w:fldChar w:fldCharType="begin"/>
      </w:r>
      <w:r w:rsidR="00BE45E3">
        <w:instrText xml:space="preserve"> STYLEREF 6 \s </w:instrText>
      </w:r>
      <w:r w:rsidR="00BE45E3">
        <w:fldChar w:fldCharType="separate"/>
      </w:r>
      <w:r w:rsidR="00BC31F4">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sidR="00BC31F4">
        <w:rPr>
          <w:noProof/>
        </w:rPr>
        <w:t>2</w:t>
      </w:r>
      <w:r w:rsidR="00BE45E3">
        <w:rPr>
          <w:noProof/>
        </w:rPr>
        <w:fldChar w:fldCharType="end"/>
      </w:r>
      <w:bookmarkEnd w:id="105"/>
      <w:r>
        <w:rPr>
          <w:lang w:val="en-US"/>
        </w:rPr>
        <w:t xml:space="preserve"> Normalization factors for 2010 EU- 27 and robustness assessment. Source: </w:t>
      </w:r>
      <w:r w:rsidRPr="00ED7B1E">
        <w:rPr>
          <w:noProof/>
        </w:rPr>
        <w:t xml:space="preserve">Sala et al. </w:t>
      </w:r>
      <w:r>
        <w:rPr>
          <w:noProof/>
          <w:lang w:val="en-US"/>
        </w:rPr>
        <w:t>(</w:t>
      </w:r>
      <w:r w:rsidRPr="00ED7B1E">
        <w:rPr>
          <w:noProof/>
        </w:rPr>
        <w:t>2015</w:t>
      </w:r>
      <w:r>
        <w:rPr>
          <w:noProof/>
          <w:lang w:val="en-US"/>
        </w:rPr>
        <w:t>).</w:t>
      </w:r>
    </w:p>
    <w:p w14:paraId="17349F2F" w14:textId="7A682DD6" w:rsidR="00CE0AC1" w:rsidRPr="00404DBC" w:rsidRDefault="00F83841" w:rsidP="00552209">
      <w:pPr>
        <w:jc w:val="center"/>
        <w:rPr>
          <w:lang w:val="en-US"/>
        </w:rPr>
      </w:pPr>
      <w:r>
        <w:rPr>
          <w:noProof/>
          <w:lang w:val="en-US"/>
        </w:rPr>
        <w:drawing>
          <wp:inline distT="0" distB="0" distL="0" distR="0" wp14:anchorId="1F9C2FF6" wp14:editId="69646BFC">
            <wp:extent cx="5382000" cy="34200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2000" cy="3420000"/>
                    </a:xfrm>
                    <a:prstGeom prst="rect">
                      <a:avLst/>
                    </a:prstGeom>
                  </pic:spPr>
                </pic:pic>
              </a:graphicData>
            </a:graphic>
          </wp:inline>
        </w:drawing>
      </w:r>
    </w:p>
    <w:p w14:paraId="38DA25AC" w14:textId="77777777" w:rsidR="00CB530A" w:rsidRDefault="00CB530A" w:rsidP="00CE0AC1">
      <w:pPr>
        <w:pStyle w:val="Caption"/>
      </w:pPr>
      <w:bookmarkStart w:id="106" w:name="_Ref75268696"/>
    </w:p>
    <w:bookmarkEnd w:id="106"/>
    <w:p w14:paraId="3FF6CE2B" w14:textId="0780569F" w:rsidR="005F2863" w:rsidRPr="00F83841" w:rsidRDefault="005F2863" w:rsidP="00CB530A">
      <w:pPr>
        <w:jc w:val="center"/>
        <w:rPr>
          <w:lang w:val="en-US"/>
        </w:rPr>
      </w:pPr>
    </w:p>
    <w:p w14:paraId="6F0E7491" w14:textId="77777777" w:rsidR="00E84F00" w:rsidRDefault="00E84F00" w:rsidP="009A215A">
      <w:pPr>
        <w:rPr>
          <w:lang w:val="en-US"/>
        </w:rPr>
      </w:pPr>
    </w:p>
    <w:p w14:paraId="4A95FCBE" w14:textId="4EFC923A" w:rsidR="00E84F00" w:rsidRDefault="0044157C" w:rsidP="0044157C">
      <w:pPr>
        <w:pStyle w:val="Caption"/>
        <w:rPr>
          <w:lang w:val="en-US"/>
        </w:rPr>
      </w:pPr>
      <w:r>
        <w:lastRenderedPageBreak/>
        <w:t xml:space="preserve">Figure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Appendix_Figure \* ARABIC \s 6 </w:instrText>
      </w:r>
      <w:r w:rsidR="00BE45E3">
        <w:fldChar w:fldCharType="separate"/>
      </w:r>
      <w:r>
        <w:rPr>
          <w:noProof/>
        </w:rPr>
        <w:t>1</w:t>
      </w:r>
      <w:r w:rsidR="00BE45E3">
        <w:rPr>
          <w:noProof/>
        </w:rPr>
        <w:fldChar w:fldCharType="end"/>
      </w:r>
      <w:r w:rsidR="001D1281">
        <w:rPr>
          <w:lang w:val="en-US"/>
        </w:rPr>
        <w:t xml:space="preserve"> </w:t>
      </w:r>
      <w:r w:rsidR="00E84F00" w:rsidRPr="00C16BF8">
        <w:rPr>
          <w:lang w:val="en-US"/>
        </w:rPr>
        <w:t>Product system’s flowchart for sensitivity analysis with oxalic acid regeneration. Source: author’s image</w:t>
      </w:r>
      <w:r>
        <w:rPr>
          <w:lang w:val="en-US"/>
        </w:rPr>
        <w:t>.</w:t>
      </w:r>
    </w:p>
    <w:p w14:paraId="4A82A3F8" w14:textId="77777777" w:rsidR="001D1281" w:rsidRPr="001D1281" w:rsidRDefault="001D1281" w:rsidP="001D1281">
      <w:pPr>
        <w:rPr>
          <w:lang w:val="en-US"/>
        </w:rPr>
      </w:pPr>
    </w:p>
    <w:p w14:paraId="59B905EA" w14:textId="10D94653" w:rsidR="00C16BF8" w:rsidRPr="00E84F00" w:rsidRDefault="00E84F00" w:rsidP="001D1281">
      <w:pPr>
        <w:keepNext/>
        <w:jc w:val="center"/>
      </w:pPr>
      <w:r>
        <w:rPr>
          <w:noProof/>
        </w:rPr>
        <w:drawing>
          <wp:inline distT="0" distB="0" distL="0" distR="0" wp14:anchorId="113E3422" wp14:editId="1A62C4F6">
            <wp:extent cx="6256800" cy="3852000"/>
            <wp:effectExtent l="0" t="0" r="444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56800" cy="3852000"/>
                    </a:xfrm>
                    <a:prstGeom prst="rect">
                      <a:avLst/>
                    </a:prstGeom>
                  </pic:spPr>
                </pic:pic>
              </a:graphicData>
            </a:graphic>
          </wp:inline>
        </w:drawing>
      </w:r>
    </w:p>
    <w:p w14:paraId="4AD831AB" w14:textId="01F492C2" w:rsidR="00C16BF8" w:rsidRPr="001D1281" w:rsidRDefault="001D1281" w:rsidP="001D1281">
      <w:pPr>
        <w:pStyle w:val="Caption"/>
        <w:rPr>
          <w:lang w:val="en-US"/>
        </w:rPr>
      </w:pPr>
      <w:bookmarkStart w:id="107" w:name="_Toc76730037"/>
      <w:r>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3</w:t>
      </w:r>
      <w:r w:rsidR="00BE45E3">
        <w:rPr>
          <w:noProof/>
        </w:rPr>
        <w:fldChar w:fldCharType="end"/>
      </w:r>
      <w:r>
        <w:rPr>
          <w:lang w:val="en-US"/>
        </w:rPr>
        <w:t xml:space="preserve"> </w:t>
      </w:r>
      <w:r w:rsidR="00C16BF8" w:rsidRPr="00046225">
        <w:rPr>
          <w:lang w:val="en-US"/>
        </w:rPr>
        <w:t xml:space="preserve">Environmental profile of the product system regenerating oxalic acid. FU: 1 kg of REO from EOL HDDs’ </w:t>
      </w:r>
      <w:proofErr w:type="spellStart"/>
      <w:r w:rsidR="00C16BF8" w:rsidRPr="00046225">
        <w:rPr>
          <w:lang w:val="en-US"/>
        </w:rPr>
        <w:t>NdFeB</w:t>
      </w:r>
      <w:proofErr w:type="spellEnd"/>
      <w:r w:rsidR="00C16BF8" w:rsidRPr="00046225">
        <w:rPr>
          <w:lang w:val="en-US"/>
        </w:rPr>
        <w:t xml:space="preserve"> magnets separated from e-waste at the plant’s gate. Source: author’s table.</w:t>
      </w:r>
      <w:bookmarkEnd w:id="107"/>
    </w:p>
    <w:tbl>
      <w:tblPr>
        <w:tblStyle w:val="TableGrid"/>
        <w:tblW w:w="5000" w:type="pct"/>
        <w:tblCellMar>
          <w:left w:w="28" w:type="dxa"/>
          <w:right w:w="28" w:type="dxa"/>
        </w:tblCellMar>
        <w:tblLook w:val="04A0" w:firstRow="1" w:lastRow="0" w:firstColumn="1" w:lastColumn="0" w:noHBand="0" w:noVBand="1"/>
      </w:tblPr>
      <w:tblGrid>
        <w:gridCol w:w="3397"/>
        <w:gridCol w:w="2318"/>
        <w:gridCol w:w="2321"/>
        <w:gridCol w:w="1024"/>
      </w:tblGrid>
      <w:tr w:rsidR="00C16BF8" w14:paraId="30EB3C04" w14:textId="77777777" w:rsidTr="00E60293">
        <w:tc>
          <w:tcPr>
            <w:tcW w:w="1875" w:type="pct"/>
          </w:tcPr>
          <w:p w14:paraId="62F64EFA" w14:textId="77777777" w:rsidR="00C16BF8" w:rsidRPr="00631093" w:rsidRDefault="00C16BF8" w:rsidP="00E60293">
            <w:pPr>
              <w:rPr>
                <w:b/>
                <w:bCs/>
                <w:lang w:val="en-US"/>
              </w:rPr>
            </w:pPr>
            <w:r w:rsidRPr="00631093">
              <w:rPr>
                <w:b/>
                <w:bCs/>
                <w:lang w:val="en-US"/>
              </w:rPr>
              <w:t>Impact category</w:t>
            </w:r>
          </w:p>
        </w:tc>
        <w:tc>
          <w:tcPr>
            <w:tcW w:w="1279" w:type="pct"/>
          </w:tcPr>
          <w:p w14:paraId="1E40AF34" w14:textId="77777777" w:rsidR="00C16BF8" w:rsidRPr="00631093" w:rsidRDefault="00C16BF8" w:rsidP="00E60293">
            <w:pPr>
              <w:rPr>
                <w:b/>
                <w:bCs/>
                <w:lang w:val="en-US"/>
              </w:rPr>
            </w:pPr>
            <w:r w:rsidRPr="00631093">
              <w:rPr>
                <w:b/>
                <w:bCs/>
                <w:lang w:val="en-US"/>
              </w:rPr>
              <w:t>Original system</w:t>
            </w:r>
          </w:p>
        </w:tc>
        <w:tc>
          <w:tcPr>
            <w:tcW w:w="1281" w:type="pct"/>
          </w:tcPr>
          <w:p w14:paraId="328E2453" w14:textId="77777777" w:rsidR="00C16BF8" w:rsidRPr="00631093" w:rsidRDefault="00C16BF8" w:rsidP="00E60293">
            <w:pPr>
              <w:rPr>
                <w:b/>
                <w:bCs/>
                <w:lang w:val="en-US"/>
              </w:rPr>
            </w:pPr>
            <w:r w:rsidRPr="00631093">
              <w:rPr>
                <w:b/>
                <w:bCs/>
                <w:lang w:val="en-US"/>
              </w:rPr>
              <w:t>System regenerating oxalic acid</w:t>
            </w:r>
          </w:p>
        </w:tc>
        <w:tc>
          <w:tcPr>
            <w:tcW w:w="565" w:type="pct"/>
          </w:tcPr>
          <w:p w14:paraId="1214541B" w14:textId="77777777" w:rsidR="00C16BF8" w:rsidRPr="00631093" w:rsidRDefault="00C16BF8" w:rsidP="00E60293">
            <w:pPr>
              <w:rPr>
                <w:b/>
                <w:bCs/>
                <w:lang w:val="en-US"/>
              </w:rPr>
            </w:pPr>
            <w:r w:rsidRPr="00631093">
              <w:rPr>
                <w:b/>
                <w:bCs/>
                <w:lang w:val="en-US"/>
              </w:rPr>
              <w:t xml:space="preserve">% </w:t>
            </w:r>
            <w:proofErr w:type="gramStart"/>
            <w:r w:rsidRPr="00631093">
              <w:rPr>
                <w:b/>
                <w:bCs/>
                <w:lang w:val="en-US"/>
              </w:rPr>
              <w:t>change</w:t>
            </w:r>
            <w:proofErr w:type="gramEnd"/>
          </w:p>
        </w:tc>
      </w:tr>
      <w:tr w:rsidR="00C16BF8" w14:paraId="427181A9" w14:textId="77777777" w:rsidTr="00E60293">
        <w:tc>
          <w:tcPr>
            <w:tcW w:w="1875" w:type="pct"/>
          </w:tcPr>
          <w:p w14:paraId="4B6A45BC" w14:textId="77777777" w:rsidR="00C16BF8" w:rsidRPr="005E304B" w:rsidRDefault="00C16BF8" w:rsidP="00E60293">
            <w:pPr>
              <w:rPr>
                <w:i/>
                <w:iCs/>
                <w:lang w:val="en-US"/>
              </w:rPr>
            </w:pPr>
            <w:r w:rsidRPr="005E304B">
              <w:rPr>
                <w:i/>
                <w:iCs/>
                <w:lang w:val="en-US"/>
              </w:rPr>
              <w:t>Indicator results</w:t>
            </w:r>
          </w:p>
        </w:tc>
        <w:tc>
          <w:tcPr>
            <w:tcW w:w="1279" w:type="pct"/>
          </w:tcPr>
          <w:p w14:paraId="470226CC" w14:textId="77777777" w:rsidR="00C16BF8" w:rsidRDefault="00C16BF8" w:rsidP="00E60293"/>
        </w:tc>
        <w:tc>
          <w:tcPr>
            <w:tcW w:w="1281" w:type="pct"/>
          </w:tcPr>
          <w:p w14:paraId="3897305C" w14:textId="77777777" w:rsidR="00C16BF8" w:rsidRDefault="00C16BF8" w:rsidP="00E60293"/>
        </w:tc>
        <w:tc>
          <w:tcPr>
            <w:tcW w:w="565" w:type="pct"/>
          </w:tcPr>
          <w:p w14:paraId="1B270181" w14:textId="77777777" w:rsidR="00C16BF8" w:rsidRDefault="00C16BF8" w:rsidP="00E60293"/>
        </w:tc>
      </w:tr>
      <w:tr w:rsidR="00C16BF8" w14:paraId="05E37530" w14:textId="77777777" w:rsidTr="00E60293">
        <w:tc>
          <w:tcPr>
            <w:tcW w:w="1875" w:type="pct"/>
          </w:tcPr>
          <w:p w14:paraId="17881B65" w14:textId="77777777" w:rsidR="00C16BF8" w:rsidRPr="00960181" w:rsidRDefault="00C16BF8" w:rsidP="00E60293">
            <w:pPr>
              <w:rPr>
                <w:lang w:val="en-US"/>
              </w:rPr>
            </w:pPr>
            <w:r>
              <w:rPr>
                <w:lang w:val="en-US"/>
              </w:rPr>
              <w:t>Climate change</w:t>
            </w:r>
          </w:p>
        </w:tc>
        <w:tc>
          <w:tcPr>
            <w:tcW w:w="1279" w:type="pct"/>
          </w:tcPr>
          <w:p w14:paraId="5B8FB3DA" w14:textId="77777777" w:rsidR="00C16BF8" w:rsidRPr="00960181" w:rsidRDefault="00C16BF8" w:rsidP="00E60293">
            <w:pPr>
              <w:rPr>
                <w:lang w:val="en-US"/>
              </w:rPr>
            </w:pPr>
            <w:r>
              <w:rPr>
                <w:lang w:val="en-US"/>
              </w:rPr>
              <w:t>7,87E+01 kg CO</w:t>
            </w:r>
            <w:r w:rsidRPr="00960181">
              <w:rPr>
                <w:lang w:val="en-US"/>
              </w:rPr>
              <w:t>2</w:t>
            </w:r>
            <w:r>
              <w:rPr>
                <w:vertAlign w:val="subscript"/>
                <w:lang w:val="en-US"/>
              </w:rPr>
              <w:t xml:space="preserve"> </w:t>
            </w:r>
            <w:r w:rsidRPr="00960181">
              <w:rPr>
                <w:lang w:val="en-US"/>
              </w:rPr>
              <w:t>eq</w:t>
            </w:r>
          </w:p>
        </w:tc>
        <w:tc>
          <w:tcPr>
            <w:tcW w:w="1281" w:type="pct"/>
          </w:tcPr>
          <w:p w14:paraId="32F39AF2" w14:textId="77777777" w:rsidR="00C16BF8" w:rsidRDefault="00C16BF8" w:rsidP="00E60293">
            <w:pPr>
              <w:rPr>
                <w:lang w:val="en-US"/>
              </w:rPr>
            </w:pPr>
            <w:r>
              <w:rPr>
                <w:lang w:val="en-US"/>
              </w:rPr>
              <w:t>6,81E+01 kg CO</w:t>
            </w:r>
            <w:r w:rsidRPr="00960181">
              <w:rPr>
                <w:lang w:val="en-US"/>
              </w:rPr>
              <w:t>2</w:t>
            </w:r>
            <w:r>
              <w:rPr>
                <w:vertAlign w:val="subscript"/>
                <w:lang w:val="en-US"/>
              </w:rPr>
              <w:t xml:space="preserve"> </w:t>
            </w:r>
            <w:r w:rsidRPr="00960181">
              <w:rPr>
                <w:lang w:val="en-US"/>
              </w:rPr>
              <w:t>eq</w:t>
            </w:r>
          </w:p>
        </w:tc>
        <w:tc>
          <w:tcPr>
            <w:tcW w:w="565" w:type="pct"/>
          </w:tcPr>
          <w:p w14:paraId="468C0D35" w14:textId="77777777" w:rsidR="00C16BF8" w:rsidRDefault="00C16BF8" w:rsidP="00E60293">
            <w:pPr>
              <w:rPr>
                <w:lang w:val="en-US"/>
              </w:rPr>
            </w:pPr>
            <w:r>
              <w:rPr>
                <w:lang w:val="en-US"/>
              </w:rPr>
              <w:t>-21</w:t>
            </w:r>
          </w:p>
        </w:tc>
      </w:tr>
      <w:tr w:rsidR="00C16BF8" w14:paraId="02435525" w14:textId="77777777" w:rsidTr="00E60293">
        <w:tc>
          <w:tcPr>
            <w:tcW w:w="1875" w:type="pct"/>
          </w:tcPr>
          <w:p w14:paraId="02135821" w14:textId="77777777" w:rsidR="00C16BF8" w:rsidRPr="00960181" w:rsidRDefault="00C16BF8" w:rsidP="00E60293">
            <w:pPr>
              <w:rPr>
                <w:lang w:val="en-US"/>
              </w:rPr>
            </w:pPr>
            <w:r>
              <w:rPr>
                <w:lang w:val="en-US"/>
              </w:rPr>
              <w:t>Freshwater and terrestrial acidification</w:t>
            </w:r>
          </w:p>
        </w:tc>
        <w:tc>
          <w:tcPr>
            <w:tcW w:w="1279" w:type="pct"/>
          </w:tcPr>
          <w:p w14:paraId="3B28AB7A" w14:textId="77777777" w:rsidR="00C16BF8" w:rsidRPr="00960181" w:rsidRDefault="00C16BF8" w:rsidP="00E60293">
            <w:pPr>
              <w:rPr>
                <w:lang w:val="en-US"/>
              </w:rPr>
            </w:pPr>
            <w:r>
              <w:rPr>
                <w:lang w:val="en-US"/>
              </w:rPr>
              <w:t>7,67E-01 mol H+ eq</w:t>
            </w:r>
          </w:p>
        </w:tc>
        <w:tc>
          <w:tcPr>
            <w:tcW w:w="1281" w:type="pct"/>
          </w:tcPr>
          <w:p w14:paraId="224737B9" w14:textId="77777777" w:rsidR="00C16BF8" w:rsidRDefault="00C16BF8" w:rsidP="00E60293">
            <w:pPr>
              <w:rPr>
                <w:lang w:val="en-US"/>
              </w:rPr>
            </w:pPr>
            <w:r>
              <w:rPr>
                <w:lang w:val="en-US"/>
              </w:rPr>
              <w:t>4,83E-01 mol H+ eq</w:t>
            </w:r>
          </w:p>
        </w:tc>
        <w:tc>
          <w:tcPr>
            <w:tcW w:w="565" w:type="pct"/>
          </w:tcPr>
          <w:p w14:paraId="21317ADE" w14:textId="77777777" w:rsidR="00C16BF8" w:rsidRDefault="00C16BF8" w:rsidP="00E60293">
            <w:pPr>
              <w:rPr>
                <w:lang w:val="en-US"/>
              </w:rPr>
            </w:pPr>
            <w:r>
              <w:rPr>
                <w:lang w:val="en-US"/>
              </w:rPr>
              <w:t>-37</w:t>
            </w:r>
          </w:p>
        </w:tc>
      </w:tr>
      <w:tr w:rsidR="00C16BF8" w14:paraId="2146E65A" w14:textId="77777777" w:rsidTr="00E60293">
        <w:tc>
          <w:tcPr>
            <w:tcW w:w="1875" w:type="pct"/>
          </w:tcPr>
          <w:p w14:paraId="6C260C49" w14:textId="77777777" w:rsidR="00C16BF8" w:rsidRPr="00960181" w:rsidRDefault="00C16BF8" w:rsidP="00E60293">
            <w:pPr>
              <w:rPr>
                <w:lang w:val="en-US"/>
              </w:rPr>
            </w:pPr>
            <w:r>
              <w:rPr>
                <w:lang w:val="en-US"/>
              </w:rPr>
              <w:t>Freshwater ecotoxicity</w:t>
            </w:r>
          </w:p>
        </w:tc>
        <w:tc>
          <w:tcPr>
            <w:tcW w:w="1279" w:type="pct"/>
          </w:tcPr>
          <w:p w14:paraId="0AB22DEF" w14:textId="77777777" w:rsidR="00C16BF8" w:rsidRPr="00960181" w:rsidRDefault="00C16BF8" w:rsidP="00E60293">
            <w:pPr>
              <w:rPr>
                <w:lang w:val="en-US"/>
              </w:rPr>
            </w:pPr>
            <w:r>
              <w:rPr>
                <w:lang w:val="en-US"/>
              </w:rPr>
              <w:t>3,17E+01 CTU</w:t>
            </w:r>
          </w:p>
        </w:tc>
        <w:tc>
          <w:tcPr>
            <w:tcW w:w="1281" w:type="pct"/>
          </w:tcPr>
          <w:p w14:paraId="7098D31B" w14:textId="77777777" w:rsidR="00C16BF8" w:rsidRDefault="00C16BF8" w:rsidP="00E60293">
            <w:pPr>
              <w:rPr>
                <w:lang w:val="en-US"/>
              </w:rPr>
            </w:pPr>
            <w:r>
              <w:rPr>
                <w:lang w:val="en-US"/>
              </w:rPr>
              <w:t>2,78E+01 CTU</w:t>
            </w:r>
          </w:p>
        </w:tc>
        <w:tc>
          <w:tcPr>
            <w:tcW w:w="565" w:type="pct"/>
          </w:tcPr>
          <w:p w14:paraId="31E7B63C" w14:textId="77777777" w:rsidR="00C16BF8" w:rsidRDefault="00C16BF8" w:rsidP="00E60293">
            <w:pPr>
              <w:rPr>
                <w:lang w:val="en-US"/>
              </w:rPr>
            </w:pPr>
            <w:r>
              <w:rPr>
                <w:lang w:val="en-US"/>
              </w:rPr>
              <w:t>-12</w:t>
            </w:r>
          </w:p>
        </w:tc>
      </w:tr>
      <w:tr w:rsidR="00C16BF8" w14:paraId="6EBDBFFE" w14:textId="77777777" w:rsidTr="00E60293">
        <w:tc>
          <w:tcPr>
            <w:tcW w:w="1875" w:type="pct"/>
          </w:tcPr>
          <w:p w14:paraId="37FFDA45" w14:textId="77777777" w:rsidR="00C16BF8" w:rsidRPr="00960181" w:rsidRDefault="00C16BF8" w:rsidP="00E60293">
            <w:pPr>
              <w:rPr>
                <w:lang w:val="en-US"/>
              </w:rPr>
            </w:pPr>
            <w:r>
              <w:rPr>
                <w:lang w:val="en-US"/>
              </w:rPr>
              <w:t>Freshwater eutrophication</w:t>
            </w:r>
          </w:p>
        </w:tc>
        <w:tc>
          <w:tcPr>
            <w:tcW w:w="1279" w:type="pct"/>
          </w:tcPr>
          <w:p w14:paraId="6D655F28" w14:textId="77777777" w:rsidR="00C16BF8" w:rsidRPr="00960181" w:rsidRDefault="00C16BF8" w:rsidP="00E60293">
            <w:pPr>
              <w:rPr>
                <w:lang w:val="en-US"/>
              </w:rPr>
            </w:pPr>
            <w:r>
              <w:rPr>
                <w:lang w:val="en-US"/>
              </w:rPr>
              <w:t>1,45E-02 kg P eq</w:t>
            </w:r>
          </w:p>
        </w:tc>
        <w:tc>
          <w:tcPr>
            <w:tcW w:w="1281" w:type="pct"/>
          </w:tcPr>
          <w:p w14:paraId="6500766B" w14:textId="77777777" w:rsidR="00C16BF8" w:rsidRDefault="00C16BF8" w:rsidP="00E60293">
            <w:pPr>
              <w:rPr>
                <w:lang w:val="en-US"/>
              </w:rPr>
            </w:pPr>
            <w:r>
              <w:rPr>
                <w:lang w:val="en-US"/>
              </w:rPr>
              <w:t>1,26E-02 kg P eq</w:t>
            </w:r>
          </w:p>
        </w:tc>
        <w:tc>
          <w:tcPr>
            <w:tcW w:w="565" w:type="pct"/>
          </w:tcPr>
          <w:p w14:paraId="5DCBCE7F" w14:textId="77777777" w:rsidR="00C16BF8" w:rsidRDefault="00C16BF8" w:rsidP="00E60293">
            <w:pPr>
              <w:rPr>
                <w:lang w:val="en-US"/>
              </w:rPr>
            </w:pPr>
            <w:r>
              <w:rPr>
                <w:lang w:val="en-US"/>
              </w:rPr>
              <w:t>-13</w:t>
            </w:r>
          </w:p>
        </w:tc>
      </w:tr>
      <w:tr w:rsidR="00C16BF8" w14:paraId="03CA62E8" w14:textId="77777777" w:rsidTr="00E60293">
        <w:tc>
          <w:tcPr>
            <w:tcW w:w="1875" w:type="pct"/>
          </w:tcPr>
          <w:p w14:paraId="007B55A9" w14:textId="77777777" w:rsidR="00C16BF8" w:rsidRPr="00960181" w:rsidRDefault="00C16BF8" w:rsidP="00E60293">
            <w:pPr>
              <w:rPr>
                <w:lang w:val="en-US"/>
              </w:rPr>
            </w:pPr>
            <w:r>
              <w:rPr>
                <w:lang w:val="en-US"/>
              </w:rPr>
              <w:t>Marine eutrophication</w:t>
            </w:r>
          </w:p>
        </w:tc>
        <w:tc>
          <w:tcPr>
            <w:tcW w:w="1279" w:type="pct"/>
          </w:tcPr>
          <w:p w14:paraId="1691D48B" w14:textId="77777777" w:rsidR="00C16BF8" w:rsidRPr="00960181" w:rsidRDefault="00C16BF8" w:rsidP="00E60293">
            <w:pPr>
              <w:rPr>
                <w:lang w:val="en-US"/>
              </w:rPr>
            </w:pPr>
            <w:r>
              <w:rPr>
                <w:lang w:val="en-US"/>
              </w:rPr>
              <w:t>2,29E-01 kg N eq</w:t>
            </w:r>
          </w:p>
        </w:tc>
        <w:tc>
          <w:tcPr>
            <w:tcW w:w="1281" w:type="pct"/>
          </w:tcPr>
          <w:p w14:paraId="7393890C" w14:textId="77777777" w:rsidR="00C16BF8" w:rsidRDefault="00C16BF8" w:rsidP="00E60293">
            <w:pPr>
              <w:rPr>
                <w:lang w:val="en-US"/>
              </w:rPr>
            </w:pPr>
            <w:r>
              <w:rPr>
                <w:lang w:val="en-US"/>
              </w:rPr>
              <w:t>1,33E-01 kg N eq</w:t>
            </w:r>
          </w:p>
        </w:tc>
        <w:tc>
          <w:tcPr>
            <w:tcW w:w="565" w:type="pct"/>
          </w:tcPr>
          <w:p w14:paraId="7DFD91AC" w14:textId="77777777" w:rsidR="00C16BF8" w:rsidRDefault="00C16BF8" w:rsidP="00E60293">
            <w:pPr>
              <w:rPr>
                <w:lang w:val="en-US"/>
              </w:rPr>
            </w:pPr>
            <w:r>
              <w:rPr>
                <w:lang w:val="en-US"/>
              </w:rPr>
              <w:t>-42</w:t>
            </w:r>
          </w:p>
        </w:tc>
      </w:tr>
      <w:tr w:rsidR="00C16BF8" w14:paraId="0B849B46" w14:textId="77777777" w:rsidTr="00E60293">
        <w:tc>
          <w:tcPr>
            <w:tcW w:w="1875" w:type="pct"/>
          </w:tcPr>
          <w:p w14:paraId="064115A8" w14:textId="77777777" w:rsidR="00C16BF8" w:rsidRPr="00960181" w:rsidRDefault="00C16BF8" w:rsidP="00E60293">
            <w:pPr>
              <w:rPr>
                <w:lang w:val="en-US"/>
              </w:rPr>
            </w:pPr>
            <w:r>
              <w:rPr>
                <w:lang w:val="en-US"/>
              </w:rPr>
              <w:t>Terrestrial eutrophication</w:t>
            </w:r>
          </w:p>
        </w:tc>
        <w:tc>
          <w:tcPr>
            <w:tcW w:w="1279" w:type="pct"/>
          </w:tcPr>
          <w:p w14:paraId="09E88A6D" w14:textId="77777777" w:rsidR="00C16BF8" w:rsidRPr="00960181" w:rsidRDefault="00C16BF8" w:rsidP="00E60293">
            <w:pPr>
              <w:rPr>
                <w:lang w:val="en-US"/>
              </w:rPr>
            </w:pPr>
            <w:r>
              <w:rPr>
                <w:lang w:val="en-US"/>
              </w:rPr>
              <w:t>2,61E+00 mol N eq</w:t>
            </w:r>
          </w:p>
        </w:tc>
        <w:tc>
          <w:tcPr>
            <w:tcW w:w="1281" w:type="pct"/>
          </w:tcPr>
          <w:p w14:paraId="39133A82" w14:textId="77777777" w:rsidR="00C16BF8" w:rsidRDefault="00C16BF8" w:rsidP="00E60293">
            <w:pPr>
              <w:rPr>
                <w:lang w:val="en-US"/>
              </w:rPr>
            </w:pPr>
            <w:r>
              <w:rPr>
                <w:lang w:val="en-US"/>
              </w:rPr>
              <w:t>1,51E+00 mol N eq</w:t>
            </w:r>
          </w:p>
        </w:tc>
        <w:tc>
          <w:tcPr>
            <w:tcW w:w="565" w:type="pct"/>
          </w:tcPr>
          <w:p w14:paraId="31B86EEF" w14:textId="77777777" w:rsidR="00C16BF8" w:rsidRDefault="00C16BF8" w:rsidP="00E60293">
            <w:pPr>
              <w:rPr>
                <w:lang w:val="en-US"/>
              </w:rPr>
            </w:pPr>
            <w:r>
              <w:rPr>
                <w:lang w:val="en-US"/>
              </w:rPr>
              <w:t>-42</w:t>
            </w:r>
          </w:p>
        </w:tc>
      </w:tr>
      <w:tr w:rsidR="00C16BF8" w14:paraId="5C3402E2" w14:textId="77777777" w:rsidTr="00E60293">
        <w:tc>
          <w:tcPr>
            <w:tcW w:w="1875" w:type="pct"/>
          </w:tcPr>
          <w:p w14:paraId="794574BD" w14:textId="77777777" w:rsidR="00C16BF8" w:rsidRPr="00960181" w:rsidRDefault="00C16BF8" w:rsidP="00E60293">
            <w:pPr>
              <w:rPr>
                <w:lang w:val="en-US"/>
              </w:rPr>
            </w:pPr>
            <w:r>
              <w:rPr>
                <w:lang w:val="en-US"/>
              </w:rPr>
              <w:lastRenderedPageBreak/>
              <w:t>Human health carcinogenic effects</w:t>
            </w:r>
          </w:p>
        </w:tc>
        <w:tc>
          <w:tcPr>
            <w:tcW w:w="1279" w:type="pct"/>
          </w:tcPr>
          <w:p w14:paraId="789C6C38" w14:textId="77777777" w:rsidR="00C16BF8" w:rsidRPr="00960181" w:rsidRDefault="00C16BF8" w:rsidP="00E60293">
            <w:pPr>
              <w:rPr>
                <w:lang w:val="en-US"/>
              </w:rPr>
            </w:pPr>
            <w:r>
              <w:rPr>
                <w:lang w:val="en-US"/>
              </w:rPr>
              <w:t xml:space="preserve">5,20E-07 </w:t>
            </w:r>
            <w:proofErr w:type="spellStart"/>
            <w:r>
              <w:rPr>
                <w:lang w:val="en-US"/>
              </w:rPr>
              <w:t>CTUh</w:t>
            </w:r>
            <w:proofErr w:type="spellEnd"/>
          </w:p>
        </w:tc>
        <w:tc>
          <w:tcPr>
            <w:tcW w:w="1281" w:type="pct"/>
          </w:tcPr>
          <w:p w14:paraId="23F0A066" w14:textId="77777777" w:rsidR="00C16BF8" w:rsidRDefault="00C16BF8" w:rsidP="00E60293">
            <w:pPr>
              <w:rPr>
                <w:lang w:val="en-US"/>
              </w:rPr>
            </w:pPr>
            <w:r>
              <w:rPr>
                <w:lang w:val="en-US"/>
              </w:rPr>
              <w:t xml:space="preserve">4,65E-07 </w:t>
            </w:r>
            <w:proofErr w:type="spellStart"/>
            <w:r>
              <w:rPr>
                <w:lang w:val="en-US"/>
              </w:rPr>
              <w:t>CTUh</w:t>
            </w:r>
            <w:proofErr w:type="spellEnd"/>
          </w:p>
        </w:tc>
        <w:tc>
          <w:tcPr>
            <w:tcW w:w="565" w:type="pct"/>
          </w:tcPr>
          <w:p w14:paraId="61462CDD" w14:textId="77777777" w:rsidR="00C16BF8" w:rsidRDefault="00C16BF8" w:rsidP="00E60293">
            <w:pPr>
              <w:rPr>
                <w:lang w:val="en-US"/>
              </w:rPr>
            </w:pPr>
            <w:r>
              <w:rPr>
                <w:lang w:val="en-US"/>
              </w:rPr>
              <w:t>-11</w:t>
            </w:r>
          </w:p>
        </w:tc>
      </w:tr>
      <w:tr w:rsidR="00C16BF8" w14:paraId="252DF333" w14:textId="77777777" w:rsidTr="00E60293">
        <w:tc>
          <w:tcPr>
            <w:tcW w:w="1875" w:type="pct"/>
          </w:tcPr>
          <w:p w14:paraId="525F87D2" w14:textId="77777777" w:rsidR="00C16BF8" w:rsidRDefault="00C16BF8" w:rsidP="00E60293">
            <w:r>
              <w:rPr>
                <w:lang w:val="en-US"/>
              </w:rPr>
              <w:t>Human health non-carcinogenic effects</w:t>
            </w:r>
          </w:p>
        </w:tc>
        <w:tc>
          <w:tcPr>
            <w:tcW w:w="1279" w:type="pct"/>
          </w:tcPr>
          <w:p w14:paraId="35EA5676" w14:textId="77777777" w:rsidR="00C16BF8" w:rsidRPr="00960181" w:rsidRDefault="00C16BF8" w:rsidP="00E60293">
            <w:pPr>
              <w:rPr>
                <w:lang w:val="en-US"/>
              </w:rPr>
            </w:pPr>
            <w:r>
              <w:rPr>
                <w:lang w:val="en-US"/>
              </w:rPr>
              <w:t xml:space="preserve">5,31E-06 </w:t>
            </w:r>
            <w:proofErr w:type="spellStart"/>
            <w:r>
              <w:rPr>
                <w:lang w:val="en-US"/>
              </w:rPr>
              <w:t>CTUh</w:t>
            </w:r>
            <w:proofErr w:type="spellEnd"/>
          </w:p>
        </w:tc>
        <w:tc>
          <w:tcPr>
            <w:tcW w:w="1281" w:type="pct"/>
          </w:tcPr>
          <w:p w14:paraId="7A03B82B" w14:textId="77777777" w:rsidR="00C16BF8" w:rsidRDefault="00C16BF8" w:rsidP="00E60293">
            <w:pPr>
              <w:rPr>
                <w:lang w:val="en-US"/>
              </w:rPr>
            </w:pPr>
            <w:r>
              <w:rPr>
                <w:lang w:val="en-US"/>
              </w:rPr>
              <w:t xml:space="preserve">4,66E-06 </w:t>
            </w:r>
            <w:proofErr w:type="spellStart"/>
            <w:r>
              <w:rPr>
                <w:lang w:val="en-US"/>
              </w:rPr>
              <w:t>CTUh</w:t>
            </w:r>
            <w:proofErr w:type="spellEnd"/>
          </w:p>
        </w:tc>
        <w:tc>
          <w:tcPr>
            <w:tcW w:w="565" w:type="pct"/>
          </w:tcPr>
          <w:p w14:paraId="7BBD3883" w14:textId="77777777" w:rsidR="00C16BF8" w:rsidRDefault="00C16BF8" w:rsidP="00E60293">
            <w:pPr>
              <w:rPr>
                <w:lang w:val="en-US"/>
              </w:rPr>
            </w:pPr>
            <w:r>
              <w:rPr>
                <w:lang w:val="en-US"/>
              </w:rPr>
              <w:t>-12</w:t>
            </w:r>
          </w:p>
        </w:tc>
      </w:tr>
      <w:tr w:rsidR="00C16BF8" w14:paraId="5F5DF552" w14:textId="77777777" w:rsidTr="00E60293">
        <w:tc>
          <w:tcPr>
            <w:tcW w:w="1875" w:type="pct"/>
          </w:tcPr>
          <w:p w14:paraId="6ED7BDDF" w14:textId="77777777" w:rsidR="00C16BF8" w:rsidRPr="00960181" w:rsidRDefault="00C16BF8" w:rsidP="00E60293">
            <w:pPr>
              <w:rPr>
                <w:lang w:val="en-US"/>
              </w:rPr>
            </w:pPr>
            <w:r>
              <w:rPr>
                <w:lang w:val="en-US"/>
              </w:rPr>
              <w:t>Ozone layer depletion</w:t>
            </w:r>
          </w:p>
        </w:tc>
        <w:tc>
          <w:tcPr>
            <w:tcW w:w="1279" w:type="pct"/>
          </w:tcPr>
          <w:p w14:paraId="659C05C0" w14:textId="77777777" w:rsidR="00C16BF8" w:rsidRPr="00960181" w:rsidRDefault="00C16BF8" w:rsidP="00E60293">
            <w:pPr>
              <w:rPr>
                <w:lang w:val="en-US"/>
              </w:rPr>
            </w:pPr>
            <w:r>
              <w:rPr>
                <w:lang w:val="en-US"/>
              </w:rPr>
              <w:t>8,05E-06 kg CFC-11</w:t>
            </w:r>
          </w:p>
        </w:tc>
        <w:tc>
          <w:tcPr>
            <w:tcW w:w="1281" w:type="pct"/>
          </w:tcPr>
          <w:p w14:paraId="2D958CC3" w14:textId="77777777" w:rsidR="00C16BF8" w:rsidRDefault="00C16BF8" w:rsidP="00E60293">
            <w:pPr>
              <w:rPr>
                <w:lang w:val="en-US"/>
              </w:rPr>
            </w:pPr>
            <w:r>
              <w:rPr>
                <w:lang w:val="en-US"/>
              </w:rPr>
              <w:t>6,72E-06 kg CFC-11</w:t>
            </w:r>
          </w:p>
        </w:tc>
        <w:tc>
          <w:tcPr>
            <w:tcW w:w="565" w:type="pct"/>
          </w:tcPr>
          <w:p w14:paraId="5D45F1E6" w14:textId="77777777" w:rsidR="00C16BF8" w:rsidRDefault="00C16BF8" w:rsidP="00E60293">
            <w:pPr>
              <w:rPr>
                <w:lang w:val="en-US"/>
              </w:rPr>
            </w:pPr>
            <w:r>
              <w:rPr>
                <w:lang w:val="en-US"/>
              </w:rPr>
              <w:t>-17</w:t>
            </w:r>
          </w:p>
        </w:tc>
      </w:tr>
      <w:tr w:rsidR="00C16BF8" w14:paraId="6E76FDE1" w14:textId="77777777" w:rsidTr="00E60293">
        <w:tc>
          <w:tcPr>
            <w:tcW w:w="1875" w:type="pct"/>
          </w:tcPr>
          <w:p w14:paraId="329932CA" w14:textId="77777777" w:rsidR="00C16BF8" w:rsidRPr="00960181" w:rsidRDefault="00C16BF8" w:rsidP="00E60293">
            <w:pPr>
              <w:rPr>
                <w:lang w:val="en-US"/>
              </w:rPr>
            </w:pPr>
            <w:r>
              <w:rPr>
                <w:lang w:val="en-US"/>
              </w:rPr>
              <w:t>Photochemical ozone creation</w:t>
            </w:r>
          </w:p>
        </w:tc>
        <w:tc>
          <w:tcPr>
            <w:tcW w:w="1279" w:type="pct"/>
          </w:tcPr>
          <w:p w14:paraId="3A3E4DB8" w14:textId="77777777" w:rsidR="00C16BF8" w:rsidRPr="00960181" w:rsidRDefault="00C16BF8" w:rsidP="00E60293">
            <w:pPr>
              <w:rPr>
                <w:lang w:val="en-US"/>
              </w:rPr>
            </w:pPr>
            <w:r>
              <w:rPr>
                <w:lang w:val="en-US"/>
              </w:rPr>
              <w:t>6,43E-01 kg NMVOC-</w:t>
            </w:r>
          </w:p>
        </w:tc>
        <w:tc>
          <w:tcPr>
            <w:tcW w:w="1281" w:type="pct"/>
          </w:tcPr>
          <w:p w14:paraId="033859A0" w14:textId="77777777" w:rsidR="00C16BF8" w:rsidRDefault="00C16BF8" w:rsidP="00E60293">
            <w:pPr>
              <w:rPr>
                <w:lang w:val="en-US"/>
              </w:rPr>
            </w:pPr>
            <w:r>
              <w:rPr>
                <w:lang w:val="en-US"/>
              </w:rPr>
              <w:t>3,89E-01 kg NMVOC-</w:t>
            </w:r>
          </w:p>
        </w:tc>
        <w:tc>
          <w:tcPr>
            <w:tcW w:w="565" w:type="pct"/>
          </w:tcPr>
          <w:p w14:paraId="23D2F112" w14:textId="77777777" w:rsidR="00C16BF8" w:rsidRDefault="00C16BF8" w:rsidP="00E60293">
            <w:pPr>
              <w:rPr>
                <w:lang w:val="en-US"/>
              </w:rPr>
            </w:pPr>
            <w:r>
              <w:rPr>
                <w:lang w:val="en-US"/>
              </w:rPr>
              <w:t>-39</w:t>
            </w:r>
          </w:p>
        </w:tc>
      </w:tr>
      <w:tr w:rsidR="00C16BF8" w14:paraId="2810ABD5" w14:textId="77777777" w:rsidTr="00E60293">
        <w:tc>
          <w:tcPr>
            <w:tcW w:w="1875" w:type="pct"/>
          </w:tcPr>
          <w:p w14:paraId="65F69660" w14:textId="77777777" w:rsidR="00C16BF8" w:rsidRPr="00BD4A1F" w:rsidRDefault="00C16BF8" w:rsidP="00E60293">
            <w:pPr>
              <w:rPr>
                <w:i/>
                <w:iCs/>
                <w:lang w:val="en-US"/>
              </w:rPr>
            </w:pPr>
            <w:r>
              <w:rPr>
                <w:i/>
                <w:iCs/>
                <w:lang w:val="en-US"/>
              </w:rPr>
              <w:t>Economic outflows not followed to system boundary</w:t>
            </w:r>
          </w:p>
        </w:tc>
        <w:tc>
          <w:tcPr>
            <w:tcW w:w="1279" w:type="pct"/>
          </w:tcPr>
          <w:p w14:paraId="3FF3C19C" w14:textId="77777777" w:rsidR="00C16BF8" w:rsidRDefault="00C16BF8" w:rsidP="00E60293">
            <w:pPr>
              <w:rPr>
                <w:lang w:val="en-US"/>
              </w:rPr>
            </w:pPr>
          </w:p>
        </w:tc>
        <w:tc>
          <w:tcPr>
            <w:tcW w:w="1281" w:type="pct"/>
          </w:tcPr>
          <w:p w14:paraId="05574442" w14:textId="77777777" w:rsidR="00C16BF8" w:rsidRDefault="00C16BF8" w:rsidP="00E60293">
            <w:pPr>
              <w:rPr>
                <w:lang w:val="en-US"/>
              </w:rPr>
            </w:pPr>
          </w:p>
        </w:tc>
        <w:tc>
          <w:tcPr>
            <w:tcW w:w="565" w:type="pct"/>
          </w:tcPr>
          <w:p w14:paraId="7FE24F7F" w14:textId="77777777" w:rsidR="00C16BF8" w:rsidRDefault="00C16BF8" w:rsidP="00E60293">
            <w:pPr>
              <w:rPr>
                <w:lang w:val="en-US"/>
              </w:rPr>
            </w:pPr>
          </w:p>
        </w:tc>
      </w:tr>
      <w:tr w:rsidR="00C16BF8" w14:paraId="1FE20ECA" w14:textId="77777777" w:rsidTr="00E60293">
        <w:tc>
          <w:tcPr>
            <w:tcW w:w="1875" w:type="pct"/>
          </w:tcPr>
          <w:p w14:paraId="229CC50D" w14:textId="77777777" w:rsidR="00C16BF8" w:rsidRDefault="00C16BF8" w:rsidP="00E60293">
            <w:pPr>
              <w:rPr>
                <w:lang w:val="en-US"/>
              </w:rPr>
            </w:pPr>
            <w:r>
              <w:rPr>
                <w:lang w:val="en-US"/>
              </w:rPr>
              <w:t>Basket of coarse size fractions</w:t>
            </w:r>
          </w:p>
        </w:tc>
        <w:tc>
          <w:tcPr>
            <w:tcW w:w="1279" w:type="pct"/>
          </w:tcPr>
          <w:p w14:paraId="73403FD0" w14:textId="77777777" w:rsidR="00C16BF8" w:rsidRDefault="00C16BF8" w:rsidP="00E60293">
            <w:pPr>
              <w:rPr>
                <w:lang w:val="en-US"/>
              </w:rPr>
            </w:pPr>
            <w:r>
              <w:rPr>
                <w:lang w:val="en-US"/>
              </w:rPr>
              <w:t>2,01E+05 kg</w:t>
            </w:r>
          </w:p>
        </w:tc>
        <w:tc>
          <w:tcPr>
            <w:tcW w:w="1281" w:type="pct"/>
          </w:tcPr>
          <w:p w14:paraId="02DD0255" w14:textId="77777777" w:rsidR="00C16BF8" w:rsidRDefault="00C16BF8" w:rsidP="00E60293">
            <w:pPr>
              <w:rPr>
                <w:lang w:val="en-US"/>
              </w:rPr>
            </w:pPr>
          </w:p>
        </w:tc>
        <w:tc>
          <w:tcPr>
            <w:tcW w:w="565" w:type="pct"/>
          </w:tcPr>
          <w:p w14:paraId="73AF1C6A" w14:textId="77777777" w:rsidR="00C16BF8" w:rsidRDefault="00C16BF8" w:rsidP="00E60293">
            <w:pPr>
              <w:rPr>
                <w:lang w:val="en-US"/>
              </w:rPr>
            </w:pPr>
          </w:p>
        </w:tc>
      </w:tr>
      <w:tr w:rsidR="00C16BF8" w14:paraId="5C0E9C0D" w14:textId="77777777" w:rsidTr="00E60293">
        <w:tc>
          <w:tcPr>
            <w:tcW w:w="1875" w:type="pct"/>
          </w:tcPr>
          <w:p w14:paraId="3E5E24BD" w14:textId="77777777" w:rsidR="00C16BF8" w:rsidRDefault="00C16BF8" w:rsidP="00E60293">
            <w:pPr>
              <w:rPr>
                <w:lang w:val="en-US"/>
              </w:rPr>
            </w:pPr>
            <w:r>
              <w:rPr>
                <w:lang w:val="en-US"/>
              </w:rPr>
              <w:t>Basket of non-magnetic materials</w:t>
            </w:r>
          </w:p>
        </w:tc>
        <w:tc>
          <w:tcPr>
            <w:tcW w:w="1279" w:type="pct"/>
          </w:tcPr>
          <w:p w14:paraId="3CB439D5" w14:textId="77777777" w:rsidR="00C16BF8" w:rsidRDefault="00C16BF8" w:rsidP="00E60293">
            <w:pPr>
              <w:rPr>
                <w:lang w:val="en-US"/>
              </w:rPr>
            </w:pPr>
            <w:r>
              <w:rPr>
                <w:lang w:val="en-US"/>
              </w:rPr>
              <w:t>2,95E+03 kg</w:t>
            </w:r>
          </w:p>
        </w:tc>
        <w:tc>
          <w:tcPr>
            <w:tcW w:w="1281" w:type="pct"/>
          </w:tcPr>
          <w:p w14:paraId="691B6BAE" w14:textId="77777777" w:rsidR="00C16BF8" w:rsidRDefault="00C16BF8" w:rsidP="00E60293">
            <w:pPr>
              <w:rPr>
                <w:lang w:val="en-US"/>
              </w:rPr>
            </w:pPr>
          </w:p>
        </w:tc>
        <w:tc>
          <w:tcPr>
            <w:tcW w:w="565" w:type="pct"/>
          </w:tcPr>
          <w:p w14:paraId="5BFEE11A" w14:textId="77777777" w:rsidR="00C16BF8" w:rsidRDefault="00C16BF8" w:rsidP="00E60293">
            <w:pPr>
              <w:rPr>
                <w:lang w:val="en-US"/>
              </w:rPr>
            </w:pPr>
          </w:p>
        </w:tc>
      </w:tr>
      <w:tr w:rsidR="00C16BF8" w14:paraId="260770EB" w14:textId="77777777" w:rsidTr="00E60293">
        <w:tc>
          <w:tcPr>
            <w:tcW w:w="1875" w:type="pct"/>
          </w:tcPr>
          <w:p w14:paraId="3785975C" w14:textId="77777777" w:rsidR="00C16BF8" w:rsidRDefault="00C16BF8" w:rsidP="00E60293">
            <w:pPr>
              <w:rPr>
                <w:lang w:val="en-US"/>
              </w:rPr>
            </w:pPr>
            <w:r>
              <w:rPr>
                <w:lang w:val="en-US"/>
              </w:rPr>
              <w:t>Cake</w:t>
            </w:r>
          </w:p>
        </w:tc>
        <w:tc>
          <w:tcPr>
            <w:tcW w:w="1279" w:type="pct"/>
          </w:tcPr>
          <w:p w14:paraId="1B0C68D6" w14:textId="77777777" w:rsidR="00C16BF8" w:rsidRDefault="00C16BF8" w:rsidP="00E60293">
            <w:pPr>
              <w:rPr>
                <w:lang w:val="en-US"/>
              </w:rPr>
            </w:pPr>
            <w:r>
              <w:rPr>
                <w:lang w:val="en-US"/>
              </w:rPr>
              <w:t>5,68E+03 kg</w:t>
            </w:r>
          </w:p>
        </w:tc>
        <w:tc>
          <w:tcPr>
            <w:tcW w:w="1281" w:type="pct"/>
          </w:tcPr>
          <w:p w14:paraId="461E8700" w14:textId="77777777" w:rsidR="00C16BF8" w:rsidRDefault="00C16BF8" w:rsidP="00E60293">
            <w:pPr>
              <w:rPr>
                <w:lang w:val="en-US"/>
              </w:rPr>
            </w:pPr>
          </w:p>
        </w:tc>
        <w:tc>
          <w:tcPr>
            <w:tcW w:w="565" w:type="pct"/>
          </w:tcPr>
          <w:p w14:paraId="1C2DD9C1" w14:textId="77777777" w:rsidR="00C16BF8" w:rsidRDefault="00C16BF8" w:rsidP="00E60293">
            <w:pPr>
              <w:rPr>
                <w:lang w:val="en-US"/>
              </w:rPr>
            </w:pPr>
          </w:p>
        </w:tc>
      </w:tr>
    </w:tbl>
    <w:p w14:paraId="45F0FA88" w14:textId="77777777" w:rsidR="00C16BF8" w:rsidRDefault="00C16BF8" w:rsidP="00C16BF8">
      <w:pPr>
        <w:rPr>
          <w:lang w:val="en-US"/>
        </w:rPr>
      </w:pPr>
    </w:p>
    <w:p w14:paraId="48C8133D" w14:textId="32AA5250" w:rsidR="00C16BF8" w:rsidRPr="00F470F5" w:rsidRDefault="00F470F5" w:rsidP="00F470F5">
      <w:pPr>
        <w:pStyle w:val="Caption"/>
        <w:rPr>
          <w:lang w:val="en-US"/>
        </w:rPr>
      </w:pPr>
      <w:bookmarkStart w:id="108" w:name="_Toc76730038"/>
      <w:r>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4</w:t>
      </w:r>
      <w:r w:rsidR="00BE45E3">
        <w:rPr>
          <w:noProof/>
        </w:rPr>
        <w:fldChar w:fldCharType="end"/>
      </w:r>
      <w:r>
        <w:rPr>
          <w:lang w:val="en-US"/>
        </w:rPr>
        <w:t xml:space="preserve"> </w:t>
      </w:r>
      <w:r w:rsidR="00C16BF8" w:rsidRPr="00D50AEE">
        <w:rPr>
          <w:lang w:val="en-US"/>
        </w:rPr>
        <w:t>Environmental profile of the product system when using a general process for organic chemical</w:t>
      </w:r>
      <w:r w:rsidR="00C16BF8">
        <w:rPr>
          <w:lang w:val="en-US"/>
        </w:rPr>
        <w:t xml:space="preserve"> production</w:t>
      </w:r>
      <w:r w:rsidR="00C16BF8" w:rsidRPr="00D50AEE">
        <w:rPr>
          <w:lang w:val="en-US"/>
        </w:rPr>
        <w:t xml:space="preserve">. FU: 1 kg of REO from EOL HDDs’ </w:t>
      </w:r>
      <w:proofErr w:type="spellStart"/>
      <w:r w:rsidR="00C16BF8" w:rsidRPr="00D50AEE">
        <w:rPr>
          <w:lang w:val="en-US"/>
        </w:rPr>
        <w:t>NdFeB</w:t>
      </w:r>
      <w:proofErr w:type="spellEnd"/>
      <w:r w:rsidR="00C16BF8" w:rsidRPr="00D50AEE">
        <w:rPr>
          <w:lang w:val="en-US"/>
        </w:rPr>
        <w:t xml:space="preserve"> magnets separated from e-waste at the plant’s gate. Source: author’s table</w:t>
      </w:r>
      <w:r w:rsidR="00C16BF8">
        <w:rPr>
          <w:lang w:val="en-US"/>
        </w:rPr>
        <w:t>.</w:t>
      </w:r>
      <w:bookmarkEnd w:id="108"/>
    </w:p>
    <w:tbl>
      <w:tblPr>
        <w:tblStyle w:val="TableGrid"/>
        <w:tblW w:w="5000" w:type="pct"/>
        <w:tblCellMar>
          <w:left w:w="28" w:type="dxa"/>
          <w:right w:w="28" w:type="dxa"/>
        </w:tblCellMar>
        <w:tblLook w:val="04A0" w:firstRow="1" w:lastRow="0" w:firstColumn="1" w:lastColumn="0" w:noHBand="0" w:noVBand="1"/>
      </w:tblPr>
      <w:tblGrid>
        <w:gridCol w:w="3343"/>
        <w:gridCol w:w="2318"/>
        <w:gridCol w:w="2321"/>
        <w:gridCol w:w="1078"/>
      </w:tblGrid>
      <w:tr w:rsidR="00C16BF8" w14:paraId="481164EB" w14:textId="77777777" w:rsidTr="00E60293">
        <w:tc>
          <w:tcPr>
            <w:tcW w:w="1845" w:type="pct"/>
          </w:tcPr>
          <w:p w14:paraId="3E96F137" w14:textId="77777777" w:rsidR="00C16BF8" w:rsidRPr="00707AD6" w:rsidRDefault="00C16BF8" w:rsidP="00E60293">
            <w:pPr>
              <w:rPr>
                <w:b/>
                <w:bCs/>
                <w:lang w:val="en-US"/>
              </w:rPr>
            </w:pPr>
            <w:r w:rsidRPr="00707AD6">
              <w:rPr>
                <w:b/>
                <w:bCs/>
                <w:lang w:val="en-US"/>
              </w:rPr>
              <w:t>Impact category</w:t>
            </w:r>
          </w:p>
        </w:tc>
        <w:tc>
          <w:tcPr>
            <w:tcW w:w="1279" w:type="pct"/>
          </w:tcPr>
          <w:p w14:paraId="3FB08D98" w14:textId="77777777" w:rsidR="00C16BF8" w:rsidRPr="00707AD6" w:rsidRDefault="00C16BF8" w:rsidP="00E60293">
            <w:pPr>
              <w:rPr>
                <w:b/>
                <w:bCs/>
                <w:lang w:val="en-US"/>
              </w:rPr>
            </w:pPr>
            <w:r w:rsidRPr="00707AD6">
              <w:rPr>
                <w:b/>
                <w:bCs/>
                <w:lang w:val="en-US"/>
              </w:rPr>
              <w:t>Original system</w:t>
            </w:r>
          </w:p>
        </w:tc>
        <w:tc>
          <w:tcPr>
            <w:tcW w:w="1281" w:type="pct"/>
          </w:tcPr>
          <w:p w14:paraId="7334C60D" w14:textId="77777777" w:rsidR="00C16BF8" w:rsidRPr="00707AD6" w:rsidRDefault="00C16BF8" w:rsidP="00E60293">
            <w:pPr>
              <w:rPr>
                <w:b/>
                <w:bCs/>
                <w:lang w:val="en-US"/>
              </w:rPr>
            </w:pPr>
            <w:r w:rsidRPr="00707AD6">
              <w:rPr>
                <w:b/>
                <w:bCs/>
                <w:lang w:val="en-US"/>
              </w:rPr>
              <w:t>System approximating oxalic acid</w:t>
            </w:r>
            <w:r>
              <w:rPr>
                <w:b/>
                <w:bCs/>
                <w:lang w:val="en-US"/>
              </w:rPr>
              <w:t xml:space="preserve"> production</w:t>
            </w:r>
            <w:r w:rsidRPr="00707AD6">
              <w:rPr>
                <w:b/>
                <w:bCs/>
                <w:lang w:val="en-US"/>
              </w:rPr>
              <w:t xml:space="preserve"> by “chemical</w:t>
            </w:r>
            <w:r>
              <w:rPr>
                <w:b/>
                <w:bCs/>
                <w:lang w:val="en-US"/>
              </w:rPr>
              <w:t xml:space="preserve"> production</w:t>
            </w:r>
            <w:r w:rsidRPr="00707AD6">
              <w:rPr>
                <w:b/>
                <w:bCs/>
                <w:lang w:val="en-US"/>
              </w:rPr>
              <w:t>, organic”</w:t>
            </w:r>
          </w:p>
        </w:tc>
        <w:tc>
          <w:tcPr>
            <w:tcW w:w="595" w:type="pct"/>
          </w:tcPr>
          <w:p w14:paraId="4A9EC5A7" w14:textId="77777777" w:rsidR="00C16BF8" w:rsidRPr="00707AD6" w:rsidRDefault="00C16BF8" w:rsidP="00E60293">
            <w:pPr>
              <w:rPr>
                <w:b/>
                <w:bCs/>
                <w:lang w:val="en-US"/>
              </w:rPr>
            </w:pPr>
            <w:r w:rsidRPr="00707AD6">
              <w:rPr>
                <w:b/>
                <w:bCs/>
                <w:lang w:val="en-US"/>
              </w:rPr>
              <w:t xml:space="preserve">% </w:t>
            </w:r>
            <w:proofErr w:type="gramStart"/>
            <w:r w:rsidRPr="00707AD6">
              <w:rPr>
                <w:b/>
                <w:bCs/>
                <w:lang w:val="en-US"/>
              </w:rPr>
              <w:t>change</w:t>
            </w:r>
            <w:proofErr w:type="gramEnd"/>
          </w:p>
        </w:tc>
      </w:tr>
      <w:tr w:rsidR="00C16BF8" w14:paraId="0A1D9A14" w14:textId="77777777" w:rsidTr="00E60293">
        <w:tc>
          <w:tcPr>
            <w:tcW w:w="1845" w:type="pct"/>
          </w:tcPr>
          <w:p w14:paraId="5E596FA0" w14:textId="77777777" w:rsidR="00C16BF8" w:rsidRPr="005E304B" w:rsidRDefault="00C16BF8" w:rsidP="00E60293">
            <w:pPr>
              <w:rPr>
                <w:i/>
                <w:iCs/>
                <w:lang w:val="en-US"/>
              </w:rPr>
            </w:pPr>
            <w:r w:rsidRPr="005E304B">
              <w:rPr>
                <w:i/>
                <w:iCs/>
                <w:lang w:val="en-US"/>
              </w:rPr>
              <w:t>Indicator results</w:t>
            </w:r>
          </w:p>
        </w:tc>
        <w:tc>
          <w:tcPr>
            <w:tcW w:w="1279" w:type="pct"/>
          </w:tcPr>
          <w:p w14:paraId="281C2851" w14:textId="77777777" w:rsidR="00C16BF8" w:rsidRDefault="00C16BF8" w:rsidP="00E60293"/>
        </w:tc>
        <w:tc>
          <w:tcPr>
            <w:tcW w:w="1281" w:type="pct"/>
          </w:tcPr>
          <w:p w14:paraId="5B436113" w14:textId="77777777" w:rsidR="00C16BF8" w:rsidRDefault="00C16BF8" w:rsidP="00E60293"/>
        </w:tc>
        <w:tc>
          <w:tcPr>
            <w:tcW w:w="595" w:type="pct"/>
          </w:tcPr>
          <w:p w14:paraId="42EFF1D7" w14:textId="77777777" w:rsidR="00C16BF8" w:rsidRDefault="00C16BF8" w:rsidP="00E60293"/>
        </w:tc>
      </w:tr>
      <w:tr w:rsidR="00C16BF8" w14:paraId="1409B600" w14:textId="77777777" w:rsidTr="00E60293">
        <w:tc>
          <w:tcPr>
            <w:tcW w:w="1845" w:type="pct"/>
          </w:tcPr>
          <w:p w14:paraId="2CACA3FE" w14:textId="77777777" w:rsidR="00C16BF8" w:rsidRPr="00960181" w:rsidRDefault="00C16BF8" w:rsidP="00E60293">
            <w:pPr>
              <w:rPr>
                <w:lang w:val="en-US"/>
              </w:rPr>
            </w:pPr>
            <w:r>
              <w:rPr>
                <w:lang w:val="en-US"/>
              </w:rPr>
              <w:t>Climate change</w:t>
            </w:r>
          </w:p>
        </w:tc>
        <w:tc>
          <w:tcPr>
            <w:tcW w:w="1279" w:type="pct"/>
          </w:tcPr>
          <w:p w14:paraId="761C1FFC" w14:textId="77777777" w:rsidR="00C16BF8" w:rsidRPr="00960181" w:rsidRDefault="00C16BF8" w:rsidP="00E60293">
            <w:pPr>
              <w:rPr>
                <w:lang w:val="en-US"/>
              </w:rPr>
            </w:pPr>
            <w:r>
              <w:rPr>
                <w:lang w:val="en-US"/>
              </w:rPr>
              <w:t>7,87E+01 kg CO</w:t>
            </w:r>
            <w:r w:rsidRPr="00960181">
              <w:rPr>
                <w:lang w:val="en-US"/>
              </w:rPr>
              <w:t>2</w:t>
            </w:r>
            <w:r>
              <w:rPr>
                <w:vertAlign w:val="subscript"/>
                <w:lang w:val="en-US"/>
              </w:rPr>
              <w:t xml:space="preserve"> </w:t>
            </w:r>
            <w:r w:rsidRPr="00960181">
              <w:rPr>
                <w:lang w:val="en-US"/>
              </w:rPr>
              <w:t>eq</w:t>
            </w:r>
          </w:p>
        </w:tc>
        <w:tc>
          <w:tcPr>
            <w:tcW w:w="1281" w:type="pct"/>
          </w:tcPr>
          <w:p w14:paraId="30040926" w14:textId="77777777" w:rsidR="00C16BF8" w:rsidRDefault="00C16BF8" w:rsidP="00E60293">
            <w:pPr>
              <w:rPr>
                <w:lang w:val="en-US"/>
              </w:rPr>
            </w:pPr>
            <w:r>
              <w:rPr>
                <w:lang w:val="en-US"/>
              </w:rPr>
              <w:t>5,17E+01 kg CO</w:t>
            </w:r>
            <w:r w:rsidRPr="00960181">
              <w:rPr>
                <w:lang w:val="en-US"/>
              </w:rPr>
              <w:t>2</w:t>
            </w:r>
            <w:r>
              <w:rPr>
                <w:vertAlign w:val="subscript"/>
                <w:lang w:val="en-US"/>
              </w:rPr>
              <w:t xml:space="preserve"> </w:t>
            </w:r>
            <w:r w:rsidRPr="00960181">
              <w:rPr>
                <w:lang w:val="en-US"/>
              </w:rPr>
              <w:t>eq</w:t>
            </w:r>
          </w:p>
        </w:tc>
        <w:tc>
          <w:tcPr>
            <w:tcW w:w="595" w:type="pct"/>
          </w:tcPr>
          <w:p w14:paraId="25DFC15C" w14:textId="77777777" w:rsidR="00C16BF8" w:rsidRDefault="00C16BF8" w:rsidP="00E60293">
            <w:pPr>
              <w:rPr>
                <w:lang w:val="en-US"/>
              </w:rPr>
            </w:pPr>
            <w:r>
              <w:rPr>
                <w:lang w:val="en-US"/>
              </w:rPr>
              <w:t>-34</w:t>
            </w:r>
          </w:p>
        </w:tc>
      </w:tr>
      <w:tr w:rsidR="00C16BF8" w14:paraId="05646FDB" w14:textId="77777777" w:rsidTr="00E60293">
        <w:tc>
          <w:tcPr>
            <w:tcW w:w="1845" w:type="pct"/>
          </w:tcPr>
          <w:p w14:paraId="5397CDBA" w14:textId="77777777" w:rsidR="00C16BF8" w:rsidRPr="00960181" w:rsidRDefault="00C16BF8" w:rsidP="00E60293">
            <w:pPr>
              <w:rPr>
                <w:lang w:val="en-US"/>
              </w:rPr>
            </w:pPr>
            <w:r>
              <w:rPr>
                <w:lang w:val="en-US"/>
              </w:rPr>
              <w:t>Freshwater and terrestrial acidification</w:t>
            </w:r>
          </w:p>
        </w:tc>
        <w:tc>
          <w:tcPr>
            <w:tcW w:w="1279" w:type="pct"/>
          </w:tcPr>
          <w:p w14:paraId="01BC4D76" w14:textId="77777777" w:rsidR="00C16BF8" w:rsidRPr="00960181" w:rsidRDefault="00C16BF8" w:rsidP="00E60293">
            <w:pPr>
              <w:rPr>
                <w:lang w:val="en-US"/>
              </w:rPr>
            </w:pPr>
            <w:r>
              <w:rPr>
                <w:lang w:val="en-US"/>
              </w:rPr>
              <w:t>7,67E-01 mol H+ eq</w:t>
            </w:r>
          </w:p>
        </w:tc>
        <w:tc>
          <w:tcPr>
            <w:tcW w:w="1281" w:type="pct"/>
          </w:tcPr>
          <w:p w14:paraId="2FF46922" w14:textId="77777777" w:rsidR="00C16BF8" w:rsidRDefault="00C16BF8" w:rsidP="00E60293">
            <w:pPr>
              <w:rPr>
                <w:lang w:val="en-US"/>
              </w:rPr>
            </w:pPr>
            <w:r>
              <w:rPr>
                <w:lang w:val="en-US"/>
              </w:rPr>
              <w:t>1,96E-01 mol H+ eq</w:t>
            </w:r>
          </w:p>
        </w:tc>
        <w:tc>
          <w:tcPr>
            <w:tcW w:w="595" w:type="pct"/>
          </w:tcPr>
          <w:p w14:paraId="4E71F8D9" w14:textId="77777777" w:rsidR="00C16BF8" w:rsidRDefault="00C16BF8" w:rsidP="00E60293">
            <w:pPr>
              <w:rPr>
                <w:lang w:val="en-US"/>
              </w:rPr>
            </w:pPr>
            <w:r>
              <w:rPr>
                <w:lang w:val="en-US"/>
              </w:rPr>
              <w:t>-74</w:t>
            </w:r>
          </w:p>
        </w:tc>
      </w:tr>
      <w:tr w:rsidR="00C16BF8" w14:paraId="17A20D68" w14:textId="77777777" w:rsidTr="00E60293">
        <w:tc>
          <w:tcPr>
            <w:tcW w:w="1845" w:type="pct"/>
          </w:tcPr>
          <w:p w14:paraId="7923E1EC" w14:textId="77777777" w:rsidR="00C16BF8" w:rsidRPr="00960181" w:rsidRDefault="00C16BF8" w:rsidP="00E60293">
            <w:pPr>
              <w:rPr>
                <w:lang w:val="en-US"/>
              </w:rPr>
            </w:pPr>
            <w:r>
              <w:rPr>
                <w:lang w:val="en-US"/>
              </w:rPr>
              <w:t>Freshwater ecotoxicity</w:t>
            </w:r>
          </w:p>
        </w:tc>
        <w:tc>
          <w:tcPr>
            <w:tcW w:w="1279" w:type="pct"/>
          </w:tcPr>
          <w:p w14:paraId="709F11DE" w14:textId="77777777" w:rsidR="00C16BF8" w:rsidRPr="00960181" w:rsidRDefault="00C16BF8" w:rsidP="00E60293">
            <w:pPr>
              <w:rPr>
                <w:lang w:val="en-US"/>
              </w:rPr>
            </w:pPr>
            <w:r>
              <w:rPr>
                <w:lang w:val="en-US"/>
              </w:rPr>
              <w:t>3,17E+01 CTU</w:t>
            </w:r>
          </w:p>
        </w:tc>
        <w:tc>
          <w:tcPr>
            <w:tcW w:w="1281" w:type="pct"/>
          </w:tcPr>
          <w:p w14:paraId="217D6AA9" w14:textId="77777777" w:rsidR="00C16BF8" w:rsidRDefault="00C16BF8" w:rsidP="00E60293">
            <w:pPr>
              <w:rPr>
                <w:lang w:val="en-US"/>
              </w:rPr>
            </w:pPr>
            <w:r>
              <w:rPr>
                <w:lang w:val="en-US"/>
              </w:rPr>
              <w:t>2,45E+01 CTU</w:t>
            </w:r>
          </w:p>
        </w:tc>
        <w:tc>
          <w:tcPr>
            <w:tcW w:w="595" w:type="pct"/>
          </w:tcPr>
          <w:p w14:paraId="6371965B" w14:textId="77777777" w:rsidR="00C16BF8" w:rsidRDefault="00C16BF8" w:rsidP="00E60293">
            <w:pPr>
              <w:rPr>
                <w:lang w:val="en-US"/>
              </w:rPr>
            </w:pPr>
            <w:r>
              <w:rPr>
                <w:lang w:val="en-US"/>
              </w:rPr>
              <w:t>-22</w:t>
            </w:r>
          </w:p>
        </w:tc>
      </w:tr>
      <w:tr w:rsidR="00C16BF8" w14:paraId="7B90B1D2" w14:textId="77777777" w:rsidTr="00E60293">
        <w:tc>
          <w:tcPr>
            <w:tcW w:w="1845" w:type="pct"/>
          </w:tcPr>
          <w:p w14:paraId="3EE91B49" w14:textId="77777777" w:rsidR="00C16BF8" w:rsidRPr="00960181" w:rsidRDefault="00C16BF8" w:rsidP="00E60293">
            <w:pPr>
              <w:rPr>
                <w:lang w:val="en-US"/>
              </w:rPr>
            </w:pPr>
            <w:r>
              <w:rPr>
                <w:lang w:val="en-US"/>
              </w:rPr>
              <w:t>Freshwater eutrophication</w:t>
            </w:r>
          </w:p>
        </w:tc>
        <w:tc>
          <w:tcPr>
            <w:tcW w:w="1279" w:type="pct"/>
          </w:tcPr>
          <w:p w14:paraId="0FC88475" w14:textId="77777777" w:rsidR="00C16BF8" w:rsidRPr="00960181" w:rsidRDefault="00C16BF8" w:rsidP="00E60293">
            <w:pPr>
              <w:rPr>
                <w:lang w:val="en-US"/>
              </w:rPr>
            </w:pPr>
            <w:r>
              <w:rPr>
                <w:lang w:val="en-US"/>
              </w:rPr>
              <w:t>1,45E-02 kg P eq</w:t>
            </w:r>
          </w:p>
        </w:tc>
        <w:tc>
          <w:tcPr>
            <w:tcW w:w="1281" w:type="pct"/>
          </w:tcPr>
          <w:p w14:paraId="1A8E342E" w14:textId="77777777" w:rsidR="00C16BF8" w:rsidRDefault="00C16BF8" w:rsidP="00E60293">
            <w:pPr>
              <w:rPr>
                <w:lang w:val="en-US"/>
              </w:rPr>
            </w:pPr>
            <w:r>
              <w:rPr>
                <w:lang w:val="en-US"/>
              </w:rPr>
              <w:t>1,18E-02 kg P eq</w:t>
            </w:r>
          </w:p>
        </w:tc>
        <w:tc>
          <w:tcPr>
            <w:tcW w:w="595" w:type="pct"/>
          </w:tcPr>
          <w:p w14:paraId="5C747A9D" w14:textId="77777777" w:rsidR="00C16BF8" w:rsidRDefault="00C16BF8" w:rsidP="00E60293">
            <w:pPr>
              <w:rPr>
                <w:lang w:val="en-US"/>
              </w:rPr>
            </w:pPr>
            <w:r>
              <w:rPr>
                <w:lang w:val="en-US"/>
              </w:rPr>
              <w:t>-19</w:t>
            </w:r>
          </w:p>
        </w:tc>
      </w:tr>
      <w:tr w:rsidR="00C16BF8" w14:paraId="729FAF73" w14:textId="77777777" w:rsidTr="00E60293">
        <w:tc>
          <w:tcPr>
            <w:tcW w:w="1845" w:type="pct"/>
          </w:tcPr>
          <w:p w14:paraId="7902CEDB" w14:textId="77777777" w:rsidR="00C16BF8" w:rsidRPr="00960181" w:rsidRDefault="00C16BF8" w:rsidP="00E60293">
            <w:pPr>
              <w:rPr>
                <w:lang w:val="en-US"/>
              </w:rPr>
            </w:pPr>
            <w:r>
              <w:rPr>
                <w:lang w:val="en-US"/>
              </w:rPr>
              <w:t>Marine eutrophication</w:t>
            </w:r>
          </w:p>
        </w:tc>
        <w:tc>
          <w:tcPr>
            <w:tcW w:w="1279" w:type="pct"/>
          </w:tcPr>
          <w:p w14:paraId="7BC69447" w14:textId="77777777" w:rsidR="00C16BF8" w:rsidRPr="00960181" w:rsidRDefault="00C16BF8" w:rsidP="00E60293">
            <w:pPr>
              <w:rPr>
                <w:lang w:val="en-US"/>
              </w:rPr>
            </w:pPr>
            <w:r>
              <w:rPr>
                <w:lang w:val="en-US"/>
              </w:rPr>
              <w:t>2,29E-01 kg N eq</w:t>
            </w:r>
          </w:p>
        </w:tc>
        <w:tc>
          <w:tcPr>
            <w:tcW w:w="1281" w:type="pct"/>
          </w:tcPr>
          <w:p w14:paraId="0C335737" w14:textId="77777777" w:rsidR="00C16BF8" w:rsidRDefault="00C16BF8" w:rsidP="00E60293">
            <w:pPr>
              <w:rPr>
                <w:lang w:val="en-US"/>
              </w:rPr>
            </w:pPr>
            <w:r>
              <w:rPr>
                <w:lang w:val="en-US"/>
              </w:rPr>
              <w:t>3,42E-02 kg N eq</w:t>
            </w:r>
          </w:p>
        </w:tc>
        <w:tc>
          <w:tcPr>
            <w:tcW w:w="595" w:type="pct"/>
          </w:tcPr>
          <w:p w14:paraId="28A5905B" w14:textId="77777777" w:rsidR="00C16BF8" w:rsidRDefault="00C16BF8" w:rsidP="00E60293">
            <w:pPr>
              <w:rPr>
                <w:lang w:val="en-US"/>
              </w:rPr>
            </w:pPr>
            <w:r>
              <w:rPr>
                <w:lang w:val="en-US"/>
              </w:rPr>
              <w:t>-85</w:t>
            </w:r>
          </w:p>
        </w:tc>
      </w:tr>
      <w:tr w:rsidR="00C16BF8" w14:paraId="4CAF91CC" w14:textId="77777777" w:rsidTr="00E60293">
        <w:tc>
          <w:tcPr>
            <w:tcW w:w="1845" w:type="pct"/>
          </w:tcPr>
          <w:p w14:paraId="731AB80C" w14:textId="77777777" w:rsidR="00C16BF8" w:rsidRPr="00960181" w:rsidRDefault="00C16BF8" w:rsidP="00E60293">
            <w:pPr>
              <w:rPr>
                <w:lang w:val="en-US"/>
              </w:rPr>
            </w:pPr>
            <w:r>
              <w:rPr>
                <w:lang w:val="en-US"/>
              </w:rPr>
              <w:t>Terrestrial eutrophication</w:t>
            </w:r>
          </w:p>
        </w:tc>
        <w:tc>
          <w:tcPr>
            <w:tcW w:w="1279" w:type="pct"/>
          </w:tcPr>
          <w:p w14:paraId="6313AC81" w14:textId="77777777" w:rsidR="00C16BF8" w:rsidRPr="00960181" w:rsidRDefault="00C16BF8" w:rsidP="00E60293">
            <w:pPr>
              <w:rPr>
                <w:lang w:val="en-US"/>
              </w:rPr>
            </w:pPr>
            <w:r>
              <w:rPr>
                <w:lang w:val="en-US"/>
              </w:rPr>
              <w:t>2,61E+00 mol N eq</w:t>
            </w:r>
          </w:p>
        </w:tc>
        <w:tc>
          <w:tcPr>
            <w:tcW w:w="1281" w:type="pct"/>
          </w:tcPr>
          <w:p w14:paraId="04CDAC5B" w14:textId="77777777" w:rsidR="00C16BF8" w:rsidRDefault="00C16BF8" w:rsidP="00E60293">
            <w:pPr>
              <w:rPr>
                <w:lang w:val="en-US"/>
              </w:rPr>
            </w:pPr>
            <w:r>
              <w:rPr>
                <w:lang w:val="en-US"/>
              </w:rPr>
              <w:t>3,71E-01 mol N eq</w:t>
            </w:r>
          </w:p>
        </w:tc>
        <w:tc>
          <w:tcPr>
            <w:tcW w:w="595" w:type="pct"/>
          </w:tcPr>
          <w:p w14:paraId="6159CA37" w14:textId="77777777" w:rsidR="00C16BF8" w:rsidRDefault="00C16BF8" w:rsidP="00E60293">
            <w:pPr>
              <w:rPr>
                <w:lang w:val="en-US"/>
              </w:rPr>
            </w:pPr>
            <w:r>
              <w:rPr>
                <w:lang w:val="en-US"/>
              </w:rPr>
              <w:t>-86</w:t>
            </w:r>
          </w:p>
        </w:tc>
      </w:tr>
      <w:tr w:rsidR="00C16BF8" w14:paraId="57D5967B" w14:textId="77777777" w:rsidTr="00E60293">
        <w:tc>
          <w:tcPr>
            <w:tcW w:w="1845" w:type="pct"/>
          </w:tcPr>
          <w:p w14:paraId="06791595" w14:textId="77777777" w:rsidR="00C16BF8" w:rsidRPr="00960181" w:rsidRDefault="00C16BF8" w:rsidP="00E60293">
            <w:pPr>
              <w:rPr>
                <w:lang w:val="en-US"/>
              </w:rPr>
            </w:pPr>
            <w:r>
              <w:rPr>
                <w:lang w:val="en-US"/>
              </w:rPr>
              <w:t>Human health carcinogenic effects</w:t>
            </w:r>
          </w:p>
        </w:tc>
        <w:tc>
          <w:tcPr>
            <w:tcW w:w="1279" w:type="pct"/>
          </w:tcPr>
          <w:p w14:paraId="6E3D99C4" w14:textId="77777777" w:rsidR="00C16BF8" w:rsidRPr="00960181" w:rsidRDefault="00C16BF8" w:rsidP="00E60293">
            <w:pPr>
              <w:rPr>
                <w:lang w:val="en-US"/>
              </w:rPr>
            </w:pPr>
            <w:r>
              <w:rPr>
                <w:lang w:val="en-US"/>
              </w:rPr>
              <w:t xml:space="preserve">5,20E-07 </w:t>
            </w:r>
            <w:proofErr w:type="spellStart"/>
            <w:r>
              <w:rPr>
                <w:lang w:val="en-US"/>
              </w:rPr>
              <w:t>CTUh</w:t>
            </w:r>
            <w:proofErr w:type="spellEnd"/>
          </w:p>
        </w:tc>
        <w:tc>
          <w:tcPr>
            <w:tcW w:w="1281" w:type="pct"/>
          </w:tcPr>
          <w:p w14:paraId="4C40ED96" w14:textId="77777777" w:rsidR="00C16BF8" w:rsidRDefault="00C16BF8" w:rsidP="00E60293">
            <w:pPr>
              <w:rPr>
                <w:lang w:val="en-US"/>
              </w:rPr>
            </w:pPr>
            <w:r>
              <w:rPr>
                <w:lang w:val="en-US"/>
              </w:rPr>
              <w:t xml:space="preserve">4,27E-07 </w:t>
            </w:r>
            <w:proofErr w:type="spellStart"/>
            <w:r>
              <w:rPr>
                <w:lang w:val="en-US"/>
              </w:rPr>
              <w:t>CTUh</w:t>
            </w:r>
            <w:proofErr w:type="spellEnd"/>
          </w:p>
        </w:tc>
        <w:tc>
          <w:tcPr>
            <w:tcW w:w="595" w:type="pct"/>
          </w:tcPr>
          <w:p w14:paraId="71E77738" w14:textId="77777777" w:rsidR="00C16BF8" w:rsidRDefault="00C16BF8" w:rsidP="00E60293">
            <w:pPr>
              <w:rPr>
                <w:lang w:val="en-US"/>
              </w:rPr>
            </w:pPr>
            <w:r>
              <w:rPr>
                <w:lang w:val="en-US"/>
              </w:rPr>
              <w:t>-18</w:t>
            </w:r>
          </w:p>
        </w:tc>
      </w:tr>
      <w:tr w:rsidR="00C16BF8" w14:paraId="615F88AC" w14:textId="77777777" w:rsidTr="00E60293">
        <w:tc>
          <w:tcPr>
            <w:tcW w:w="1845" w:type="pct"/>
          </w:tcPr>
          <w:p w14:paraId="37FABF55" w14:textId="77777777" w:rsidR="00C16BF8" w:rsidRDefault="00C16BF8" w:rsidP="00E60293">
            <w:r>
              <w:rPr>
                <w:lang w:val="en-US"/>
              </w:rPr>
              <w:t>Human health non-carcinogenic effects</w:t>
            </w:r>
          </w:p>
        </w:tc>
        <w:tc>
          <w:tcPr>
            <w:tcW w:w="1279" w:type="pct"/>
          </w:tcPr>
          <w:p w14:paraId="298AE0C5" w14:textId="77777777" w:rsidR="00C16BF8" w:rsidRPr="00960181" w:rsidRDefault="00C16BF8" w:rsidP="00E60293">
            <w:pPr>
              <w:rPr>
                <w:lang w:val="en-US"/>
              </w:rPr>
            </w:pPr>
            <w:r>
              <w:rPr>
                <w:lang w:val="en-US"/>
              </w:rPr>
              <w:t xml:space="preserve">5,31E-06 </w:t>
            </w:r>
            <w:proofErr w:type="spellStart"/>
            <w:r>
              <w:rPr>
                <w:lang w:val="en-US"/>
              </w:rPr>
              <w:t>CTUh</w:t>
            </w:r>
            <w:proofErr w:type="spellEnd"/>
          </w:p>
        </w:tc>
        <w:tc>
          <w:tcPr>
            <w:tcW w:w="1281" w:type="pct"/>
          </w:tcPr>
          <w:p w14:paraId="4FDDA495" w14:textId="77777777" w:rsidR="00C16BF8" w:rsidRDefault="00C16BF8" w:rsidP="00E60293">
            <w:pPr>
              <w:rPr>
                <w:lang w:val="en-US"/>
              </w:rPr>
            </w:pPr>
            <w:r>
              <w:rPr>
                <w:lang w:val="en-US"/>
              </w:rPr>
              <w:t xml:space="preserve">4,04E-06 </w:t>
            </w:r>
            <w:proofErr w:type="spellStart"/>
            <w:r>
              <w:rPr>
                <w:lang w:val="en-US"/>
              </w:rPr>
              <w:t>CTUh</w:t>
            </w:r>
            <w:proofErr w:type="spellEnd"/>
          </w:p>
        </w:tc>
        <w:tc>
          <w:tcPr>
            <w:tcW w:w="595" w:type="pct"/>
          </w:tcPr>
          <w:p w14:paraId="04FFB8C1" w14:textId="77777777" w:rsidR="00C16BF8" w:rsidRDefault="00C16BF8" w:rsidP="00E60293">
            <w:pPr>
              <w:rPr>
                <w:lang w:val="en-US"/>
              </w:rPr>
            </w:pPr>
            <w:r>
              <w:rPr>
                <w:lang w:val="en-US"/>
              </w:rPr>
              <w:t>-24</w:t>
            </w:r>
          </w:p>
        </w:tc>
      </w:tr>
      <w:tr w:rsidR="00C16BF8" w14:paraId="39462678" w14:textId="77777777" w:rsidTr="00E60293">
        <w:tc>
          <w:tcPr>
            <w:tcW w:w="1845" w:type="pct"/>
          </w:tcPr>
          <w:p w14:paraId="290B100B" w14:textId="77777777" w:rsidR="00C16BF8" w:rsidRPr="00960181" w:rsidRDefault="00C16BF8" w:rsidP="00E60293">
            <w:pPr>
              <w:rPr>
                <w:lang w:val="en-US"/>
              </w:rPr>
            </w:pPr>
            <w:r>
              <w:rPr>
                <w:lang w:val="en-US"/>
              </w:rPr>
              <w:t>Ozone layer depletion</w:t>
            </w:r>
          </w:p>
        </w:tc>
        <w:tc>
          <w:tcPr>
            <w:tcW w:w="1279" w:type="pct"/>
          </w:tcPr>
          <w:p w14:paraId="28733C81" w14:textId="77777777" w:rsidR="00C16BF8" w:rsidRPr="00960181" w:rsidRDefault="00C16BF8" w:rsidP="00E60293">
            <w:pPr>
              <w:rPr>
                <w:lang w:val="en-US"/>
              </w:rPr>
            </w:pPr>
            <w:r>
              <w:rPr>
                <w:lang w:val="en-US"/>
              </w:rPr>
              <w:t>8,05E-06 kg CFC-11</w:t>
            </w:r>
          </w:p>
        </w:tc>
        <w:tc>
          <w:tcPr>
            <w:tcW w:w="1281" w:type="pct"/>
          </w:tcPr>
          <w:p w14:paraId="67E4F7C7" w14:textId="77777777" w:rsidR="00C16BF8" w:rsidRDefault="00C16BF8" w:rsidP="00E60293">
            <w:pPr>
              <w:rPr>
                <w:lang w:val="en-US"/>
              </w:rPr>
            </w:pPr>
            <w:r>
              <w:rPr>
                <w:lang w:val="en-US"/>
              </w:rPr>
              <w:t>5,42E-06 kg CFC-11</w:t>
            </w:r>
          </w:p>
        </w:tc>
        <w:tc>
          <w:tcPr>
            <w:tcW w:w="595" w:type="pct"/>
          </w:tcPr>
          <w:p w14:paraId="5602821B" w14:textId="77777777" w:rsidR="00C16BF8" w:rsidRDefault="00C16BF8" w:rsidP="00E60293">
            <w:pPr>
              <w:rPr>
                <w:lang w:val="en-US"/>
              </w:rPr>
            </w:pPr>
            <w:r>
              <w:rPr>
                <w:lang w:val="en-US"/>
              </w:rPr>
              <w:t>-33</w:t>
            </w:r>
          </w:p>
        </w:tc>
      </w:tr>
      <w:tr w:rsidR="00C16BF8" w14:paraId="47B2F22C" w14:textId="77777777" w:rsidTr="00E60293">
        <w:tc>
          <w:tcPr>
            <w:tcW w:w="1845" w:type="pct"/>
          </w:tcPr>
          <w:p w14:paraId="533E8935" w14:textId="77777777" w:rsidR="00C16BF8" w:rsidRPr="00960181" w:rsidRDefault="00C16BF8" w:rsidP="00E60293">
            <w:pPr>
              <w:rPr>
                <w:lang w:val="en-US"/>
              </w:rPr>
            </w:pPr>
            <w:r>
              <w:rPr>
                <w:lang w:val="en-US"/>
              </w:rPr>
              <w:lastRenderedPageBreak/>
              <w:t>Photochemical ozone creation</w:t>
            </w:r>
          </w:p>
        </w:tc>
        <w:tc>
          <w:tcPr>
            <w:tcW w:w="1279" w:type="pct"/>
          </w:tcPr>
          <w:p w14:paraId="21229843" w14:textId="77777777" w:rsidR="00C16BF8" w:rsidRPr="00960181" w:rsidRDefault="00C16BF8" w:rsidP="00E60293">
            <w:pPr>
              <w:rPr>
                <w:lang w:val="en-US"/>
              </w:rPr>
            </w:pPr>
            <w:r>
              <w:rPr>
                <w:lang w:val="en-US"/>
              </w:rPr>
              <w:t>6,43E-01 kg NMVOC-</w:t>
            </w:r>
          </w:p>
        </w:tc>
        <w:tc>
          <w:tcPr>
            <w:tcW w:w="1281" w:type="pct"/>
          </w:tcPr>
          <w:p w14:paraId="47380C4B" w14:textId="77777777" w:rsidR="00C16BF8" w:rsidRDefault="00C16BF8" w:rsidP="00E60293">
            <w:pPr>
              <w:rPr>
                <w:lang w:val="en-US"/>
              </w:rPr>
            </w:pPr>
            <w:r>
              <w:rPr>
                <w:lang w:val="en-US"/>
              </w:rPr>
              <w:t>1,34E-01 kg NMVOC-</w:t>
            </w:r>
          </w:p>
        </w:tc>
        <w:tc>
          <w:tcPr>
            <w:tcW w:w="595" w:type="pct"/>
          </w:tcPr>
          <w:p w14:paraId="4C3C7DCD" w14:textId="77777777" w:rsidR="00C16BF8" w:rsidRDefault="00C16BF8" w:rsidP="00E60293">
            <w:pPr>
              <w:rPr>
                <w:lang w:val="en-US"/>
              </w:rPr>
            </w:pPr>
            <w:r>
              <w:rPr>
                <w:lang w:val="en-US"/>
              </w:rPr>
              <w:t>-79</w:t>
            </w:r>
          </w:p>
        </w:tc>
      </w:tr>
      <w:tr w:rsidR="00C16BF8" w14:paraId="4E417B7B" w14:textId="77777777" w:rsidTr="00E60293">
        <w:tc>
          <w:tcPr>
            <w:tcW w:w="1845" w:type="pct"/>
          </w:tcPr>
          <w:p w14:paraId="37014D83" w14:textId="77777777" w:rsidR="00C16BF8" w:rsidRPr="00BD4A1F" w:rsidRDefault="00C16BF8" w:rsidP="00E60293">
            <w:pPr>
              <w:rPr>
                <w:i/>
                <w:iCs/>
                <w:lang w:val="en-US"/>
              </w:rPr>
            </w:pPr>
            <w:r>
              <w:rPr>
                <w:i/>
                <w:iCs/>
                <w:lang w:val="en-US"/>
              </w:rPr>
              <w:t>Economic outflows not followed to system boundary</w:t>
            </w:r>
          </w:p>
        </w:tc>
        <w:tc>
          <w:tcPr>
            <w:tcW w:w="1279" w:type="pct"/>
          </w:tcPr>
          <w:p w14:paraId="48077806" w14:textId="77777777" w:rsidR="00C16BF8" w:rsidRDefault="00C16BF8" w:rsidP="00E60293">
            <w:pPr>
              <w:rPr>
                <w:lang w:val="en-US"/>
              </w:rPr>
            </w:pPr>
          </w:p>
        </w:tc>
        <w:tc>
          <w:tcPr>
            <w:tcW w:w="1281" w:type="pct"/>
          </w:tcPr>
          <w:p w14:paraId="61946B6C" w14:textId="77777777" w:rsidR="00C16BF8" w:rsidRDefault="00C16BF8" w:rsidP="00E60293">
            <w:pPr>
              <w:rPr>
                <w:lang w:val="en-US"/>
              </w:rPr>
            </w:pPr>
          </w:p>
        </w:tc>
        <w:tc>
          <w:tcPr>
            <w:tcW w:w="595" w:type="pct"/>
          </w:tcPr>
          <w:p w14:paraId="15EA07FF" w14:textId="77777777" w:rsidR="00C16BF8" w:rsidRDefault="00C16BF8" w:rsidP="00E60293">
            <w:pPr>
              <w:rPr>
                <w:lang w:val="en-US"/>
              </w:rPr>
            </w:pPr>
          </w:p>
        </w:tc>
      </w:tr>
      <w:tr w:rsidR="00C16BF8" w14:paraId="62A0E3E6" w14:textId="77777777" w:rsidTr="00E60293">
        <w:tc>
          <w:tcPr>
            <w:tcW w:w="1845" w:type="pct"/>
          </w:tcPr>
          <w:p w14:paraId="412B0037" w14:textId="77777777" w:rsidR="00C16BF8" w:rsidRDefault="00C16BF8" w:rsidP="00E60293">
            <w:pPr>
              <w:rPr>
                <w:lang w:val="en-US"/>
              </w:rPr>
            </w:pPr>
            <w:r>
              <w:rPr>
                <w:lang w:val="en-US"/>
              </w:rPr>
              <w:t>Basket of coarse size fractions</w:t>
            </w:r>
          </w:p>
        </w:tc>
        <w:tc>
          <w:tcPr>
            <w:tcW w:w="1279" w:type="pct"/>
          </w:tcPr>
          <w:p w14:paraId="29B4125A" w14:textId="77777777" w:rsidR="00C16BF8" w:rsidRDefault="00C16BF8" w:rsidP="00E60293">
            <w:pPr>
              <w:rPr>
                <w:lang w:val="en-US"/>
              </w:rPr>
            </w:pPr>
            <w:r>
              <w:rPr>
                <w:lang w:val="en-US"/>
              </w:rPr>
              <w:t>2,01E+05 kg</w:t>
            </w:r>
          </w:p>
        </w:tc>
        <w:tc>
          <w:tcPr>
            <w:tcW w:w="1281" w:type="pct"/>
          </w:tcPr>
          <w:p w14:paraId="7C30CE66" w14:textId="77777777" w:rsidR="00C16BF8" w:rsidRDefault="00C16BF8" w:rsidP="00E60293">
            <w:pPr>
              <w:rPr>
                <w:lang w:val="en-US"/>
              </w:rPr>
            </w:pPr>
          </w:p>
        </w:tc>
        <w:tc>
          <w:tcPr>
            <w:tcW w:w="595" w:type="pct"/>
          </w:tcPr>
          <w:p w14:paraId="776B18BC" w14:textId="77777777" w:rsidR="00C16BF8" w:rsidRDefault="00C16BF8" w:rsidP="00E60293">
            <w:pPr>
              <w:rPr>
                <w:lang w:val="en-US"/>
              </w:rPr>
            </w:pPr>
          </w:p>
        </w:tc>
      </w:tr>
      <w:tr w:rsidR="00C16BF8" w14:paraId="668C3F9F" w14:textId="77777777" w:rsidTr="00E60293">
        <w:tc>
          <w:tcPr>
            <w:tcW w:w="1845" w:type="pct"/>
          </w:tcPr>
          <w:p w14:paraId="5153D548" w14:textId="77777777" w:rsidR="00C16BF8" w:rsidRDefault="00C16BF8" w:rsidP="00E60293">
            <w:pPr>
              <w:rPr>
                <w:lang w:val="en-US"/>
              </w:rPr>
            </w:pPr>
            <w:r>
              <w:rPr>
                <w:lang w:val="en-US"/>
              </w:rPr>
              <w:t>Basket of non-magnetic materials</w:t>
            </w:r>
          </w:p>
        </w:tc>
        <w:tc>
          <w:tcPr>
            <w:tcW w:w="1279" w:type="pct"/>
          </w:tcPr>
          <w:p w14:paraId="182A061F" w14:textId="77777777" w:rsidR="00C16BF8" w:rsidRDefault="00C16BF8" w:rsidP="00E60293">
            <w:pPr>
              <w:rPr>
                <w:lang w:val="en-US"/>
              </w:rPr>
            </w:pPr>
            <w:r>
              <w:rPr>
                <w:lang w:val="en-US"/>
              </w:rPr>
              <w:t>2,95E+03 kg</w:t>
            </w:r>
          </w:p>
        </w:tc>
        <w:tc>
          <w:tcPr>
            <w:tcW w:w="1281" w:type="pct"/>
          </w:tcPr>
          <w:p w14:paraId="1F399A5F" w14:textId="77777777" w:rsidR="00C16BF8" w:rsidRDefault="00C16BF8" w:rsidP="00E60293">
            <w:pPr>
              <w:rPr>
                <w:lang w:val="en-US"/>
              </w:rPr>
            </w:pPr>
          </w:p>
        </w:tc>
        <w:tc>
          <w:tcPr>
            <w:tcW w:w="595" w:type="pct"/>
          </w:tcPr>
          <w:p w14:paraId="7FE3F072" w14:textId="77777777" w:rsidR="00C16BF8" w:rsidRDefault="00C16BF8" w:rsidP="00E60293">
            <w:pPr>
              <w:rPr>
                <w:lang w:val="en-US"/>
              </w:rPr>
            </w:pPr>
          </w:p>
        </w:tc>
      </w:tr>
      <w:tr w:rsidR="00C16BF8" w14:paraId="266B3F01" w14:textId="77777777" w:rsidTr="00E60293">
        <w:tc>
          <w:tcPr>
            <w:tcW w:w="1845" w:type="pct"/>
          </w:tcPr>
          <w:p w14:paraId="2D719A7E" w14:textId="77777777" w:rsidR="00C16BF8" w:rsidRDefault="00C16BF8" w:rsidP="00E60293">
            <w:pPr>
              <w:rPr>
                <w:lang w:val="en-US"/>
              </w:rPr>
            </w:pPr>
            <w:r>
              <w:rPr>
                <w:lang w:val="en-US"/>
              </w:rPr>
              <w:t>Cake</w:t>
            </w:r>
          </w:p>
        </w:tc>
        <w:tc>
          <w:tcPr>
            <w:tcW w:w="1279" w:type="pct"/>
          </w:tcPr>
          <w:p w14:paraId="7A40A48B" w14:textId="77777777" w:rsidR="00C16BF8" w:rsidRDefault="00C16BF8" w:rsidP="00E60293">
            <w:pPr>
              <w:rPr>
                <w:lang w:val="en-US"/>
              </w:rPr>
            </w:pPr>
            <w:r>
              <w:rPr>
                <w:lang w:val="en-US"/>
              </w:rPr>
              <w:t>4,55E+03 kg</w:t>
            </w:r>
          </w:p>
        </w:tc>
        <w:tc>
          <w:tcPr>
            <w:tcW w:w="1281" w:type="pct"/>
          </w:tcPr>
          <w:p w14:paraId="1CF5615C" w14:textId="77777777" w:rsidR="00C16BF8" w:rsidRDefault="00C16BF8" w:rsidP="00E60293">
            <w:pPr>
              <w:rPr>
                <w:lang w:val="en-US"/>
              </w:rPr>
            </w:pPr>
          </w:p>
        </w:tc>
        <w:tc>
          <w:tcPr>
            <w:tcW w:w="595" w:type="pct"/>
          </w:tcPr>
          <w:p w14:paraId="0CA4B974" w14:textId="77777777" w:rsidR="00C16BF8" w:rsidRDefault="00C16BF8" w:rsidP="00E60293">
            <w:pPr>
              <w:rPr>
                <w:lang w:val="en-US"/>
              </w:rPr>
            </w:pPr>
          </w:p>
        </w:tc>
      </w:tr>
    </w:tbl>
    <w:p w14:paraId="15826290" w14:textId="77777777" w:rsidR="00C16BF8" w:rsidRPr="00832869" w:rsidRDefault="00C16BF8" w:rsidP="00C16BF8">
      <w:pPr>
        <w:rPr>
          <w:lang w:val="en-US"/>
        </w:rPr>
      </w:pPr>
    </w:p>
    <w:p w14:paraId="460BFA24" w14:textId="320D5220" w:rsidR="00C16BF8" w:rsidRPr="0025091D" w:rsidRDefault="0025091D" w:rsidP="0025091D">
      <w:pPr>
        <w:pStyle w:val="Caption"/>
        <w:rPr>
          <w:lang w:val="en-US"/>
        </w:rPr>
      </w:pPr>
      <w:bookmarkStart w:id="109" w:name="_Toc76730039"/>
      <w:r>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5</w:t>
      </w:r>
      <w:r w:rsidR="00BE45E3">
        <w:rPr>
          <w:noProof/>
        </w:rPr>
        <w:fldChar w:fldCharType="end"/>
      </w:r>
      <w:r>
        <w:rPr>
          <w:lang w:val="en-US"/>
        </w:rPr>
        <w:t xml:space="preserve"> </w:t>
      </w:r>
      <w:r w:rsidR="00C16BF8" w:rsidRPr="006D6AEE">
        <w:rPr>
          <w:lang w:val="en-US"/>
        </w:rPr>
        <w:t xml:space="preserve">Environmental profile of the product system using allocation by mass. FU: 1 kg of REO from EOL HDDs’ </w:t>
      </w:r>
      <w:proofErr w:type="spellStart"/>
      <w:r w:rsidR="00C16BF8" w:rsidRPr="006D6AEE">
        <w:rPr>
          <w:lang w:val="en-US"/>
        </w:rPr>
        <w:t>NdFeB</w:t>
      </w:r>
      <w:proofErr w:type="spellEnd"/>
      <w:r w:rsidR="00C16BF8" w:rsidRPr="006D6AEE">
        <w:rPr>
          <w:lang w:val="en-US"/>
        </w:rPr>
        <w:t xml:space="preserve"> magnets separated from e-waste at the plant’s gate. Source: author’s table.</w:t>
      </w:r>
      <w:bookmarkEnd w:id="109"/>
    </w:p>
    <w:tbl>
      <w:tblPr>
        <w:tblStyle w:val="TableGrid"/>
        <w:tblW w:w="5000" w:type="pct"/>
        <w:tblCellMar>
          <w:left w:w="28" w:type="dxa"/>
          <w:right w:w="28" w:type="dxa"/>
        </w:tblCellMar>
        <w:tblLook w:val="04A0" w:firstRow="1" w:lastRow="0" w:firstColumn="1" w:lastColumn="0" w:noHBand="0" w:noVBand="1"/>
      </w:tblPr>
      <w:tblGrid>
        <w:gridCol w:w="3343"/>
        <w:gridCol w:w="2318"/>
        <w:gridCol w:w="2321"/>
        <w:gridCol w:w="1078"/>
      </w:tblGrid>
      <w:tr w:rsidR="00C16BF8" w14:paraId="1B4B5C9C" w14:textId="77777777" w:rsidTr="00E60293">
        <w:tc>
          <w:tcPr>
            <w:tcW w:w="1845" w:type="pct"/>
          </w:tcPr>
          <w:p w14:paraId="54880A06" w14:textId="77777777" w:rsidR="00C16BF8" w:rsidRPr="00707AD6" w:rsidRDefault="00C16BF8" w:rsidP="00E60293">
            <w:pPr>
              <w:rPr>
                <w:b/>
                <w:bCs/>
                <w:lang w:val="en-US"/>
              </w:rPr>
            </w:pPr>
            <w:r w:rsidRPr="00707AD6">
              <w:rPr>
                <w:b/>
                <w:bCs/>
                <w:lang w:val="en-US"/>
              </w:rPr>
              <w:t>Impact category</w:t>
            </w:r>
          </w:p>
        </w:tc>
        <w:tc>
          <w:tcPr>
            <w:tcW w:w="1279" w:type="pct"/>
          </w:tcPr>
          <w:p w14:paraId="01F564F2" w14:textId="77777777" w:rsidR="00C16BF8" w:rsidRPr="00707AD6" w:rsidRDefault="00C16BF8" w:rsidP="00E60293">
            <w:pPr>
              <w:rPr>
                <w:b/>
                <w:bCs/>
                <w:lang w:val="en-US"/>
              </w:rPr>
            </w:pPr>
            <w:r w:rsidRPr="00707AD6">
              <w:rPr>
                <w:b/>
                <w:bCs/>
                <w:lang w:val="en-US"/>
              </w:rPr>
              <w:t>Original system</w:t>
            </w:r>
          </w:p>
        </w:tc>
        <w:tc>
          <w:tcPr>
            <w:tcW w:w="1281" w:type="pct"/>
          </w:tcPr>
          <w:p w14:paraId="3E2E4672" w14:textId="77777777" w:rsidR="00C16BF8" w:rsidRPr="00707AD6" w:rsidRDefault="00C16BF8" w:rsidP="00E60293">
            <w:pPr>
              <w:jc w:val="left"/>
              <w:rPr>
                <w:b/>
                <w:bCs/>
                <w:lang w:val="en-US"/>
              </w:rPr>
            </w:pPr>
            <w:r w:rsidRPr="00707AD6">
              <w:rPr>
                <w:b/>
                <w:bCs/>
                <w:lang w:val="en-US"/>
              </w:rPr>
              <w:t xml:space="preserve">System </w:t>
            </w:r>
            <w:r>
              <w:rPr>
                <w:b/>
                <w:bCs/>
                <w:lang w:val="en-US"/>
              </w:rPr>
              <w:t>using allocation by mass</w:t>
            </w:r>
          </w:p>
        </w:tc>
        <w:tc>
          <w:tcPr>
            <w:tcW w:w="595" w:type="pct"/>
          </w:tcPr>
          <w:p w14:paraId="1051558B" w14:textId="77777777" w:rsidR="00C16BF8" w:rsidRPr="00707AD6" w:rsidRDefault="00C16BF8" w:rsidP="00E60293">
            <w:pPr>
              <w:rPr>
                <w:b/>
                <w:bCs/>
                <w:lang w:val="en-US"/>
              </w:rPr>
            </w:pPr>
            <w:r w:rsidRPr="00707AD6">
              <w:rPr>
                <w:b/>
                <w:bCs/>
                <w:lang w:val="en-US"/>
              </w:rPr>
              <w:t xml:space="preserve">% </w:t>
            </w:r>
            <w:proofErr w:type="gramStart"/>
            <w:r w:rsidRPr="00707AD6">
              <w:rPr>
                <w:b/>
                <w:bCs/>
                <w:lang w:val="en-US"/>
              </w:rPr>
              <w:t>change</w:t>
            </w:r>
            <w:proofErr w:type="gramEnd"/>
          </w:p>
        </w:tc>
      </w:tr>
      <w:tr w:rsidR="00C16BF8" w14:paraId="6B97DFF6" w14:textId="77777777" w:rsidTr="00E60293">
        <w:tc>
          <w:tcPr>
            <w:tcW w:w="1845" w:type="pct"/>
          </w:tcPr>
          <w:p w14:paraId="352C9F78" w14:textId="77777777" w:rsidR="00C16BF8" w:rsidRPr="005E304B" w:rsidRDefault="00C16BF8" w:rsidP="00E60293">
            <w:pPr>
              <w:rPr>
                <w:i/>
                <w:iCs/>
                <w:lang w:val="en-US"/>
              </w:rPr>
            </w:pPr>
            <w:r w:rsidRPr="005E304B">
              <w:rPr>
                <w:i/>
                <w:iCs/>
                <w:lang w:val="en-US"/>
              </w:rPr>
              <w:t>Indicator results</w:t>
            </w:r>
          </w:p>
        </w:tc>
        <w:tc>
          <w:tcPr>
            <w:tcW w:w="1279" w:type="pct"/>
          </w:tcPr>
          <w:p w14:paraId="0BEE8D6C" w14:textId="77777777" w:rsidR="00C16BF8" w:rsidRDefault="00C16BF8" w:rsidP="00E60293"/>
        </w:tc>
        <w:tc>
          <w:tcPr>
            <w:tcW w:w="1281" w:type="pct"/>
          </w:tcPr>
          <w:p w14:paraId="59B41F01" w14:textId="77777777" w:rsidR="00C16BF8" w:rsidRDefault="00C16BF8" w:rsidP="00E60293"/>
        </w:tc>
        <w:tc>
          <w:tcPr>
            <w:tcW w:w="595" w:type="pct"/>
          </w:tcPr>
          <w:p w14:paraId="6E166119" w14:textId="77777777" w:rsidR="00C16BF8" w:rsidRDefault="00C16BF8" w:rsidP="00E60293"/>
        </w:tc>
      </w:tr>
      <w:tr w:rsidR="00C16BF8" w14:paraId="3BE27D86" w14:textId="77777777" w:rsidTr="00E60293">
        <w:tc>
          <w:tcPr>
            <w:tcW w:w="1845" w:type="pct"/>
          </w:tcPr>
          <w:p w14:paraId="3C77BF27" w14:textId="77777777" w:rsidR="00C16BF8" w:rsidRPr="00960181" w:rsidRDefault="00C16BF8" w:rsidP="00E60293">
            <w:pPr>
              <w:rPr>
                <w:lang w:val="en-US"/>
              </w:rPr>
            </w:pPr>
            <w:r>
              <w:rPr>
                <w:lang w:val="en-US"/>
              </w:rPr>
              <w:t>Climate change</w:t>
            </w:r>
          </w:p>
        </w:tc>
        <w:tc>
          <w:tcPr>
            <w:tcW w:w="1279" w:type="pct"/>
          </w:tcPr>
          <w:p w14:paraId="58ED0C77" w14:textId="77777777" w:rsidR="00C16BF8" w:rsidRPr="00960181" w:rsidRDefault="00C16BF8" w:rsidP="00E60293">
            <w:pPr>
              <w:rPr>
                <w:lang w:val="en-US"/>
              </w:rPr>
            </w:pPr>
            <w:r>
              <w:rPr>
                <w:lang w:val="en-US"/>
              </w:rPr>
              <w:t>7,87E+01 kg CO</w:t>
            </w:r>
            <w:r w:rsidRPr="00960181">
              <w:rPr>
                <w:lang w:val="en-US"/>
              </w:rPr>
              <w:t>2</w:t>
            </w:r>
            <w:r>
              <w:rPr>
                <w:vertAlign w:val="subscript"/>
                <w:lang w:val="en-US"/>
              </w:rPr>
              <w:t xml:space="preserve"> </w:t>
            </w:r>
            <w:r w:rsidRPr="00960181">
              <w:rPr>
                <w:lang w:val="en-US"/>
              </w:rPr>
              <w:t>eq</w:t>
            </w:r>
          </w:p>
        </w:tc>
        <w:tc>
          <w:tcPr>
            <w:tcW w:w="1281" w:type="pct"/>
          </w:tcPr>
          <w:p w14:paraId="19040E25" w14:textId="77777777" w:rsidR="00C16BF8" w:rsidRDefault="00C16BF8" w:rsidP="00E60293">
            <w:pPr>
              <w:rPr>
                <w:lang w:val="en-US"/>
              </w:rPr>
            </w:pPr>
            <w:r>
              <w:rPr>
                <w:lang w:val="en-US"/>
              </w:rPr>
              <w:t>3,99E+01 kg CO</w:t>
            </w:r>
            <w:r w:rsidRPr="00960181">
              <w:rPr>
                <w:lang w:val="en-US"/>
              </w:rPr>
              <w:t>2</w:t>
            </w:r>
            <w:r>
              <w:rPr>
                <w:vertAlign w:val="subscript"/>
                <w:lang w:val="en-US"/>
              </w:rPr>
              <w:t xml:space="preserve"> </w:t>
            </w:r>
            <w:r w:rsidRPr="00960181">
              <w:rPr>
                <w:lang w:val="en-US"/>
              </w:rPr>
              <w:t>eq</w:t>
            </w:r>
          </w:p>
        </w:tc>
        <w:tc>
          <w:tcPr>
            <w:tcW w:w="595" w:type="pct"/>
          </w:tcPr>
          <w:p w14:paraId="4B9F5DE8" w14:textId="77777777" w:rsidR="00C16BF8" w:rsidRDefault="00C16BF8" w:rsidP="00E60293">
            <w:pPr>
              <w:rPr>
                <w:lang w:val="en-US"/>
              </w:rPr>
            </w:pPr>
            <w:r>
              <w:rPr>
                <w:lang w:val="en-US"/>
              </w:rPr>
              <w:t>-49</w:t>
            </w:r>
          </w:p>
        </w:tc>
      </w:tr>
      <w:tr w:rsidR="00C16BF8" w14:paraId="173255BC" w14:textId="77777777" w:rsidTr="00E60293">
        <w:tc>
          <w:tcPr>
            <w:tcW w:w="1845" w:type="pct"/>
          </w:tcPr>
          <w:p w14:paraId="7AF65B43" w14:textId="77777777" w:rsidR="00C16BF8" w:rsidRPr="00960181" w:rsidRDefault="00C16BF8" w:rsidP="00E60293">
            <w:pPr>
              <w:rPr>
                <w:lang w:val="en-US"/>
              </w:rPr>
            </w:pPr>
            <w:r>
              <w:rPr>
                <w:lang w:val="en-US"/>
              </w:rPr>
              <w:t>Freshwater and terrestrial acidification</w:t>
            </w:r>
          </w:p>
        </w:tc>
        <w:tc>
          <w:tcPr>
            <w:tcW w:w="1279" w:type="pct"/>
          </w:tcPr>
          <w:p w14:paraId="58181485" w14:textId="77777777" w:rsidR="00C16BF8" w:rsidRPr="00960181" w:rsidRDefault="00C16BF8" w:rsidP="00E60293">
            <w:pPr>
              <w:rPr>
                <w:lang w:val="en-US"/>
              </w:rPr>
            </w:pPr>
            <w:r>
              <w:rPr>
                <w:lang w:val="en-US"/>
              </w:rPr>
              <w:t>7,67E-01 mol H+ eq</w:t>
            </w:r>
          </w:p>
        </w:tc>
        <w:tc>
          <w:tcPr>
            <w:tcW w:w="1281" w:type="pct"/>
          </w:tcPr>
          <w:p w14:paraId="2ED823D6" w14:textId="77777777" w:rsidR="00C16BF8" w:rsidRDefault="00C16BF8" w:rsidP="00E60293">
            <w:pPr>
              <w:rPr>
                <w:lang w:val="en-US"/>
              </w:rPr>
            </w:pPr>
            <w:r>
              <w:rPr>
                <w:lang w:val="en-US"/>
              </w:rPr>
              <w:t>3,59E-01 mol H+ eq</w:t>
            </w:r>
          </w:p>
        </w:tc>
        <w:tc>
          <w:tcPr>
            <w:tcW w:w="595" w:type="pct"/>
          </w:tcPr>
          <w:p w14:paraId="34E38356" w14:textId="77777777" w:rsidR="00C16BF8" w:rsidRDefault="00C16BF8" w:rsidP="00E60293">
            <w:pPr>
              <w:rPr>
                <w:lang w:val="en-US"/>
              </w:rPr>
            </w:pPr>
            <w:r>
              <w:rPr>
                <w:lang w:val="en-US"/>
              </w:rPr>
              <w:t>-53</w:t>
            </w:r>
          </w:p>
        </w:tc>
      </w:tr>
      <w:tr w:rsidR="00C16BF8" w14:paraId="027AC49B" w14:textId="77777777" w:rsidTr="00E60293">
        <w:tc>
          <w:tcPr>
            <w:tcW w:w="1845" w:type="pct"/>
          </w:tcPr>
          <w:p w14:paraId="010FB876" w14:textId="77777777" w:rsidR="00C16BF8" w:rsidRPr="00960181" w:rsidRDefault="00C16BF8" w:rsidP="00E60293">
            <w:pPr>
              <w:rPr>
                <w:lang w:val="en-US"/>
              </w:rPr>
            </w:pPr>
            <w:r>
              <w:rPr>
                <w:lang w:val="en-US"/>
              </w:rPr>
              <w:t>Freshwater ecotoxicity</w:t>
            </w:r>
          </w:p>
        </w:tc>
        <w:tc>
          <w:tcPr>
            <w:tcW w:w="1279" w:type="pct"/>
          </w:tcPr>
          <w:p w14:paraId="53242BF5" w14:textId="77777777" w:rsidR="00C16BF8" w:rsidRPr="00960181" w:rsidRDefault="00C16BF8" w:rsidP="00E60293">
            <w:pPr>
              <w:rPr>
                <w:lang w:val="en-US"/>
              </w:rPr>
            </w:pPr>
            <w:r>
              <w:rPr>
                <w:lang w:val="en-US"/>
              </w:rPr>
              <w:t>3,17E+01 CTU</w:t>
            </w:r>
          </w:p>
        </w:tc>
        <w:tc>
          <w:tcPr>
            <w:tcW w:w="1281" w:type="pct"/>
          </w:tcPr>
          <w:p w14:paraId="2DB72C79" w14:textId="77777777" w:rsidR="00C16BF8" w:rsidRDefault="00C16BF8" w:rsidP="00E60293">
            <w:pPr>
              <w:rPr>
                <w:lang w:val="en-US"/>
              </w:rPr>
            </w:pPr>
            <w:r>
              <w:rPr>
                <w:lang w:val="en-US"/>
              </w:rPr>
              <w:t>9,54E+00 CTU</w:t>
            </w:r>
          </w:p>
        </w:tc>
        <w:tc>
          <w:tcPr>
            <w:tcW w:w="595" w:type="pct"/>
          </w:tcPr>
          <w:p w14:paraId="6731F46C" w14:textId="77777777" w:rsidR="00C16BF8" w:rsidRDefault="00C16BF8" w:rsidP="00E60293">
            <w:pPr>
              <w:rPr>
                <w:lang w:val="en-US"/>
              </w:rPr>
            </w:pPr>
            <w:r>
              <w:rPr>
                <w:lang w:val="en-US"/>
              </w:rPr>
              <w:t>-70</w:t>
            </w:r>
          </w:p>
        </w:tc>
      </w:tr>
      <w:tr w:rsidR="00C16BF8" w14:paraId="41D130A7" w14:textId="77777777" w:rsidTr="00E60293">
        <w:tc>
          <w:tcPr>
            <w:tcW w:w="1845" w:type="pct"/>
          </w:tcPr>
          <w:p w14:paraId="3AD51AF7" w14:textId="77777777" w:rsidR="00C16BF8" w:rsidRPr="00960181" w:rsidRDefault="00C16BF8" w:rsidP="00E60293">
            <w:pPr>
              <w:rPr>
                <w:lang w:val="en-US"/>
              </w:rPr>
            </w:pPr>
            <w:r>
              <w:rPr>
                <w:lang w:val="en-US"/>
              </w:rPr>
              <w:t>Freshwater eutrophication</w:t>
            </w:r>
          </w:p>
        </w:tc>
        <w:tc>
          <w:tcPr>
            <w:tcW w:w="1279" w:type="pct"/>
          </w:tcPr>
          <w:p w14:paraId="1C785977" w14:textId="77777777" w:rsidR="00C16BF8" w:rsidRPr="00960181" w:rsidRDefault="00C16BF8" w:rsidP="00E60293">
            <w:pPr>
              <w:rPr>
                <w:lang w:val="en-US"/>
              </w:rPr>
            </w:pPr>
            <w:r>
              <w:rPr>
                <w:lang w:val="en-US"/>
              </w:rPr>
              <w:t>1,45E-02 kg P eq</w:t>
            </w:r>
          </w:p>
        </w:tc>
        <w:tc>
          <w:tcPr>
            <w:tcW w:w="1281" w:type="pct"/>
          </w:tcPr>
          <w:p w14:paraId="500CEBA4" w14:textId="77777777" w:rsidR="00C16BF8" w:rsidRDefault="00C16BF8" w:rsidP="00E60293">
            <w:pPr>
              <w:rPr>
                <w:lang w:val="en-US"/>
              </w:rPr>
            </w:pPr>
            <w:r>
              <w:rPr>
                <w:lang w:val="en-US"/>
              </w:rPr>
              <w:t>6,68E-03 kg P eq</w:t>
            </w:r>
          </w:p>
        </w:tc>
        <w:tc>
          <w:tcPr>
            <w:tcW w:w="595" w:type="pct"/>
          </w:tcPr>
          <w:p w14:paraId="1AB8E260" w14:textId="77777777" w:rsidR="00C16BF8" w:rsidRDefault="00C16BF8" w:rsidP="00E60293">
            <w:pPr>
              <w:rPr>
                <w:lang w:val="en-US"/>
              </w:rPr>
            </w:pPr>
            <w:r>
              <w:rPr>
                <w:lang w:val="en-US"/>
              </w:rPr>
              <w:t>-54</w:t>
            </w:r>
          </w:p>
        </w:tc>
      </w:tr>
      <w:tr w:rsidR="00C16BF8" w14:paraId="444CF2F4" w14:textId="77777777" w:rsidTr="00E60293">
        <w:tc>
          <w:tcPr>
            <w:tcW w:w="1845" w:type="pct"/>
          </w:tcPr>
          <w:p w14:paraId="11443DDA" w14:textId="77777777" w:rsidR="00C16BF8" w:rsidRPr="00960181" w:rsidRDefault="00C16BF8" w:rsidP="00E60293">
            <w:pPr>
              <w:rPr>
                <w:lang w:val="en-US"/>
              </w:rPr>
            </w:pPr>
            <w:r>
              <w:rPr>
                <w:lang w:val="en-US"/>
              </w:rPr>
              <w:t>Marine eutrophication</w:t>
            </w:r>
          </w:p>
        </w:tc>
        <w:tc>
          <w:tcPr>
            <w:tcW w:w="1279" w:type="pct"/>
          </w:tcPr>
          <w:p w14:paraId="02059D1B" w14:textId="77777777" w:rsidR="00C16BF8" w:rsidRPr="00960181" w:rsidRDefault="00C16BF8" w:rsidP="00E60293">
            <w:pPr>
              <w:rPr>
                <w:lang w:val="en-US"/>
              </w:rPr>
            </w:pPr>
            <w:r>
              <w:rPr>
                <w:lang w:val="en-US"/>
              </w:rPr>
              <w:t>2,29E-01 kg N eq</w:t>
            </w:r>
          </w:p>
        </w:tc>
        <w:tc>
          <w:tcPr>
            <w:tcW w:w="1281" w:type="pct"/>
          </w:tcPr>
          <w:p w14:paraId="2C68BE2C" w14:textId="77777777" w:rsidR="00C16BF8" w:rsidRDefault="00C16BF8" w:rsidP="00E60293">
            <w:pPr>
              <w:rPr>
                <w:lang w:val="en-US"/>
              </w:rPr>
            </w:pPr>
            <w:r>
              <w:rPr>
                <w:lang w:val="en-US"/>
              </w:rPr>
              <w:t>1,10E-01 kg N eq</w:t>
            </w:r>
          </w:p>
        </w:tc>
        <w:tc>
          <w:tcPr>
            <w:tcW w:w="595" w:type="pct"/>
          </w:tcPr>
          <w:p w14:paraId="49545BA7" w14:textId="77777777" w:rsidR="00C16BF8" w:rsidRDefault="00C16BF8" w:rsidP="00E60293">
            <w:pPr>
              <w:rPr>
                <w:lang w:val="en-US"/>
              </w:rPr>
            </w:pPr>
            <w:r>
              <w:rPr>
                <w:lang w:val="en-US"/>
              </w:rPr>
              <w:t>-52</w:t>
            </w:r>
          </w:p>
        </w:tc>
      </w:tr>
      <w:tr w:rsidR="00C16BF8" w14:paraId="67352E0D" w14:textId="77777777" w:rsidTr="00E60293">
        <w:tc>
          <w:tcPr>
            <w:tcW w:w="1845" w:type="pct"/>
          </w:tcPr>
          <w:p w14:paraId="571159F3" w14:textId="77777777" w:rsidR="00C16BF8" w:rsidRPr="00960181" w:rsidRDefault="00C16BF8" w:rsidP="00E60293">
            <w:pPr>
              <w:rPr>
                <w:lang w:val="en-US"/>
              </w:rPr>
            </w:pPr>
            <w:r>
              <w:rPr>
                <w:lang w:val="en-US"/>
              </w:rPr>
              <w:t>Terrestrial eutrophication</w:t>
            </w:r>
          </w:p>
        </w:tc>
        <w:tc>
          <w:tcPr>
            <w:tcW w:w="1279" w:type="pct"/>
          </w:tcPr>
          <w:p w14:paraId="4FB49AEA" w14:textId="77777777" w:rsidR="00C16BF8" w:rsidRPr="00960181" w:rsidRDefault="00C16BF8" w:rsidP="00E60293">
            <w:pPr>
              <w:rPr>
                <w:lang w:val="en-US"/>
              </w:rPr>
            </w:pPr>
            <w:r>
              <w:rPr>
                <w:lang w:val="en-US"/>
              </w:rPr>
              <w:t>2,61E+00 mol N eq</w:t>
            </w:r>
          </w:p>
        </w:tc>
        <w:tc>
          <w:tcPr>
            <w:tcW w:w="1281" w:type="pct"/>
          </w:tcPr>
          <w:p w14:paraId="5EA7E277" w14:textId="77777777" w:rsidR="00C16BF8" w:rsidRDefault="00C16BF8" w:rsidP="00E60293">
            <w:pPr>
              <w:rPr>
                <w:lang w:val="en-US"/>
              </w:rPr>
            </w:pPr>
            <w:r>
              <w:rPr>
                <w:lang w:val="en-US"/>
              </w:rPr>
              <w:t>1,26E+00 mol N eq</w:t>
            </w:r>
          </w:p>
        </w:tc>
        <w:tc>
          <w:tcPr>
            <w:tcW w:w="595" w:type="pct"/>
          </w:tcPr>
          <w:p w14:paraId="69A7D8CD" w14:textId="77777777" w:rsidR="00C16BF8" w:rsidRDefault="00C16BF8" w:rsidP="00E60293">
            <w:pPr>
              <w:rPr>
                <w:lang w:val="en-US"/>
              </w:rPr>
            </w:pPr>
            <w:r>
              <w:rPr>
                <w:lang w:val="en-US"/>
              </w:rPr>
              <w:t>-52</w:t>
            </w:r>
          </w:p>
        </w:tc>
      </w:tr>
      <w:tr w:rsidR="00C16BF8" w14:paraId="7280BF38" w14:textId="77777777" w:rsidTr="00E60293">
        <w:tc>
          <w:tcPr>
            <w:tcW w:w="1845" w:type="pct"/>
          </w:tcPr>
          <w:p w14:paraId="7E34930B" w14:textId="77777777" w:rsidR="00C16BF8" w:rsidRPr="00960181" w:rsidRDefault="00C16BF8" w:rsidP="00E60293">
            <w:pPr>
              <w:rPr>
                <w:lang w:val="en-US"/>
              </w:rPr>
            </w:pPr>
            <w:r>
              <w:rPr>
                <w:lang w:val="en-US"/>
              </w:rPr>
              <w:t>Human health carcinogenic effects</w:t>
            </w:r>
          </w:p>
        </w:tc>
        <w:tc>
          <w:tcPr>
            <w:tcW w:w="1279" w:type="pct"/>
          </w:tcPr>
          <w:p w14:paraId="41FA0388" w14:textId="77777777" w:rsidR="00C16BF8" w:rsidRPr="00960181" w:rsidRDefault="00C16BF8" w:rsidP="00E60293">
            <w:pPr>
              <w:rPr>
                <w:lang w:val="en-US"/>
              </w:rPr>
            </w:pPr>
            <w:r>
              <w:rPr>
                <w:lang w:val="en-US"/>
              </w:rPr>
              <w:t xml:space="preserve">5,20E-07 </w:t>
            </w:r>
            <w:proofErr w:type="spellStart"/>
            <w:r>
              <w:rPr>
                <w:lang w:val="en-US"/>
              </w:rPr>
              <w:t>CTUh</w:t>
            </w:r>
            <w:proofErr w:type="spellEnd"/>
          </w:p>
        </w:tc>
        <w:tc>
          <w:tcPr>
            <w:tcW w:w="1281" w:type="pct"/>
          </w:tcPr>
          <w:p w14:paraId="2F666009" w14:textId="77777777" w:rsidR="00C16BF8" w:rsidRDefault="00C16BF8" w:rsidP="00E60293">
            <w:pPr>
              <w:rPr>
                <w:lang w:val="en-US"/>
              </w:rPr>
            </w:pPr>
            <w:r>
              <w:rPr>
                <w:lang w:val="en-US"/>
              </w:rPr>
              <w:t xml:space="preserve">1,87E-07 </w:t>
            </w:r>
            <w:proofErr w:type="spellStart"/>
            <w:r>
              <w:rPr>
                <w:lang w:val="en-US"/>
              </w:rPr>
              <w:t>CTUh</w:t>
            </w:r>
            <w:proofErr w:type="spellEnd"/>
          </w:p>
        </w:tc>
        <w:tc>
          <w:tcPr>
            <w:tcW w:w="595" w:type="pct"/>
          </w:tcPr>
          <w:p w14:paraId="057EF4C4" w14:textId="77777777" w:rsidR="00C16BF8" w:rsidRDefault="00C16BF8" w:rsidP="00E60293">
            <w:pPr>
              <w:rPr>
                <w:lang w:val="en-US"/>
              </w:rPr>
            </w:pPr>
            <w:r>
              <w:rPr>
                <w:lang w:val="en-US"/>
              </w:rPr>
              <w:t>-64</w:t>
            </w:r>
          </w:p>
        </w:tc>
      </w:tr>
      <w:tr w:rsidR="00C16BF8" w14:paraId="7A7AA76C" w14:textId="77777777" w:rsidTr="00E60293">
        <w:tc>
          <w:tcPr>
            <w:tcW w:w="1845" w:type="pct"/>
          </w:tcPr>
          <w:p w14:paraId="5034B424" w14:textId="77777777" w:rsidR="00C16BF8" w:rsidRDefault="00C16BF8" w:rsidP="00E60293">
            <w:r>
              <w:rPr>
                <w:lang w:val="en-US"/>
              </w:rPr>
              <w:t>Human health non-carcinogenic effects</w:t>
            </w:r>
          </w:p>
        </w:tc>
        <w:tc>
          <w:tcPr>
            <w:tcW w:w="1279" w:type="pct"/>
          </w:tcPr>
          <w:p w14:paraId="10EF9908" w14:textId="77777777" w:rsidR="00C16BF8" w:rsidRPr="00960181" w:rsidRDefault="00C16BF8" w:rsidP="00E60293">
            <w:pPr>
              <w:rPr>
                <w:lang w:val="en-US"/>
              </w:rPr>
            </w:pPr>
            <w:r>
              <w:rPr>
                <w:lang w:val="en-US"/>
              </w:rPr>
              <w:t xml:space="preserve">5,31E-06 </w:t>
            </w:r>
            <w:proofErr w:type="spellStart"/>
            <w:r>
              <w:rPr>
                <w:lang w:val="en-US"/>
              </w:rPr>
              <w:t>CTUh</w:t>
            </w:r>
            <w:proofErr w:type="spellEnd"/>
          </w:p>
        </w:tc>
        <w:tc>
          <w:tcPr>
            <w:tcW w:w="1281" w:type="pct"/>
          </w:tcPr>
          <w:p w14:paraId="52CE741D" w14:textId="77777777" w:rsidR="00C16BF8" w:rsidRDefault="00C16BF8" w:rsidP="00E60293">
            <w:pPr>
              <w:rPr>
                <w:lang w:val="en-US"/>
              </w:rPr>
            </w:pPr>
            <w:r>
              <w:rPr>
                <w:lang w:val="en-US"/>
              </w:rPr>
              <w:t xml:space="preserve">2,00E-06 </w:t>
            </w:r>
            <w:proofErr w:type="spellStart"/>
            <w:r>
              <w:rPr>
                <w:lang w:val="en-US"/>
              </w:rPr>
              <w:t>CTUh</w:t>
            </w:r>
            <w:proofErr w:type="spellEnd"/>
          </w:p>
        </w:tc>
        <w:tc>
          <w:tcPr>
            <w:tcW w:w="595" w:type="pct"/>
          </w:tcPr>
          <w:p w14:paraId="55495CD1" w14:textId="77777777" w:rsidR="00C16BF8" w:rsidRDefault="00C16BF8" w:rsidP="00E60293">
            <w:pPr>
              <w:rPr>
                <w:lang w:val="en-US"/>
              </w:rPr>
            </w:pPr>
            <w:r>
              <w:rPr>
                <w:lang w:val="en-US"/>
              </w:rPr>
              <w:t>-62</w:t>
            </w:r>
          </w:p>
        </w:tc>
      </w:tr>
      <w:tr w:rsidR="00C16BF8" w14:paraId="524F552E" w14:textId="77777777" w:rsidTr="00E60293">
        <w:tc>
          <w:tcPr>
            <w:tcW w:w="1845" w:type="pct"/>
          </w:tcPr>
          <w:p w14:paraId="4E75D0D8" w14:textId="77777777" w:rsidR="00C16BF8" w:rsidRPr="00960181" w:rsidRDefault="00C16BF8" w:rsidP="00E60293">
            <w:pPr>
              <w:rPr>
                <w:lang w:val="en-US"/>
              </w:rPr>
            </w:pPr>
            <w:r>
              <w:rPr>
                <w:lang w:val="en-US"/>
              </w:rPr>
              <w:t>Ozone layer depletion</w:t>
            </w:r>
          </w:p>
        </w:tc>
        <w:tc>
          <w:tcPr>
            <w:tcW w:w="1279" w:type="pct"/>
          </w:tcPr>
          <w:p w14:paraId="18D9DCFE" w14:textId="77777777" w:rsidR="00C16BF8" w:rsidRPr="00960181" w:rsidRDefault="00C16BF8" w:rsidP="00E60293">
            <w:pPr>
              <w:rPr>
                <w:lang w:val="en-US"/>
              </w:rPr>
            </w:pPr>
            <w:r>
              <w:rPr>
                <w:lang w:val="en-US"/>
              </w:rPr>
              <w:t>8,05E-06 kg CFC-11</w:t>
            </w:r>
          </w:p>
        </w:tc>
        <w:tc>
          <w:tcPr>
            <w:tcW w:w="1281" w:type="pct"/>
          </w:tcPr>
          <w:p w14:paraId="78FFACAD" w14:textId="77777777" w:rsidR="00C16BF8" w:rsidRDefault="00C16BF8" w:rsidP="00E60293">
            <w:pPr>
              <w:rPr>
                <w:lang w:val="en-US"/>
              </w:rPr>
            </w:pPr>
            <w:r>
              <w:rPr>
                <w:lang w:val="en-US"/>
              </w:rPr>
              <w:t>3,77E-06 kg CFC-11</w:t>
            </w:r>
          </w:p>
        </w:tc>
        <w:tc>
          <w:tcPr>
            <w:tcW w:w="595" w:type="pct"/>
          </w:tcPr>
          <w:p w14:paraId="03904FBA" w14:textId="77777777" w:rsidR="00C16BF8" w:rsidRDefault="00C16BF8" w:rsidP="00E60293">
            <w:pPr>
              <w:rPr>
                <w:lang w:val="en-US"/>
              </w:rPr>
            </w:pPr>
            <w:r>
              <w:rPr>
                <w:lang w:val="en-US"/>
              </w:rPr>
              <w:t>-53</w:t>
            </w:r>
          </w:p>
        </w:tc>
      </w:tr>
      <w:tr w:rsidR="00C16BF8" w14:paraId="110F28F6" w14:textId="77777777" w:rsidTr="00E60293">
        <w:tc>
          <w:tcPr>
            <w:tcW w:w="1845" w:type="pct"/>
          </w:tcPr>
          <w:p w14:paraId="4883B1E8" w14:textId="77777777" w:rsidR="00C16BF8" w:rsidRPr="00960181" w:rsidRDefault="00C16BF8" w:rsidP="00E60293">
            <w:pPr>
              <w:rPr>
                <w:lang w:val="en-US"/>
              </w:rPr>
            </w:pPr>
            <w:r>
              <w:rPr>
                <w:lang w:val="en-US"/>
              </w:rPr>
              <w:t>Photochemical ozone creation</w:t>
            </w:r>
          </w:p>
        </w:tc>
        <w:tc>
          <w:tcPr>
            <w:tcW w:w="1279" w:type="pct"/>
          </w:tcPr>
          <w:p w14:paraId="7F4CF635" w14:textId="77777777" w:rsidR="00C16BF8" w:rsidRPr="00960181" w:rsidRDefault="00C16BF8" w:rsidP="00E60293">
            <w:pPr>
              <w:rPr>
                <w:lang w:val="en-US"/>
              </w:rPr>
            </w:pPr>
            <w:r>
              <w:rPr>
                <w:lang w:val="en-US"/>
              </w:rPr>
              <w:t>6,43E-01 kg NMVOC-</w:t>
            </w:r>
          </w:p>
        </w:tc>
        <w:tc>
          <w:tcPr>
            <w:tcW w:w="1281" w:type="pct"/>
          </w:tcPr>
          <w:p w14:paraId="468E42CB" w14:textId="77777777" w:rsidR="00C16BF8" w:rsidRDefault="00C16BF8" w:rsidP="00E60293">
            <w:pPr>
              <w:rPr>
                <w:lang w:val="en-US"/>
              </w:rPr>
            </w:pPr>
            <w:r>
              <w:rPr>
                <w:lang w:val="en-US"/>
              </w:rPr>
              <w:t>3,00E-01 kg NMVOC-</w:t>
            </w:r>
          </w:p>
        </w:tc>
        <w:tc>
          <w:tcPr>
            <w:tcW w:w="595" w:type="pct"/>
          </w:tcPr>
          <w:p w14:paraId="5AA5432E" w14:textId="77777777" w:rsidR="00C16BF8" w:rsidRDefault="00C16BF8" w:rsidP="00E60293">
            <w:pPr>
              <w:rPr>
                <w:lang w:val="en-US"/>
              </w:rPr>
            </w:pPr>
            <w:r>
              <w:rPr>
                <w:lang w:val="en-US"/>
              </w:rPr>
              <w:t>-53</w:t>
            </w:r>
          </w:p>
        </w:tc>
      </w:tr>
      <w:tr w:rsidR="00C16BF8" w14:paraId="6E72254E" w14:textId="77777777" w:rsidTr="00E60293">
        <w:tc>
          <w:tcPr>
            <w:tcW w:w="1845" w:type="pct"/>
          </w:tcPr>
          <w:p w14:paraId="0DA31267" w14:textId="77777777" w:rsidR="00C16BF8" w:rsidRPr="00BD4A1F" w:rsidRDefault="00C16BF8" w:rsidP="00E60293">
            <w:pPr>
              <w:rPr>
                <w:i/>
                <w:iCs/>
                <w:lang w:val="en-US"/>
              </w:rPr>
            </w:pPr>
            <w:r>
              <w:rPr>
                <w:i/>
                <w:iCs/>
                <w:lang w:val="en-US"/>
              </w:rPr>
              <w:t>Economic outflows not followed to system boundary</w:t>
            </w:r>
          </w:p>
        </w:tc>
        <w:tc>
          <w:tcPr>
            <w:tcW w:w="1279" w:type="pct"/>
          </w:tcPr>
          <w:p w14:paraId="4405B343" w14:textId="77777777" w:rsidR="00C16BF8" w:rsidRDefault="00C16BF8" w:rsidP="00E60293">
            <w:pPr>
              <w:rPr>
                <w:lang w:val="en-US"/>
              </w:rPr>
            </w:pPr>
          </w:p>
        </w:tc>
        <w:tc>
          <w:tcPr>
            <w:tcW w:w="1281" w:type="pct"/>
          </w:tcPr>
          <w:p w14:paraId="29BAF3DF" w14:textId="77777777" w:rsidR="00C16BF8" w:rsidRDefault="00C16BF8" w:rsidP="00E60293">
            <w:pPr>
              <w:rPr>
                <w:lang w:val="en-US"/>
              </w:rPr>
            </w:pPr>
          </w:p>
        </w:tc>
        <w:tc>
          <w:tcPr>
            <w:tcW w:w="595" w:type="pct"/>
          </w:tcPr>
          <w:p w14:paraId="042A8663" w14:textId="77777777" w:rsidR="00C16BF8" w:rsidRDefault="00C16BF8" w:rsidP="00E60293">
            <w:pPr>
              <w:rPr>
                <w:lang w:val="en-US"/>
              </w:rPr>
            </w:pPr>
          </w:p>
        </w:tc>
      </w:tr>
      <w:tr w:rsidR="00C16BF8" w14:paraId="6CF30542" w14:textId="77777777" w:rsidTr="00E60293">
        <w:tc>
          <w:tcPr>
            <w:tcW w:w="1845" w:type="pct"/>
          </w:tcPr>
          <w:p w14:paraId="2C0E1B05" w14:textId="77777777" w:rsidR="00C16BF8" w:rsidRDefault="00C16BF8" w:rsidP="00E60293">
            <w:pPr>
              <w:rPr>
                <w:lang w:val="en-US"/>
              </w:rPr>
            </w:pPr>
            <w:r>
              <w:rPr>
                <w:lang w:val="en-US"/>
              </w:rPr>
              <w:t>Basket of coarse size fractions</w:t>
            </w:r>
          </w:p>
        </w:tc>
        <w:tc>
          <w:tcPr>
            <w:tcW w:w="1279" w:type="pct"/>
          </w:tcPr>
          <w:p w14:paraId="342F680F" w14:textId="77777777" w:rsidR="00C16BF8" w:rsidRDefault="00C16BF8" w:rsidP="00E60293">
            <w:pPr>
              <w:rPr>
                <w:lang w:val="en-US"/>
              </w:rPr>
            </w:pPr>
            <w:r>
              <w:rPr>
                <w:lang w:val="en-US"/>
              </w:rPr>
              <w:t>2,01E+05 kg</w:t>
            </w:r>
          </w:p>
        </w:tc>
        <w:tc>
          <w:tcPr>
            <w:tcW w:w="1281" w:type="pct"/>
          </w:tcPr>
          <w:p w14:paraId="19B7C7BE" w14:textId="77777777" w:rsidR="00C16BF8" w:rsidRDefault="00C16BF8" w:rsidP="00E60293">
            <w:pPr>
              <w:rPr>
                <w:lang w:val="en-US"/>
              </w:rPr>
            </w:pPr>
          </w:p>
        </w:tc>
        <w:tc>
          <w:tcPr>
            <w:tcW w:w="595" w:type="pct"/>
          </w:tcPr>
          <w:p w14:paraId="3A7671A8" w14:textId="77777777" w:rsidR="00C16BF8" w:rsidRDefault="00C16BF8" w:rsidP="00E60293">
            <w:pPr>
              <w:rPr>
                <w:lang w:val="en-US"/>
              </w:rPr>
            </w:pPr>
          </w:p>
        </w:tc>
      </w:tr>
      <w:tr w:rsidR="00C16BF8" w14:paraId="3AF677E7" w14:textId="77777777" w:rsidTr="00E60293">
        <w:tc>
          <w:tcPr>
            <w:tcW w:w="1845" w:type="pct"/>
          </w:tcPr>
          <w:p w14:paraId="421D9CE7" w14:textId="77777777" w:rsidR="00C16BF8" w:rsidRDefault="00C16BF8" w:rsidP="00E60293">
            <w:pPr>
              <w:rPr>
                <w:lang w:val="en-US"/>
              </w:rPr>
            </w:pPr>
            <w:r>
              <w:rPr>
                <w:lang w:val="en-US"/>
              </w:rPr>
              <w:t>Basket of non-magnetic materials</w:t>
            </w:r>
          </w:p>
        </w:tc>
        <w:tc>
          <w:tcPr>
            <w:tcW w:w="1279" w:type="pct"/>
          </w:tcPr>
          <w:p w14:paraId="0519215D" w14:textId="77777777" w:rsidR="00C16BF8" w:rsidRDefault="00C16BF8" w:rsidP="00E60293">
            <w:pPr>
              <w:rPr>
                <w:lang w:val="en-US"/>
              </w:rPr>
            </w:pPr>
            <w:r>
              <w:rPr>
                <w:lang w:val="en-US"/>
              </w:rPr>
              <w:t>2,95E+03 kg</w:t>
            </w:r>
          </w:p>
        </w:tc>
        <w:tc>
          <w:tcPr>
            <w:tcW w:w="1281" w:type="pct"/>
          </w:tcPr>
          <w:p w14:paraId="30219F4A" w14:textId="77777777" w:rsidR="00C16BF8" w:rsidRDefault="00C16BF8" w:rsidP="00E60293">
            <w:pPr>
              <w:rPr>
                <w:lang w:val="en-US"/>
              </w:rPr>
            </w:pPr>
          </w:p>
        </w:tc>
        <w:tc>
          <w:tcPr>
            <w:tcW w:w="595" w:type="pct"/>
          </w:tcPr>
          <w:p w14:paraId="14E89DB2" w14:textId="77777777" w:rsidR="00C16BF8" w:rsidRDefault="00C16BF8" w:rsidP="00E60293">
            <w:pPr>
              <w:rPr>
                <w:lang w:val="en-US"/>
              </w:rPr>
            </w:pPr>
          </w:p>
        </w:tc>
      </w:tr>
      <w:tr w:rsidR="00C16BF8" w14:paraId="39DB37E7" w14:textId="77777777" w:rsidTr="00E60293">
        <w:tc>
          <w:tcPr>
            <w:tcW w:w="1845" w:type="pct"/>
          </w:tcPr>
          <w:p w14:paraId="1C62A246" w14:textId="77777777" w:rsidR="00C16BF8" w:rsidRDefault="00C16BF8" w:rsidP="00E60293">
            <w:pPr>
              <w:rPr>
                <w:lang w:val="en-US"/>
              </w:rPr>
            </w:pPr>
            <w:r>
              <w:rPr>
                <w:lang w:val="en-US"/>
              </w:rPr>
              <w:t>Cake</w:t>
            </w:r>
          </w:p>
        </w:tc>
        <w:tc>
          <w:tcPr>
            <w:tcW w:w="1279" w:type="pct"/>
          </w:tcPr>
          <w:p w14:paraId="0EF82A9A" w14:textId="77777777" w:rsidR="00C16BF8" w:rsidRDefault="00C16BF8" w:rsidP="00E60293">
            <w:pPr>
              <w:rPr>
                <w:lang w:val="en-US"/>
              </w:rPr>
            </w:pPr>
            <w:r>
              <w:rPr>
                <w:lang w:val="en-US"/>
              </w:rPr>
              <w:t>4,55E+03 kg</w:t>
            </w:r>
          </w:p>
        </w:tc>
        <w:tc>
          <w:tcPr>
            <w:tcW w:w="1281" w:type="pct"/>
          </w:tcPr>
          <w:p w14:paraId="6187213F" w14:textId="77777777" w:rsidR="00C16BF8" w:rsidRDefault="00C16BF8" w:rsidP="00E60293">
            <w:pPr>
              <w:rPr>
                <w:lang w:val="en-US"/>
              </w:rPr>
            </w:pPr>
          </w:p>
        </w:tc>
        <w:tc>
          <w:tcPr>
            <w:tcW w:w="595" w:type="pct"/>
          </w:tcPr>
          <w:p w14:paraId="18135CC9" w14:textId="77777777" w:rsidR="00C16BF8" w:rsidRDefault="00C16BF8" w:rsidP="00E60293">
            <w:pPr>
              <w:rPr>
                <w:lang w:val="en-US"/>
              </w:rPr>
            </w:pPr>
          </w:p>
        </w:tc>
      </w:tr>
    </w:tbl>
    <w:p w14:paraId="61245B87" w14:textId="6187D0B3" w:rsidR="00C16BF8" w:rsidRDefault="00C16BF8" w:rsidP="009A215A">
      <w:pPr>
        <w:rPr>
          <w:lang w:val="en-US"/>
        </w:rPr>
      </w:pPr>
    </w:p>
    <w:p w14:paraId="34F3C139" w14:textId="6856E835" w:rsidR="007A21FD" w:rsidRPr="004B597E" w:rsidRDefault="007A21FD" w:rsidP="00485208">
      <w:pPr>
        <w:pStyle w:val="Caption"/>
        <w:rPr>
          <w:lang w:val="en-US"/>
        </w:rPr>
      </w:pPr>
      <w:bookmarkStart w:id="110" w:name="_Ref76735326"/>
      <w:r>
        <w:lastRenderedPageBreak/>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6</w:t>
      </w:r>
      <w:r w:rsidR="00BE45E3">
        <w:rPr>
          <w:noProof/>
        </w:rPr>
        <w:fldChar w:fldCharType="end"/>
      </w:r>
      <w:r>
        <w:rPr>
          <w:lang w:val="en-US"/>
        </w:rPr>
        <w:t xml:space="preserve"> </w:t>
      </w:r>
      <w:r w:rsidRPr="006D6AEE">
        <w:rPr>
          <w:lang w:val="en-US"/>
        </w:rPr>
        <w:t xml:space="preserve">Environmental profile of the product system using </w:t>
      </w:r>
      <w:r>
        <w:rPr>
          <w:lang w:val="en-US"/>
        </w:rPr>
        <w:t>minimum price for compound goods</w:t>
      </w:r>
      <w:r w:rsidRPr="006D6AEE">
        <w:rPr>
          <w:lang w:val="en-US"/>
        </w:rPr>
        <w:t xml:space="preserve">. FU: 1 kg of REO from EOL HDDs’ </w:t>
      </w:r>
      <w:proofErr w:type="spellStart"/>
      <w:r w:rsidRPr="006D6AEE">
        <w:rPr>
          <w:lang w:val="en-US"/>
        </w:rPr>
        <w:t>NdFeB</w:t>
      </w:r>
      <w:proofErr w:type="spellEnd"/>
      <w:r w:rsidRPr="006D6AEE">
        <w:rPr>
          <w:lang w:val="en-US"/>
        </w:rPr>
        <w:t xml:space="preserve"> magnets separated from e-waste at the plant’s gate. Source: author’s table</w:t>
      </w:r>
      <w:r w:rsidR="004B597E">
        <w:rPr>
          <w:lang w:val="en-US"/>
        </w:rPr>
        <w:t>.</w:t>
      </w:r>
    </w:p>
    <w:tbl>
      <w:tblPr>
        <w:tblStyle w:val="TableGrid"/>
        <w:tblW w:w="5000" w:type="pct"/>
        <w:tblCellMar>
          <w:left w:w="28" w:type="dxa"/>
          <w:right w:w="28" w:type="dxa"/>
        </w:tblCellMar>
        <w:tblLook w:val="04A0" w:firstRow="1" w:lastRow="0" w:firstColumn="1" w:lastColumn="0" w:noHBand="0" w:noVBand="1"/>
      </w:tblPr>
      <w:tblGrid>
        <w:gridCol w:w="3343"/>
        <w:gridCol w:w="2318"/>
        <w:gridCol w:w="2321"/>
        <w:gridCol w:w="1078"/>
      </w:tblGrid>
      <w:tr w:rsidR="004B597E" w14:paraId="689E9635" w14:textId="77777777" w:rsidTr="00E60293">
        <w:tc>
          <w:tcPr>
            <w:tcW w:w="1845" w:type="pct"/>
          </w:tcPr>
          <w:p w14:paraId="4C9D8D82" w14:textId="77777777" w:rsidR="004B597E" w:rsidRPr="00707AD6" w:rsidRDefault="004B597E" w:rsidP="00E60293">
            <w:pPr>
              <w:rPr>
                <w:b/>
                <w:bCs/>
                <w:lang w:val="en-US"/>
              </w:rPr>
            </w:pPr>
            <w:r w:rsidRPr="00707AD6">
              <w:rPr>
                <w:b/>
                <w:bCs/>
                <w:lang w:val="en-US"/>
              </w:rPr>
              <w:t>Impact category</w:t>
            </w:r>
          </w:p>
        </w:tc>
        <w:tc>
          <w:tcPr>
            <w:tcW w:w="1279" w:type="pct"/>
          </w:tcPr>
          <w:p w14:paraId="534A9E66" w14:textId="77777777" w:rsidR="004B597E" w:rsidRPr="00707AD6" w:rsidRDefault="004B597E" w:rsidP="00E60293">
            <w:pPr>
              <w:rPr>
                <w:b/>
                <w:bCs/>
                <w:lang w:val="en-US"/>
              </w:rPr>
            </w:pPr>
            <w:r w:rsidRPr="00707AD6">
              <w:rPr>
                <w:b/>
                <w:bCs/>
                <w:lang w:val="en-US"/>
              </w:rPr>
              <w:t>Original system</w:t>
            </w:r>
          </w:p>
        </w:tc>
        <w:tc>
          <w:tcPr>
            <w:tcW w:w="1281" w:type="pct"/>
          </w:tcPr>
          <w:p w14:paraId="70AB97A7" w14:textId="3B600F3F" w:rsidR="004B597E" w:rsidRPr="00707AD6" w:rsidRDefault="004B597E" w:rsidP="00E60293">
            <w:pPr>
              <w:jc w:val="left"/>
              <w:rPr>
                <w:b/>
                <w:bCs/>
                <w:lang w:val="en-US"/>
              </w:rPr>
            </w:pPr>
            <w:r w:rsidRPr="00707AD6">
              <w:rPr>
                <w:b/>
                <w:bCs/>
                <w:lang w:val="en-US"/>
              </w:rPr>
              <w:t xml:space="preserve">System </w:t>
            </w:r>
            <w:r>
              <w:rPr>
                <w:b/>
                <w:bCs/>
                <w:lang w:val="en-US"/>
              </w:rPr>
              <w:t>using minimum price</w:t>
            </w:r>
          </w:p>
        </w:tc>
        <w:tc>
          <w:tcPr>
            <w:tcW w:w="595" w:type="pct"/>
          </w:tcPr>
          <w:p w14:paraId="01E5D164" w14:textId="77777777" w:rsidR="004B597E" w:rsidRPr="00707AD6" w:rsidRDefault="004B597E" w:rsidP="00E60293">
            <w:pPr>
              <w:rPr>
                <w:b/>
                <w:bCs/>
                <w:lang w:val="en-US"/>
              </w:rPr>
            </w:pPr>
            <w:r w:rsidRPr="00707AD6">
              <w:rPr>
                <w:b/>
                <w:bCs/>
                <w:lang w:val="en-US"/>
              </w:rPr>
              <w:t xml:space="preserve">% </w:t>
            </w:r>
            <w:proofErr w:type="gramStart"/>
            <w:r w:rsidRPr="00707AD6">
              <w:rPr>
                <w:b/>
                <w:bCs/>
                <w:lang w:val="en-US"/>
              </w:rPr>
              <w:t>change</w:t>
            </w:r>
            <w:proofErr w:type="gramEnd"/>
          </w:p>
        </w:tc>
      </w:tr>
      <w:tr w:rsidR="004B597E" w14:paraId="26BB9633" w14:textId="77777777" w:rsidTr="00E60293">
        <w:tc>
          <w:tcPr>
            <w:tcW w:w="1845" w:type="pct"/>
          </w:tcPr>
          <w:p w14:paraId="26F567E5" w14:textId="77777777" w:rsidR="004B597E" w:rsidRPr="005E304B" w:rsidRDefault="004B597E" w:rsidP="00E60293">
            <w:pPr>
              <w:rPr>
                <w:i/>
                <w:iCs/>
                <w:lang w:val="en-US"/>
              </w:rPr>
            </w:pPr>
            <w:r w:rsidRPr="005E304B">
              <w:rPr>
                <w:i/>
                <w:iCs/>
                <w:lang w:val="en-US"/>
              </w:rPr>
              <w:t>Indicator results</w:t>
            </w:r>
          </w:p>
        </w:tc>
        <w:tc>
          <w:tcPr>
            <w:tcW w:w="1279" w:type="pct"/>
          </w:tcPr>
          <w:p w14:paraId="2F9F713E" w14:textId="77777777" w:rsidR="004B597E" w:rsidRDefault="004B597E" w:rsidP="00E60293"/>
        </w:tc>
        <w:tc>
          <w:tcPr>
            <w:tcW w:w="1281" w:type="pct"/>
          </w:tcPr>
          <w:p w14:paraId="12C82215" w14:textId="77777777" w:rsidR="004B597E" w:rsidRDefault="004B597E" w:rsidP="00E60293"/>
        </w:tc>
        <w:tc>
          <w:tcPr>
            <w:tcW w:w="595" w:type="pct"/>
          </w:tcPr>
          <w:p w14:paraId="22D028D7" w14:textId="77777777" w:rsidR="004B597E" w:rsidRDefault="004B597E" w:rsidP="00E60293"/>
        </w:tc>
      </w:tr>
      <w:tr w:rsidR="004B597E" w14:paraId="6E9A20B8" w14:textId="77777777" w:rsidTr="00E60293">
        <w:tc>
          <w:tcPr>
            <w:tcW w:w="1845" w:type="pct"/>
          </w:tcPr>
          <w:p w14:paraId="057DF10E" w14:textId="77777777" w:rsidR="004B597E" w:rsidRPr="00960181" w:rsidRDefault="004B597E" w:rsidP="00E60293">
            <w:pPr>
              <w:rPr>
                <w:lang w:val="en-US"/>
              </w:rPr>
            </w:pPr>
            <w:r>
              <w:rPr>
                <w:lang w:val="en-US"/>
              </w:rPr>
              <w:t>Climate change</w:t>
            </w:r>
          </w:p>
        </w:tc>
        <w:tc>
          <w:tcPr>
            <w:tcW w:w="1279" w:type="pct"/>
          </w:tcPr>
          <w:p w14:paraId="4B956759" w14:textId="77777777" w:rsidR="004B597E" w:rsidRPr="00960181" w:rsidRDefault="004B597E" w:rsidP="00E60293">
            <w:pPr>
              <w:rPr>
                <w:lang w:val="en-US"/>
              </w:rPr>
            </w:pPr>
            <w:r>
              <w:rPr>
                <w:lang w:val="en-US"/>
              </w:rPr>
              <w:t>7,87E+01 kg CO</w:t>
            </w:r>
            <w:r w:rsidRPr="00960181">
              <w:rPr>
                <w:lang w:val="en-US"/>
              </w:rPr>
              <w:t>2</w:t>
            </w:r>
            <w:r>
              <w:rPr>
                <w:vertAlign w:val="subscript"/>
                <w:lang w:val="en-US"/>
              </w:rPr>
              <w:t xml:space="preserve"> </w:t>
            </w:r>
            <w:r w:rsidRPr="00960181">
              <w:rPr>
                <w:lang w:val="en-US"/>
              </w:rPr>
              <w:t>eq</w:t>
            </w:r>
          </w:p>
        </w:tc>
        <w:tc>
          <w:tcPr>
            <w:tcW w:w="1281" w:type="pct"/>
          </w:tcPr>
          <w:p w14:paraId="3DAAA330" w14:textId="06EEB086" w:rsidR="004B597E" w:rsidRDefault="004B597E" w:rsidP="00E60293">
            <w:pPr>
              <w:rPr>
                <w:lang w:val="en-US"/>
              </w:rPr>
            </w:pPr>
            <w:r>
              <w:rPr>
                <w:lang w:val="en-US"/>
              </w:rPr>
              <w:t>1,87E+01 kg CO</w:t>
            </w:r>
            <w:r w:rsidRPr="00960181">
              <w:rPr>
                <w:lang w:val="en-US"/>
              </w:rPr>
              <w:t>2</w:t>
            </w:r>
            <w:r>
              <w:rPr>
                <w:vertAlign w:val="subscript"/>
                <w:lang w:val="en-US"/>
              </w:rPr>
              <w:t xml:space="preserve"> </w:t>
            </w:r>
            <w:r w:rsidRPr="00960181">
              <w:rPr>
                <w:lang w:val="en-US"/>
              </w:rPr>
              <w:t>eq</w:t>
            </w:r>
          </w:p>
        </w:tc>
        <w:tc>
          <w:tcPr>
            <w:tcW w:w="595" w:type="pct"/>
          </w:tcPr>
          <w:p w14:paraId="56434AD1" w14:textId="4477DB71" w:rsidR="004B597E" w:rsidRDefault="004B597E" w:rsidP="00E60293">
            <w:pPr>
              <w:rPr>
                <w:lang w:val="en-US"/>
              </w:rPr>
            </w:pPr>
            <w:r>
              <w:rPr>
                <w:lang w:val="en-US"/>
              </w:rPr>
              <w:t>-76</w:t>
            </w:r>
          </w:p>
        </w:tc>
      </w:tr>
      <w:tr w:rsidR="004B597E" w14:paraId="13B0D2BC" w14:textId="77777777" w:rsidTr="00E60293">
        <w:tc>
          <w:tcPr>
            <w:tcW w:w="1845" w:type="pct"/>
          </w:tcPr>
          <w:p w14:paraId="29E62928" w14:textId="77777777" w:rsidR="004B597E" w:rsidRPr="00960181" w:rsidRDefault="004B597E" w:rsidP="00E60293">
            <w:pPr>
              <w:rPr>
                <w:lang w:val="en-US"/>
              </w:rPr>
            </w:pPr>
            <w:r>
              <w:rPr>
                <w:lang w:val="en-US"/>
              </w:rPr>
              <w:t>Freshwater and terrestrial acidification</w:t>
            </w:r>
          </w:p>
        </w:tc>
        <w:tc>
          <w:tcPr>
            <w:tcW w:w="1279" w:type="pct"/>
          </w:tcPr>
          <w:p w14:paraId="7DC5B62C" w14:textId="77777777" w:rsidR="004B597E" w:rsidRPr="00960181" w:rsidRDefault="004B597E" w:rsidP="00E60293">
            <w:pPr>
              <w:rPr>
                <w:lang w:val="en-US"/>
              </w:rPr>
            </w:pPr>
            <w:r>
              <w:rPr>
                <w:lang w:val="en-US"/>
              </w:rPr>
              <w:t>7,67E-01 mol H+ eq</w:t>
            </w:r>
          </w:p>
        </w:tc>
        <w:tc>
          <w:tcPr>
            <w:tcW w:w="1281" w:type="pct"/>
          </w:tcPr>
          <w:p w14:paraId="24EAC39A" w14:textId="4AC07822" w:rsidR="004B597E" w:rsidRDefault="004B597E" w:rsidP="00E60293">
            <w:pPr>
              <w:rPr>
                <w:lang w:val="en-US"/>
              </w:rPr>
            </w:pPr>
            <w:r>
              <w:rPr>
                <w:lang w:val="en-US"/>
              </w:rPr>
              <w:t>4,51E-02 mol H+ eq</w:t>
            </w:r>
          </w:p>
        </w:tc>
        <w:tc>
          <w:tcPr>
            <w:tcW w:w="595" w:type="pct"/>
          </w:tcPr>
          <w:p w14:paraId="5D5EAA1C" w14:textId="624AC2D9" w:rsidR="004B597E" w:rsidRDefault="004B597E" w:rsidP="00E60293">
            <w:pPr>
              <w:rPr>
                <w:lang w:val="en-US"/>
              </w:rPr>
            </w:pPr>
            <w:r>
              <w:rPr>
                <w:lang w:val="en-US"/>
              </w:rPr>
              <w:t>-94</w:t>
            </w:r>
          </w:p>
        </w:tc>
      </w:tr>
      <w:tr w:rsidR="004B597E" w14:paraId="0B41251B" w14:textId="77777777" w:rsidTr="00E60293">
        <w:tc>
          <w:tcPr>
            <w:tcW w:w="1845" w:type="pct"/>
          </w:tcPr>
          <w:p w14:paraId="0191329E" w14:textId="77777777" w:rsidR="004B597E" w:rsidRPr="00960181" w:rsidRDefault="004B597E" w:rsidP="00E60293">
            <w:pPr>
              <w:rPr>
                <w:lang w:val="en-US"/>
              </w:rPr>
            </w:pPr>
            <w:r>
              <w:rPr>
                <w:lang w:val="en-US"/>
              </w:rPr>
              <w:t>Freshwater ecotoxicity</w:t>
            </w:r>
          </w:p>
        </w:tc>
        <w:tc>
          <w:tcPr>
            <w:tcW w:w="1279" w:type="pct"/>
          </w:tcPr>
          <w:p w14:paraId="3A4F9357" w14:textId="77777777" w:rsidR="004B597E" w:rsidRPr="00960181" w:rsidRDefault="004B597E" w:rsidP="00E60293">
            <w:pPr>
              <w:rPr>
                <w:lang w:val="en-US"/>
              </w:rPr>
            </w:pPr>
            <w:r>
              <w:rPr>
                <w:lang w:val="en-US"/>
              </w:rPr>
              <w:t>3,17E+01 CTU</w:t>
            </w:r>
          </w:p>
        </w:tc>
        <w:tc>
          <w:tcPr>
            <w:tcW w:w="1281" w:type="pct"/>
          </w:tcPr>
          <w:p w14:paraId="19D45670" w14:textId="25C5FBA2" w:rsidR="004B597E" w:rsidRDefault="004B597E" w:rsidP="00E60293">
            <w:pPr>
              <w:rPr>
                <w:lang w:val="en-US"/>
              </w:rPr>
            </w:pPr>
            <w:r>
              <w:rPr>
                <w:lang w:val="en-US"/>
              </w:rPr>
              <w:t>2,75E+00 CTU</w:t>
            </w:r>
          </w:p>
        </w:tc>
        <w:tc>
          <w:tcPr>
            <w:tcW w:w="595" w:type="pct"/>
          </w:tcPr>
          <w:p w14:paraId="0204BFDD" w14:textId="45C56263" w:rsidR="004B597E" w:rsidRDefault="004B597E" w:rsidP="00E60293">
            <w:pPr>
              <w:rPr>
                <w:lang w:val="en-US"/>
              </w:rPr>
            </w:pPr>
            <w:r>
              <w:rPr>
                <w:lang w:val="en-US"/>
              </w:rPr>
              <w:t>-91</w:t>
            </w:r>
          </w:p>
        </w:tc>
      </w:tr>
      <w:tr w:rsidR="004B597E" w14:paraId="6A4C5E6A" w14:textId="77777777" w:rsidTr="00E60293">
        <w:tc>
          <w:tcPr>
            <w:tcW w:w="1845" w:type="pct"/>
          </w:tcPr>
          <w:p w14:paraId="5D39298B" w14:textId="77777777" w:rsidR="004B597E" w:rsidRPr="00960181" w:rsidRDefault="004B597E" w:rsidP="00E60293">
            <w:pPr>
              <w:rPr>
                <w:lang w:val="en-US"/>
              </w:rPr>
            </w:pPr>
            <w:r>
              <w:rPr>
                <w:lang w:val="en-US"/>
              </w:rPr>
              <w:t>Freshwater eutrophication</w:t>
            </w:r>
          </w:p>
        </w:tc>
        <w:tc>
          <w:tcPr>
            <w:tcW w:w="1279" w:type="pct"/>
          </w:tcPr>
          <w:p w14:paraId="74FB94D2" w14:textId="77777777" w:rsidR="004B597E" w:rsidRPr="00960181" w:rsidRDefault="004B597E" w:rsidP="00E60293">
            <w:pPr>
              <w:rPr>
                <w:lang w:val="en-US"/>
              </w:rPr>
            </w:pPr>
            <w:r>
              <w:rPr>
                <w:lang w:val="en-US"/>
              </w:rPr>
              <w:t>1,45E-02 kg P eq</w:t>
            </w:r>
          </w:p>
        </w:tc>
        <w:tc>
          <w:tcPr>
            <w:tcW w:w="1281" w:type="pct"/>
          </w:tcPr>
          <w:p w14:paraId="72893D50" w14:textId="684A4687" w:rsidR="004B597E" w:rsidRDefault="004B597E" w:rsidP="00E60293">
            <w:pPr>
              <w:rPr>
                <w:lang w:val="en-US"/>
              </w:rPr>
            </w:pPr>
            <w:r>
              <w:rPr>
                <w:lang w:val="en-US"/>
              </w:rPr>
              <w:t>3,45E-03 kg P eq</w:t>
            </w:r>
          </w:p>
        </w:tc>
        <w:tc>
          <w:tcPr>
            <w:tcW w:w="595" w:type="pct"/>
          </w:tcPr>
          <w:p w14:paraId="16021E2D" w14:textId="605B4EE8" w:rsidR="004B597E" w:rsidRDefault="004B597E" w:rsidP="00E60293">
            <w:pPr>
              <w:rPr>
                <w:lang w:val="en-US"/>
              </w:rPr>
            </w:pPr>
            <w:r>
              <w:rPr>
                <w:lang w:val="en-US"/>
              </w:rPr>
              <w:t>-76</w:t>
            </w:r>
          </w:p>
        </w:tc>
      </w:tr>
      <w:tr w:rsidR="004B597E" w14:paraId="7E19372F" w14:textId="77777777" w:rsidTr="00E60293">
        <w:tc>
          <w:tcPr>
            <w:tcW w:w="1845" w:type="pct"/>
          </w:tcPr>
          <w:p w14:paraId="0ECEFFF2" w14:textId="77777777" w:rsidR="004B597E" w:rsidRPr="00960181" w:rsidRDefault="004B597E" w:rsidP="00E60293">
            <w:pPr>
              <w:rPr>
                <w:lang w:val="en-US"/>
              </w:rPr>
            </w:pPr>
            <w:r>
              <w:rPr>
                <w:lang w:val="en-US"/>
              </w:rPr>
              <w:t>Marine eutrophication</w:t>
            </w:r>
          </w:p>
        </w:tc>
        <w:tc>
          <w:tcPr>
            <w:tcW w:w="1279" w:type="pct"/>
          </w:tcPr>
          <w:p w14:paraId="363DAEEC" w14:textId="77777777" w:rsidR="004B597E" w:rsidRPr="00960181" w:rsidRDefault="004B597E" w:rsidP="00E60293">
            <w:pPr>
              <w:rPr>
                <w:lang w:val="en-US"/>
              </w:rPr>
            </w:pPr>
            <w:r>
              <w:rPr>
                <w:lang w:val="en-US"/>
              </w:rPr>
              <w:t>2,29E-01 kg N eq</w:t>
            </w:r>
          </w:p>
        </w:tc>
        <w:tc>
          <w:tcPr>
            <w:tcW w:w="1281" w:type="pct"/>
          </w:tcPr>
          <w:p w14:paraId="776C5C90" w14:textId="0D459A55" w:rsidR="004B597E" w:rsidRDefault="004B597E" w:rsidP="00E60293">
            <w:pPr>
              <w:rPr>
                <w:lang w:val="en-US"/>
              </w:rPr>
            </w:pPr>
            <w:r>
              <w:rPr>
                <w:lang w:val="en-US"/>
              </w:rPr>
              <w:t>9,28E-03 kg N eq</w:t>
            </w:r>
          </w:p>
        </w:tc>
        <w:tc>
          <w:tcPr>
            <w:tcW w:w="595" w:type="pct"/>
          </w:tcPr>
          <w:p w14:paraId="1327EF6F" w14:textId="3878523C" w:rsidR="004B597E" w:rsidRDefault="004B597E" w:rsidP="00E60293">
            <w:pPr>
              <w:rPr>
                <w:lang w:val="en-US"/>
              </w:rPr>
            </w:pPr>
            <w:r>
              <w:rPr>
                <w:lang w:val="en-US"/>
              </w:rPr>
              <w:t>-96</w:t>
            </w:r>
          </w:p>
        </w:tc>
      </w:tr>
      <w:tr w:rsidR="004B597E" w14:paraId="303E153C" w14:textId="77777777" w:rsidTr="00E60293">
        <w:tc>
          <w:tcPr>
            <w:tcW w:w="1845" w:type="pct"/>
          </w:tcPr>
          <w:p w14:paraId="2866F951" w14:textId="77777777" w:rsidR="004B597E" w:rsidRPr="00960181" w:rsidRDefault="004B597E" w:rsidP="00E60293">
            <w:pPr>
              <w:rPr>
                <w:lang w:val="en-US"/>
              </w:rPr>
            </w:pPr>
            <w:r>
              <w:rPr>
                <w:lang w:val="en-US"/>
              </w:rPr>
              <w:t>Terrestrial eutrophication</w:t>
            </w:r>
          </w:p>
        </w:tc>
        <w:tc>
          <w:tcPr>
            <w:tcW w:w="1279" w:type="pct"/>
          </w:tcPr>
          <w:p w14:paraId="117759FE" w14:textId="77777777" w:rsidR="004B597E" w:rsidRPr="00960181" w:rsidRDefault="004B597E" w:rsidP="00E60293">
            <w:pPr>
              <w:rPr>
                <w:lang w:val="en-US"/>
              </w:rPr>
            </w:pPr>
            <w:r>
              <w:rPr>
                <w:lang w:val="en-US"/>
              </w:rPr>
              <w:t>2,61E+00 mol N eq</w:t>
            </w:r>
          </w:p>
        </w:tc>
        <w:tc>
          <w:tcPr>
            <w:tcW w:w="1281" w:type="pct"/>
          </w:tcPr>
          <w:p w14:paraId="2AC41647" w14:textId="12AD8FF8" w:rsidR="004B597E" w:rsidRDefault="004B597E" w:rsidP="00E60293">
            <w:pPr>
              <w:rPr>
                <w:lang w:val="en-US"/>
              </w:rPr>
            </w:pPr>
            <w:r>
              <w:rPr>
                <w:lang w:val="en-US"/>
              </w:rPr>
              <w:t>9,50E-02 mol N eq</w:t>
            </w:r>
          </w:p>
        </w:tc>
        <w:tc>
          <w:tcPr>
            <w:tcW w:w="595" w:type="pct"/>
          </w:tcPr>
          <w:p w14:paraId="3F9773B1" w14:textId="3D956E8C" w:rsidR="004B597E" w:rsidRDefault="004B597E" w:rsidP="00E60293">
            <w:pPr>
              <w:rPr>
                <w:lang w:val="en-US"/>
              </w:rPr>
            </w:pPr>
            <w:r>
              <w:rPr>
                <w:lang w:val="en-US"/>
              </w:rPr>
              <w:t>-96</w:t>
            </w:r>
          </w:p>
        </w:tc>
      </w:tr>
      <w:tr w:rsidR="004B597E" w14:paraId="52A42AB1" w14:textId="77777777" w:rsidTr="00E60293">
        <w:tc>
          <w:tcPr>
            <w:tcW w:w="1845" w:type="pct"/>
          </w:tcPr>
          <w:p w14:paraId="58C160A8" w14:textId="77777777" w:rsidR="004B597E" w:rsidRPr="00960181" w:rsidRDefault="004B597E" w:rsidP="00E60293">
            <w:pPr>
              <w:rPr>
                <w:lang w:val="en-US"/>
              </w:rPr>
            </w:pPr>
            <w:r>
              <w:rPr>
                <w:lang w:val="en-US"/>
              </w:rPr>
              <w:t>Human health carcinogenic effects</w:t>
            </w:r>
          </w:p>
        </w:tc>
        <w:tc>
          <w:tcPr>
            <w:tcW w:w="1279" w:type="pct"/>
          </w:tcPr>
          <w:p w14:paraId="0DA60046" w14:textId="77777777" w:rsidR="004B597E" w:rsidRPr="00960181" w:rsidRDefault="004B597E" w:rsidP="00E60293">
            <w:pPr>
              <w:rPr>
                <w:lang w:val="en-US"/>
              </w:rPr>
            </w:pPr>
            <w:r>
              <w:rPr>
                <w:lang w:val="en-US"/>
              </w:rPr>
              <w:t xml:space="preserve">5,20E-07 </w:t>
            </w:r>
            <w:proofErr w:type="spellStart"/>
            <w:r>
              <w:rPr>
                <w:lang w:val="en-US"/>
              </w:rPr>
              <w:t>CTUh</w:t>
            </w:r>
            <w:proofErr w:type="spellEnd"/>
          </w:p>
        </w:tc>
        <w:tc>
          <w:tcPr>
            <w:tcW w:w="1281" w:type="pct"/>
          </w:tcPr>
          <w:p w14:paraId="34653ED8" w14:textId="3CBFBF0A" w:rsidR="004B597E" w:rsidRDefault="004B597E" w:rsidP="00E60293">
            <w:pPr>
              <w:rPr>
                <w:lang w:val="en-US"/>
              </w:rPr>
            </w:pPr>
            <w:r>
              <w:rPr>
                <w:lang w:val="en-US"/>
              </w:rPr>
              <w:t xml:space="preserve">7,59E-08 </w:t>
            </w:r>
            <w:proofErr w:type="spellStart"/>
            <w:r>
              <w:rPr>
                <w:lang w:val="en-US"/>
              </w:rPr>
              <w:t>CTUh</w:t>
            </w:r>
            <w:proofErr w:type="spellEnd"/>
          </w:p>
        </w:tc>
        <w:tc>
          <w:tcPr>
            <w:tcW w:w="595" w:type="pct"/>
          </w:tcPr>
          <w:p w14:paraId="2B28ADE6" w14:textId="33CD61D3" w:rsidR="004B597E" w:rsidRDefault="004B597E" w:rsidP="00E60293">
            <w:pPr>
              <w:rPr>
                <w:lang w:val="en-US"/>
              </w:rPr>
            </w:pPr>
            <w:r>
              <w:rPr>
                <w:lang w:val="en-US"/>
              </w:rPr>
              <w:t>-85</w:t>
            </w:r>
          </w:p>
        </w:tc>
      </w:tr>
      <w:tr w:rsidR="004B597E" w14:paraId="73FED606" w14:textId="77777777" w:rsidTr="00E60293">
        <w:tc>
          <w:tcPr>
            <w:tcW w:w="1845" w:type="pct"/>
          </w:tcPr>
          <w:p w14:paraId="7F06B5D8" w14:textId="77777777" w:rsidR="004B597E" w:rsidRDefault="004B597E" w:rsidP="00E60293">
            <w:r>
              <w:rPr>
                <w:lang w:val="en-US"/>
              </w:rPr>
              <w:t>Human health non-carcinogenic effects</w:t>
            </w:r>
          </w:p>
        </w:tc>
        <w:tc>
          <w:tcPr>
            <w:tcW w:w="1279" w:type="pct"/>
          </w:tcPr>
          <w:p w14:paraId="3F7B0EBD" w14:textId="77777777" w:rsidR="004B597E" w:rsidRPr="00960181" w:rsidRDefault="004B597E" w:rsidP="00E60293">
            <w:pPr>
              <w:rPr>
                <w:lang w:val="en-US"/>
              </w:rPr>
            </w:pPr>
            <w:r>
              <w:rPr>
                <w:lang w:val="en-US"/>
              </w:rPr>
              <w:t xml:space="preserve">5,31E-06 </w:t>
            </w:r>
            <w:proofErr w:type="spellStart"/>
            <w:r>
              <w:rPr>
                <w:lang w:val="en-US"/>
              </w:rPr>
              <w:t>CTUh</w:t>
            </w:r>
            <w:proofErr w:type="spellEnd"/>
          </w:p>
        </w:tc>
        <w:tc>
          <w:tcPr>
            <w:tcW w:w="1281" w:type="pct"/>
          </w:tcPr>
          <w:p w14:paraId="6EF13875" w14:textId="38B78D15" w:rsidR="004B597E" w:rsidRDefault="004B597E" w:rsidP="00E60293">
            <w:pPr>
              <w:rPr>
                <w:lang w:val="en-US"/>
              </w:rPr>
            </w:pPr>
            <w:r>
              <w:rPr>
                <w:lang w:val="en-US"/>
              </w:rPr>
              <w:t xml:space="preserve">8,05E-07 </w:t>
            </w:r>
            <w:proofErr w:type="spellStart"/>
            <w:r>
              <w:rPr>
                <w:lang w:val="en-US"/>
              </w:rPr>
              <w:t>CTUh</w:t>
            </w:r>
            <w:proofErr w:type="spellEnd"/>
          </w:p>
        </w:tc>
        <w:tc>
          <w:tcPr>
            <w:tcW w:w="595" w:type="pct"/>
          </w:tcPr>
          <w:p w14:paraId="370FCB81" w14:textId="749725E1" w:rsidR="004B597E" w:rsidRDefault="004B597E" w:rsidP="00E60293">
            <w:pPr>
              <w:rPr>
                <w:lang w:val="en-US"/>
              </w:rPr>
            </w:pPr>
            <w:r>
              <w:rPr>
                <w:lang w:val="en-US"/>
              </w:rPr>
              <w:t>-85</w:t>
            </w:r>
          </w:p>
        </w:tc>
      </w:tr>
      <w:tr w:rsidR="004B597E" w14:paraId="63A43E9D" w14:textId="77777777" w:rsidTr="00E60293">
        <w:tc>
          <w:tcPr>
            <w:tcW w:w="1845" w:type="pct"/>
          </w:tcPr>
          <w:p w14:paraId="12658CEF" w14:textId="77777777" w:rsidR="004B597E" w:rsidRPr="00960181" w:rsidRDefault="004B597E" w:rsidP="00E60293">
            <w:pPr>
              <w:rPr>
                <w:lang w:val="en-US"/>
              </w:rPr>
            </w:pPr>
            <w:r>
              <w:rPr>
                <w:lang w:val="en-US"/>
              </w:rPr>
              <w:t>Ozone layer depletion</w:t>
            </w:r>
          </w:p>
        </w:tc>
        <w:tc>
          <w:tcPr>
            <w:tcW w:w="1279" w:type="pct"/>
          </w:tcPr>
          <w:p w14:paraId="5CDC5DE7" w14:textId="77777777" w:rsidR="004B597E" w:rsidRPr="00960181" w:rsidRDefault="004B597E" w:rsidP="00E60293">
            <w:pPr>
              <w:rPr>
                <w:lang w:val="en-US"/>
              </w:rPr>
            </w:pPr>
            <w:r>
              <w:rPr>
                <w:lang w:val="en-US"/>
              </w:rPr>
              <w:t>8,05E-06 kg CFC-11</w:t>
            </w:r>
          </w:p>
        </w:tc>
        <w:tc>
          <w:tcPr>
            <w:tcW w:w="1281" w:type="pct"/>
          </w:tcPr>
          <w:p w14:paraId="0D0B3FC9" w14:textId="01B830C3" w:rsidR="004B597E" w:rsidRDefault="004B597E" w:rsidP="00E60293">
            <w:pPr>
              <w:rPr>
                <w:lang w:val="en-US"/>
              </w:rPr>
            </w:pPr>
            <w:r>
              <w:rPr>
                <w:lang w:val="en-US"/>
              </w:rPr>
              <w:t>1,40E-06 kg CFC-11</w:t>
            </w:r>
          </w:p>
        </w:tc>
        <w:tc>
          <w:tcPr>
            <w:tcW w:w="595" w:type="pct"/>
          </w:tcPr>
          <w:p w14:paraId="039AC5D5" w14:textId="6470F472" w:rsidR="004B597E" w:rsidRDefault="004B597E" w:rsidP="00E60293">
            <w:pPr>
              <w:rPr>
                <w:lang w:val="en-US"/>
              </w:rPr>
            </w:pPr>
            <w:r>
              <w:rPr>
                <w:lang w:val="en-US"/>
              </w:rPr>
              <w:t>-83</w:t>
            </w:r>
          </w:p>
        </w:tc>
      </w:tr>
      <w:tr w:rsidR="004B597E" w14:paraId="080C9353" w14:textId="77777777" w:rsidTr="00E60293">
        <w:tc>
          <w:tcPr>
            <w:tcW w:w="1845" w:type="pct"/>
          </w:tcPr>
          <w:p w14:paraId="2F02FCC1" w14:textId="77777777" w:rsidR="004B597E" w:rsidRPr="00960181" w:rsidRDefault="004B597E" w:rsidP="00E60293">
            <w:pPr>
              <w:rPr>
                <w:lang w:val="en-US"/>
              </w:rPr>
            </w:pPr>
            <w:r>
              <w:rPr>
                <w:lang w:val="en-US"/>
              </w:rPr>
              <w:t>Photochemical ozone creation</w:t>
            </w:r>
          </w:p>
        </w:tc>
        <w:tc>
          <w:tcPr>
            <w:tcW w:w="1279" w:type="pct"/>
          </w:tcPr>
          <w:p w14:paraId="20A74B49" w14:textId="77777777" w:rsidR="004B597E" w:rsidRPr="00960181" w:rsidRDefault="004B597E" w:rsidP="00E60293">
            <w:pPr>
              <w:rPr>
                <w:lang w:val="en-US"/>
              </w:rPr>
            </w:pPr>
            <w:r>
              <w:rPr>
                <w:lang w:val="en-US"/>
              </w:rPr>
              <w:t>6,43E-01 kg NMVOC-</w:t>
            </w:r>
          </w:p>
        </w:tc>
        <w:tc>
          <w:tcPr>
            <w:tcW w:w="1281" w:type="pct"/>
          </w:tcPr>
          <w:p w14:paraId="4CFFFAD2" w14:textId="415566EF" w:rsidR="004B597E" w:rsidRDefault="004B597E" w:rsidP="00E60293">
            <w:pPr>
              <w:rPr>
                <w:lang w:val="en-US"/>
              </w:rPr>
            </w:pPr>
            <w:r>
              <w:rPr>
                <w:lang w:val="en-US"/>
              </w:rPr>
              <w:t>2,73E-02 kg NMVOC-</w:t>
            </w:r>
          </w:p>
        </w:tc>
        <w:tc>
          <w:tcPr>
            <w:tcW w:w="595" w:type="pct"/>
          </w:tcPr>
          <w:p w14:paraId="13463930" w14:textId="66534AC8" w:rsidR="004B597E" w:rsidRDefault="004B597E" w:rsidP="00E60293">
            <w:pPr>
              <w:rPr>
                <w:lang w:val="en-US"/>
              </w:rPr>
            </w:pPr>
            <w:r>
              <w:rPr>
                <w:lang w:val="en-US"/>
              </w:rPr>
              <w:t>-96</w:t>
            </w:r>
          </w:p>
        </w:tc>
      </w:tr>
      <w:tr w:rsidR="004B597E" w14:paraId="35F34ADF" w14:textId="77777777" w:rsidTr="00E60293">
        <w:tc>
          <w:tcPr>
            <w:tcW w:w="1845" w:type="pct"/>
          </w:tcPr>
          <w:p w14:paraId="657C830F" w14:textId="77777777" w:rsidR="004B597E" w:rsidRPr="00BD4A1F" w:rsidRDefault="004B597E" w:rsidP="00E60293">
            <w:pPr>
              <w:rPr>
                <w:i/>
                <w:iCs/>
                <w:lang w:val="en-US"/>
              </w:rPr>
            </w:pPr>
            <w:r>
              <w:rPr>
                <w:i/>
                <w:iCs/>
                <w:lang w:val="en-US"/>
              </w:rPr>
              <w:t>Economic outflows not followed to system boundary</w:t>
            </w:r>
          </w:p>
        </w:tc>
        <w:tc>
          <w:tcPr>
            <w:tcW w:w="1279" w:type="pct"/>
          </w:tcPr>
          <w:p w14:paraId="74BCC138" w14:textId="77777777" w:rsidR="004B597E" w:rsidRDefault="004B597E" w:rsidP="00E60293">
            <w:pPr>
              <w:rPr>
                <w:lang w:val="en-US"/>
              </w:rPr>
            </w:pPr>
          </w:p>
        </w:tc>
        <w:tc>
          <w:tcPr>
            <w:tcW w:w="1281" w:type="pct"/>
          </w:tcPr>
          <w:p w14:paraId="084D7B55" w14:textId="77777777" w:rsidR="004B597E" w:rsidRDefault="004B597E" w:rsidP="00E60293">
            <w:pPr>
              <w:rPr>
                <w:lang w:val="en-US"/>
              </w:rPr>
            </w:pPr>
          </w:p>
        </w:tc>
        <w:tc>
          <w:tcPr>
            <w:tcW w:w="595" w:type="pct"/>
          </w:tcPr>
          <w:p w14:paraId="1F811444" w14:textId="77777777" w:rsidR="004B597E" w:rsidRDefault="004B597E" w:rsidP="00E60293">
            <w:pPr>
              <w:rPr>
                <w:lang w:val="en-US"/>
              </w:rPr>
            </w:pPr>
          </w:p>
        </w:tc>
      </w:tr>
      <w:tr w:rsidR="004B597E" w14:paraId="4F30F146" w14:textId="77777777" w:rsidTr="00E60293">
        <w:tc>
          <w:tcPr>
            <w:tcW w:w="1845" w:type="pct"/>
          </w:tcPr>
          <w:p w14:paraId="518C2281" w14:textId="77777777" w:rsidR="004B597E" w:rsidRDefault="004B597E" w:rsidP="00E60293">
            <w:pPr>
              <w:rPr>
                <w:lang w:val="en-US"/>
              </w:rPr>
            </w:pPr>
            <w:r>
              <w:rPr>
                <w:lang w:val="en-US"/>
              </w:rPr>
              <w:t>Basket of coarse size fractions</w:t>
            </w:r>
          </w:p>
        </w:tc>
        <w:tc>
          <w:tcPr>
            <w:tcW w:w="1279" w:type="pct"/>
          </w:tcPr>
          <w:p w14:paraId="0814925F" w14:textId="77777777" w:rsidR="004B597E" w:rsidRDefault="004B597E" w:rsidP="00E60293">
            <w:pPr>
              <w:rPr>
                <w:lang w:val="en-US"/>
              </w:rPr>
            </w:pPr>
            <w:r>
              <w:rPr>
                <w:lang w:val="en-US"/>
              </w:rPr>
              <w:t>2,01E+05 kg</w:t>
            </w:r>
          </w:p>
        </w:tc>
        <w:tc>
          <w:tcPr>
            <w:tcW w:w="1281" w:type="pct"/>
          </w:tcPr>
          <w:p w14:paraId="18400262" w14:textId="77777777" w:rsidR="004B597E" w:rsidRDefault="004B597E" w:rsidP="00E60293">
            <w:pPr>
              <w:rPr>
                <w:lang w:val="en-US"/>
              </w:rPr>
            </w:pPr>
          </w:p>
        </w:tc>
        <w:tc>
          <w:tcPr>
            <w:tcW w:w="595" w:type="pct"/>
          </w:tcPr>
          <w:p w14:paraId="6AA82218" w14:textId="77777777" w:rsidR="004B597E" w:rsidRDefault="004B597E" w:rsidP="00E60293">
            <w:pPr>
              <w:rPr>
                <w:lang w:val="en-US"/>
              </w:rPr>
            </w:pPr>
          </w:p>
        </w:tc>
      </w:tr>
      <w:tr w:rsidR="004B597E" w14:paraId="6FB0698B" w14:textId="77777777" w:rsidTr="00E60293">
        <w:tc>
          <w:tcPr>
            <w:tcW w:w="1845" w:type="pct"/>
          </w:tcPr>
          <w:p w14:paraId="23A4DC41" w14:textId="77777777" w:rsidR="004B597E" w:rsidRDefault="004B597E" w:rsidP="00E60293">
            <w:pPr>
              <w:rPr>
                <w:lang w:val="en-US"/>
              </w:rPr>
            </w:pPr>
            <w:r>
              <w:rPr>
                <w:lang w:val="en-US"/>
              </w:rPr>
              <w:t>Basket of non-magnetic materials</w:t>
            </w:r>
          </w:p>
        </w:tc>
        <w:tc>
          <w:tcPr>
            <w:tcW w:w="1279" w:type="pct"/>
          </w:tcPr>
          <w:p w14:paraId="06A26A94" w14:textId="77777777" w:rsidR="004B597E" w:rsidRDefault="004B597E" w:rsidP="00E60293">
            <w:pPr>
              <w:rPr>
                <w:lang w:val="en-US"/>
              </w:rPr>
            </w:pPr>
            <w:r>
              <w:rPr>
                <w:lang w:val="en-US"/>
              </w:rPr>
              <w:t>2,95E+03 kg</w:t>
            </w:r>
          </w:p>
        </w:tc>
        <w:tc>
          <w:tcPr>
            <w:tcW w:w="1281" w:type="pct"/>
          </w:tcPr>
          <w:p w14:paraId="1FDF75C0" w14:textId="77777777" w:rsidR="004B597E" w:rsidRDefault="004B597E" w:rsidP="00E60293">
            <w:pPr>
              <w:rPr>
                <w:lang w:val="en-US"/>
              </w:rPr>
            </w:pPr>
          </w:p>
        </w:tc>
        <w:tc>
          <w:tcPr>
            <w:tcW w:w="595" w:type="pct"/>
          </w:tcPr>
          <w:p w14:paraId="5AB51340" w14:textId="77777777" w:rsidR="004B597E" w:rsidRDefault="004B597E" w:rsidP="00E60293">
            <w:pPr>
              <w:rPr>
                <w:lang w:val="en-US"/>
              </w:rPr>
            </w:pPr>
          </w:p>
        </w:tc>
      </w:tr>
      <w:tr w:rsidR="004B597E" w14:paraId="634F9BC6" w14:textId="77777777" w:rsidTr="00E60293">
        <w:tc>
          <w:tcPr>
            <w:tcW w:w="1845" w:type="pct"/>
          </w:tcPr>
          <w:p w14:paraId="5DCDFDE5" w14:textId="77777777" w:rsidR="004B597E" w:rsidRDefault="004B597E" w:rsidP="00E60293">
            <w:pPr>
              <w:rPr>
                <w:lang w:val="en-US"/>
              </w:rPr>
            </w:pPr>
            <w:r>
              <w:rPr>
                <w:lang w:val="en-US"/>
              </w:rPr>
              <w:t>Cake</w:t>
            </w:r>
          </w:p>
        </w:tc>
        <w:tc>
          <w:tcPr>
            <w:tcW w:w="1279" w:type="pct"/>
          </w:tcPr>
          <w:p w14:paraId="42921288" w14:textId="77777777" w:rsidR="004B597E" w:rsidRDefault="004B597E" w:rsidP="00E60293">
            <w:pPr>
              <w:rPr>
                <w:lang w:val="en-US"/>
              </w:rPr>
            </w:pPr>
            <w:r>
              <w:rPr>
                <w:lang w:val="en-US"/>
              </w:rPr>
              <w:t>4,55E+03 kg</w:t>
            </w:r>
          </w:p>
        </w:tc>
        <w:tc>
          <w:tcPr>
            <w:tcW w:w="1281" w:type="pct"/>
          </w:tcPr>
          <w:p w14:paraId="78DDCB29" w14:textId="77777777" w:rsidR="004B597E" w:rsidRDefault="004B597E" w:rsidP="00E60293">
            <w:pPr>
              <w:rPr>
                <w:lang w:val="en-US"/>
              </w:rPr>
            </w:pPr>
          </w:p>
        </w:tc>
        <w:tc>
          <w:tcPr>
            <w:tcW w:w="595" w:type="pct"/>
          </w:tcPr>
          <w:p w14:paraId="6FC7E957" w14:textId="77777777" w:rsidR="004B597E" w:rsidRDefault="004B597E" w:rsidP="00E60293">
            <w:pPr>
              <w:rPr>
                <w:lang w:val="en-US"/>
              </w:rPr>
            </w:pPr>
          </w:p>
        </w:tc>
      </w:tr>
    </w:tbl>
    <w:p w14:paraId="2556F847" w14:textId="77777777" w:rsidR="007A21FD" w:rsidRDefault="007A21FD" w:rsidP="00485208">
      <w:pPr>
        <w:pStyle w:val="Caption"/>
      </w:pPr>
    </w:p>
    <w:p w14:paraId="3ACEE00D" w14:textId="77777777" w:rsidR="00374890" w:rsidRDefault="00374890" w:rsidP="003D49EA">
      <w:pPr>
        <w:pStyle w:val="Caption"/>
      </w:pPr>
    </w:p>
    <w:p w14:paraId="28ACAC97" w14:textId="77777777" w:rsidR="00374890" w:rsidRDefault="00374890" w:rsidP="003D49EA">
      <w:pPr>
        <w:pStyle w:val="Caption"/>
      </w:pPr>
    </w:p>
    <w:p w14:paraId="788AE9C8" w14:textId="77777777" w:rsidR="00374890" w:rsidRDefault="00374890" w:rsidP="003D49EA">
      <w:pPr>
        <w:pStyle w:val="Caption"/>
      </w:pPr>
    </w:p>
    <w:p w14:paraId="659B8810" w14:textId="77777777" w:rsidR="00374890" w:rsidRDefault="00374890" w:rsidP="003D49EA">
      <w:pPr>
        <w:pStyle w:val="Caption"/>
      </w:pPr>
    </w:p>
    <w:p w14:paraId="47A34B6A" w14:textId="77777777" w:rsidR="00374890" w:rsidRDefault="00374890" w:rsidP="003D49EA">
      <w:pPr>
        <w:pStyle w:val="Caption"/>
      </w:pPr>
    </w:p>
    <w:p w14:paraId="253ECA29" w14:textId="1ABFB584" w:rsidR="007A21FD" w:rsidRDefault="007A21FD" w:rsidP="003D49EA">
      <w:pPr>
        <w:pStyle w:val="Caption"/>
        <w:rPr>
          <w:lang w:val="en-US"/>
        </w:rPr>
      </w:pPr>
      <w:r>
        <w:lastRenderedPageBreak/>
        <w:t xml:space="preserve">Table </w:t>
      </w:r>
      <w:r w:rsidR="00BE45E3">
        <w:fldChar w:fldCharType="begin"/>
      </w:r>
      <w:r w:rsidR="00BE45E3">
        <w:instrText xml:space="preserve"> STYLEREF 6 \s </w:instrText>
      </w:r>
      <w:r w:rsidR="00BE45E3">
        <w:fldChar w:fldCharType="separate"/>
      </w:r>
      <w:r>
        <w:rPr>
          <w:noProof/>
        </w:rPr>
        <w:t>E</w:t>
      </w:r>
      <w:r w:rsidR="00BE45E3">
        <w:rPr>
          <w:noProof/>
        </w:rPr>
        <w:fldChar w:fldCharType="end"/>
      </w:r>
      <w:r>
        <w:t>.</w:t>
      </w:r>
      <w:r w:rsidR="00BE45E3">
        <w:fldChar w:fldCharType="begin"/>
      </w:r>
      <w:r w:rsidR="00BE45E3">
        <w:instrText xml:space="preserve"> SEQ Appendix_Table \* ARABIC \s 6 </w:instrText>
      </w:r>
      <w:r w:rsidR="00BE45E3">
        <w:fldChar w:fldCharType="separate"/>
      </w:r>
      <w:r>
        <w:rPr>
          <w:noProof/>
        </w:rPr>
        <w:t>7</w:t>
      </w:r>
      <w:r w:rsidR="00BE45E3">
        <w:rPr>
          <w:noProof/>
        </w:rPr>
        <w:fldChar w:fldCharType="end"/>
      </w:r>
      <w:r>
        <w:rPr>
          <w:lang w:val="en-US"/>
        </w:rPr>
        <w:t xml:space="preserve"> </w:t>
      </w:r>
      <w:r w:rsidRPr="006D6AEE">
        <w:rPr>
          <w:lang w:val="en-US"/>
        </w:rPr>
        <w:t xml:space="preserve">Environmental profile of the product system using </w:t>
      </w:r>
      <w:r>
        <w:rPr>
          <w:lang w:val="en-US"/>
        </w:rPr>
        <w:t>maximum price for compound goods</w:t>
      </w:r>
      <w:r w:rsidRPr="006D6AEE">
        <w:rPr>
          <w:lang w:val="en-US"/>
        </w:rPr>
        <w:t xml:space="preserve">. FU: 1 kg of REO from EOL HDDs’ </w:t>
      </w:r>
      <w:proofErr w:type="spellStart"/>
      <w:r w:rsidRPr="006D6AEE">
        <w:rPr>
          <w:lang w:val="en-US"/>
        </w:rPr>
        <w:t>NdFeB</w:t>
      </w:r>
      <w:proofErr w:type="spellEnd"/>
      <w:r w:rsidRPr="006D6AEE">
        <w:rPr>
          <w:lang w:val="en-US"/>
        </w:rPr>
        <w:t xml:space="preserve"> magnets separated from e-waste at the plant’s gate. Source: author’s table</w:t>
      </w:r>
      <w:r w:rsidR="004B597E">
        <w:rPr>
          <w:lang w:val="en-US"/>
        </w:rPr>
        <w:t>.</w:t>
      </w:r>
    </w:p>
    <w:tbl>
      <w:tblPr>
        <w:tblStyle w:val="TableGrid"/>
        <w:tblW w:w="5000" w:type="pct"/>
        <w:tblCellMar>
          <w:left w:w="28" w:type="dxa"/>
          <w:right w:w="28" w:type="dxa"/>
        </w:tblCellMar>
        <w:tblLook w:val="04A0" w:firstRow="1" w:lastRow="0" w:firstColumn="1" w:lastColumn="0" w:noHBand="0" w:noVBand="1"/>
      </w:tblPr>
      <w:tblGrid>
        <w:gridCol w:w="3343"/>
        <w:gridCol w:w="2318"/>
        <w:gridCol w:w="2321"/>
        <w:gridCol w:w="1078"/>
      </w:tblGrid>
      <w:tr w:rsidR="004B597E" w14:paraId="1055FCC2" w14:textId="77777777" w:rsidTr="00E60293">
        <w:tc>
          <w:tcPr>
            <w:tcW w:w="1845" w:type="pct"/>
          </w:tcPr>
          <w:p w14:paraId="2DF50DB6" w14:textId="77777777" w:rsidR="004B597E" w:rsidRPr="00707AD6" w:rsidRDefault="004B597E" w:rsidP="00E60293">
            <w:pPr>
              <w:rPr>
                <w:b/>
                <w:bCs/>
                <w:lang w:val="en-US"/>
              </w:rPr>
            </w:pPr>
            <w:r w:rsidRPr="00707AD6">
              <w:rPr>
                <w:b/>
                <w:bCs/>
                <w:lang w:val="en-US"/>
              </w:rPr>
              <w:t>Impact category</w:t>
            </w:r>
          </w:p>
        </w:tc>
        <w:tc>
          <w:tcPr>
            <w:tcW w:w="1279" w:type="pct"/>
          </w:tcPr>
          <w:p w14:paraId="2D1BDD87" w14:textId="77777777" w:rsidR="004B597E" w:rsidRPr="00707AD6" w:rsidRDefault="004B597E" w:rsidP="00E60293">
            <w:pPr>
              <w:rPr>
                <w:b/>
                <w:bCs/>
                <w:lang w:val="en-US"/>
              </w:rPr>
            </w:pPr>
            <w:r w:rsidRPr="00707AD6">
              <w:rPr>
                <w:b/>
                <w:bCs/>
                <w:lang w:val="en-US"/>
              </w:rPr>
              <w:t>Original system</w:t>
            </w:r>
          </w:p>
        </w:tc>
        <w:tc>
          <w:tcPr>
            <w:tcW w:w="1281" w:type="pct"/>
          </w:tcPr>
          <w:p w14:paraId="210E58CA" w14:textId="0AED3F8C" w:rsidR="004B597E" w:rsidRPr="00707AD6" w:rsidRDefault="004B597E" w:rsidP="00E60293">
            <w:pPr>
              <w:jc w:val="left"/>
              <w:rPr>
                <w:b/>
                <w:bCs/>
                <w:lang w:val="en-US"/>
              </w:rPr>
            </w:pPr>
            <w:r w:rsidRPr="00707AD6">
              <w:rPr>
                <w:b/>
                <w:bCs/>
                <w:lang w:val="en-US"/>
              </w:rPr>
              <w:t xml:space="preserve">System </w:t>
            </w:r>
            <w:r>
              <w:rPr>
                <w:b/>
                <w:bCs/>
                <w:lang w:val="en-US"/>
              </w:rPr>
              <w:t>using maximum price</w:t>
            </w:r>
          </w:p>
        </w:tc>
        <w:tc>
          <w:tcPr>
            <w:tcW w:w="595" w:type="pct"/>
          </w:tcPr>
          <w:p w14:paraId="3E710191" w14:textId="77777777" w:rsidR="004B597E" w:rsidRPr="00707AD6" w:rsidRDefault="004B597E" w:rsidP="00E60293">
            <w:pPr>
              <w:rPr>
                <w:b/>
                <w:bCs/>
                <w:lang w:val="en-US"/>
              </w:rPr>
            </w:pPr>
            <w:r w:rsidRPr="00707AD6">
              <w:rPr>
                <w:b/>
                <w:bCs/>
                <w:lang w:val="en-US"/>
              </w:rPr>
              <w:t xml:space="preserve">% </w:t>
            </w:r>
            <w:proofErr w:type="gramStart"/>
            <w:r w:rsidRPr="00707AD6">
              <w:rPr>
                <w:b/>
                <w:bCs/>
                <w:lang w:val="en-US"/>
              </w:rPr>
              <w:t>change</w:t>
            </w:r>
            <w:proofErr w:type="gramEnd"/>
          </w:p>
        </w:tc>
      </w:tr>
      <w:tr w:rsidR="004B597E" w14:paraId="31F26FFE" w14:textId="77777777" w:rsidTr="00E60293">
        <w:tc>
          <w:tcPr>
            <w:tcW w:w="1845" w:type="pct"/>
          </w:tcPr>
          <w:p w14:paraId="4DCE533A" w14:textId="77777777" w:rsidR="004B597E" w:rsidRPr="005E304B" w:rsidRDefault="004B597E" w:rsidP="00E60293">
            <w:pPr>
              <w:rPr>
                <w:i/>
                <w:iCs/>
                <w:lang w:val="en-US"/>
              </w:rPr>
            </w:pPr>
            <w:r w:rsidRPr="005E304B">
              <w:rPr>
                <w:i/>
                <w:iCs/>
                <w:lang w:val="en-US"/>
              </w:rPr>
              <w:t>Indicator results</w:t>
            </w:r>
          </w:p>
        </w:tc>
        <w:tc>
          <w:tcPr>
            <w:tcW w:w="1279" w:type="pct"/>
          </w:tcPr>
          <w:p w14:paraId="7F5BAD1C" w14:textId="77777777" w:rsidR="004B597E" w:rsidRDefault="004B597E" w:rsidP="00E60293"/>
        </w:tc>
        <w:tc>
          <w:tcPr>
            <w:tcW w:w="1281" w:type="pct"/>
          </w:tcPr>
          <w:p w14:paraId="7B0D1197" w14:textId="77777777" w:rsidR="004B597E" w:rsidRDefault="004B597E" w:rsidP="00E60293"/>
        </w:tc>
        <w:tc>
          <w:tcPr>
            <w:tcW w:w="595" w:type="pct"/>
          </w:tcPr>
          <w:p w14:paraId="3F68C8F7" w14:textId="77777777" w:rsidR="004B597E" w:rsidRDefault="004B597E" w:rsidP="00E60293"/>
        </w:tc>
      </w:tr>
      <w:tr w:rsidR="004B597E" w14:paraId="1D29901E" w14:textId="77777777" w:rsidTr="00E60293">
        <w:tc>
          <w:tcPr>
            <w:tcW w:w="1845" w:type="pct"/>
          </w:tcPr>
          <w:p w14:paraId="3CBF28F5" w14:textId="77777777" w:rsidR="004B597E" w:rsidRPr="00960181" w:rsidRDefault="004B597E" w:rsidP="00E60293">
            <w:pPr>
              <w:rPr>
                <w:lang w:val="en-US"/>
              </w:rPr>
            </w:pPr>
            <w:r>
              <w:rPr>
                <w:lang w:val="en-US"/>
              </w:rPr>
              <w:t>Climate change</w:t>
            </w:r>
          </w:p>
        </w:tc>
        <w:tc>
          <w:tcPr>
            <w:tcW w:w="1279" w:type="pct"/>
          </w:tcPr>
          <w:p w14:paraId="0C931600" w14:textId="77777777" w:rsidR="004B597E" w:rsidRPr="00960181" w:rsidRDefault="004B597E" w:rsidP="00E60293">
            <w:pPr>
              <w:rPr>
                <w:lang w:val="en-US"/>
              </w:rPr>
            </w:pPr>
            <w:r>
              <w:rPr>
                <w:lang w:val="en-US"/>
              </w:rPr>
              <w:t>7,87E+01 kg CO</w:t>
            </w:r>
            <w:r w:rsidRPr="00960181">
              <w:rPr>
                <w:lang w:val="en-US"/>
              </w:rPr>
              <w:t>2</w:t>
            </w:r>
            <w:r>
              <w:rPr>
                <w:vertAlign w:val="subscript"/>
                <w:lang w:val="en-US"/>
              </w:rPr>
              <w:t xml:space="preserve"> </w:t>
            </w:r>
            <w:r w:rsidRPr="00960181">
              <w:rPr>
                <w:lang w:val="en-US"/>
              </w:rPr>
              <w:t>eq</w:t>
            </w:r>
          </w:p>
        </w:tc>
        <w:tc>
          <w:tcPr>
            <w:tcW w:w="1281" w:type="pct"/>
          </w:tcPr>
          <w:p w14:paraId="01BFAD0F" w14:textId="0F9FE803" w:rsidR="004B597E" w:rsidRDefault="003F0523" w:rsidP="00E60293">
            <w:pPr>
              <w:rPr>
                <w:lang w:val="en-US"/>
              </w:rPr>
            </w:pPr>
            <w:r>
              <w:rPr>
                <w:lang w:val="en-US"/>
              </w:rPr>
              <w:t>7,31</w:t>
            </w:r>
            <w:r w:rsidR="004B597E">
              <w:rPr>
                <w:lang w:val="en-US"/>
              </w:rPr>
              <w:t>E+01 kg CO</w:t>
            </w:r>
            <w:r w:rsidR="004B597E" w:rsidRPr="00960181">
              <w:rPr>
                <w:lang w:val="en-US"/>
              </w:rPr>
              <w:t>2</w:t>
            </w:r>
            <w:r w:rsidR="004B597E">
              <w:rPr>
                <w:vertAlign w:val="subscript"/>
                <w:lang w:val="en-US"/>
              </w:rPr>
              <w:t xml:space="preserve"> </w:t>
            </w:r>
            <w:r w:rsidR="004B597E" w:rsidRPr="00960181">
              <w:rPr>
                <w:lang w:val="en-US"/>
              </w:rPr>
              <w:t>eq</w:t>
            </w:r>
          </w:p>
        </w:tc>
        <w:tc>
          <w:tcPr>
            <w:tcW w:w="595" w:type="pct"/>
          </w:tcPr>
          <w:p w14:paraId="315ECEA0" w14:textId="0C978AF1" w:rsidR="004B597E" w:rsidRDefault="004B597E" w:rsidP="00E60293">
            <w:pPr>
              <w:rPr>
                <w:lang w:val="en-US"/>
              </w:rPr>
            </w:pPr>
            <w:r>
              <w:rPr>
                <w:lang w:val="en-US"/>
              </w:rPr>
              <w:t>-</w:t>
            </w:r>
            <w:r w:rsidR="003F0523">
              <w:rPr>
                <w:lang w:val="en-US"/>
              </w:rPr>
              <w:t>7</w:t>
            </w:r>
          </w:p>
        </w:tc>
      </w:tr>
      <w:tr w:rsidR="004B597E" w14:paraId="13B3CE4F" w14:textId="77777777" w:rsidTr="00E60293">
        <w:tc>
          <w:tcPr>
            <w:tcW w:w="1845" w:type="pct"/>
          </w:tcPr>
          <w:p w14:paraId="5E8A9E05" w14:textId="77777777" w:rsidR="004B597E" w:rsidRPr="00960181" w:rsidRDefault="004B597E" w:rsidP="00E60293">
            <w:pPr>
              <w:rPr>
                <w:lang w:val="en-US"/>
              </w:rPr>
            </w:pPr>
            <w:r>
              <w:rPr>
                <w:lang w:val="en-US"/>
              </w:rPr>
              <w:t>Freshwater and terrestrial acidification</w:t>
            </w:r>
          </w:p>
        </w:tc>
        <w:tc>
          <w:tcPr>
            <w:tcW w:w="1279" w:type="pct"/>
          </w:tcPr>
          <w:p w14:paraId="06DD1ED4" w14:textId="77777777" w:rsidR="004B597E" w:rsidRPr="00960181" w:rsidRDefault="004B597E" w:rsidP="00E60293">
            <w:pPr>
              <w:rPr>
                <w:lang w:val="en-US"/>
              </w:rPr>
            </w:pPr>
            <w:r>
              <w:rPr>
                <w:lang w:val="en-US"/>
              </w:rPr>
              <w:t>7,67E-01 mol H+ eq</w:t>
            </w:r>
          </w:p>
        </w:tc>
        <w:tc>
          <w:tcPr>
            <w:tcW w:w="1281" w:type="pct"/>
          </w:tcPr>
          <w:p w14:paraId="6BF46BE7" w14:textId="0C245512" w:rsidR="004B597E" w:rsidRDefault="003F0523" w:rsidP="00E60293">
            <w:pPr>
              <w:rPr>
                <w:lang w:val="en-US"/>
              </w:rPr>
            </w:pPr>
            <w:r>
              <w:rPr>
                <w:lang w:val="en-US"/>
              </w:rPr>
              <w:t>7,37</w:t>
            </w:r>
            <w:r w:rsidR="004B597E">
              <w:rPr>
                <w:lang w:val="en-US"/>
              </w:rPr>
              <w:t>E-01 mol H+ eq</w:t>
            </w:r>
          </w:p>
        </w:tc>
        <w:tc>
          <w:tcPr>
            <w:tcW w:w="595" w:type="pct"/>
          </w:tcPr>
          <w:p w14:paraId="1ADC624C" w14:textId="235713CE" w:rsidR="004B597E" w:rsidRDefault="004B597E" w:rsidP="00E60293">
            <w:pPr>
              <w:rPr>
                <w:lang w:val="en-US"/>
              </w:rPr>
            </w:pPr>
            <w:r>
              <w:rPr>
                <w:lang w:val="en-US"/>
              </w:rPr>
              <w:t>-</w:t>
            </w:r>
            <w:r w:rsidR="003F0523">
              <w:rPr>
                <w:lang w:val="en-US"/>
              </w:rPr>
              <w:t>4</w:t>
            </w:r>
          </w:p>
        </w:tc>
      </w:tr>
      <w:tr w:rsidR="004B597E" w14:paraId="3DC765C6" w14:textId="77777777" w:rsidTr="00E60293">
        <w:tc>
          <w:tcPr>
            <w:tcW w:w="1845" w:type="pct"/>
          </w:tcPr>
          <w:p w14:paraId="73FE7839" w14:textId="77777777" w:rsidR="004B597E" w:rsidRPr="00960181" w:rsidRDefault="004B597E" w:rsidP="00E60293">
            <w:pPr>
              <w:rPr>
                <w:lang w:val="en-US"/>
              </w:rPr>
            </w:pPr>
            <w:r>
              <w:rPr>
                <w:lang w:val="en-US"/>
              </w:rPr>
              <w:t>Freshwater ecotoxicity</w:t>
            </w:r>
          </w:p>
        </w:tc>
        <w:tc>
          <w:tcPr>
            <w:tcW w:w="1279" w:type="pct"/>
          </w:tcPr>
          <w:p w14:paraId="04572683" w14:textId="77777777" w:rsidR="004B597E" w:rsidRPr="00960181" w:rsidRDefault="004B597E" w:rsidP="00E60293">
            <w:pPr>
              <w:rPr>
                <w:lang w:val="en-US"/>
              </w:rPr>
            </w:pPr>
            <w:r>
              <w:rPr>
                <w:lang w:val="en-US"/>
              </w:rPr>
              <w:t>3,17E+01 CTU</w:t>
            </w:r>
          </w:p>
        </w:tc>
        <w:tc>
          <w:tcPr>
            <w:tcW w:w="1281" w:type="pct"/>
          </w:tcPr>
          <w:p w14:paraId="1E6D1030" w14:textId="15AE4AC5" w:rsidR="004B597E" w:rsidRDefault="003F0523" w:rsidP="00E60293">
            <w:pPr>
              <w:rPr>
                <w:lang w:val="en-US"/>
              </w:rPr>
            </w:pPr>
            <w:r>
              <w:rPr>
                <w:lang w:val="en-US"/>
              </w:rPr>
              <w:t>2,15</w:t>
            </w:r>
            <w:r w:rsidR="004B597E">
              <w:rPr>
                <w:lang w:val="en-US"/>
              </w:rPr>
              <w:t>E+0</w:t>
            </w:r>
            <w:r>
              <w:rPr>
                <w:lang w:val="en-US"/>
              </w:rPr>
              <w:t>1</w:t>
            </w:r>
            <w:r w:rsidR="004B597E">
              <w:rPr>
                <w:lang w:val="en-US"/>
              </w:rPr>
              <w:t xml:space="preserve"> CTU</w:t>
            </w:r>
          </w:p>
        </w:tc>
        <w:tc>
          <w:tcPr>
            <w:tcW w:w="595" w:type="pct"/>
          </w:tcPr>
          <w:p w14:paraId="5912B570" w14:textId="5F2EA72D" w:rsidR="004B597E" w:rsidRDefault="004B597E" w:rsidP="00E60293">
            <w:pPr>
              <w:rPr>
                <w:lang w:val="en-US"/>
              </w:rPr>
            </w:pPr>
            <w:r>
              <w:rPr>
                <w:lang w:val="en-US"/>
              </w:rPr>
              <w:t>-</w:t>
            </w:r>
            <w:r w:rsidR="003F0523">
              <w:rPr>
                <w:lang w:val="en-US"/>
              </w:rPr>
              <w:t>32</w:t>
            </w:r>
          </w:p>
        </w:tc>
      </w:tr>
      <w:tr w:rsidR="004B597E" w14:paraId="64C8142D" w14:textId="77777777" w:rsidTr="00E60293">
        <w:tc>
          <w:tcPr>
            <w:tcW w:w="1845" w:type="pct"/>
          </w:tcPr>
          <w:p w14:paraId="25983FD6" w14:textId="77777777" w:rsidR="004B597E" w:rsidRPr="00960181" w:rsidRDefault="004B597E" w:rsidP="00E60293">
            <w:pPr>
              <w:rPr>
                <w:lang w:val="en-US"/>
              </w:rPr>
            </w:pPr>
            <w:r>
              <w:rPr>
                <w:lang w:val="en-US"/>
              </w:rPr>
              <w:t>Freshwater eutrophication</w:t>
            </w:r>
          </w:p>
        </w:tc>
        <w:tc>
          <w:tcPr>
            <w:tcW w:w="1279" w:type="pct"/>
          </w:tcPr>
          <w:p w14:paraId="5CD5C597" w14:textId="77777777" w:rsidR="004B597E" w:rsidRPr="00960181" w:rsidRDefault="004B597E" w:rsidP="00E60293">
            <w:pPr>
              <w:rPr>
                <w:lang w:val="en-US"/>
              </w:rPr>
            </w:pPr>
            <w:r>
              <w:rPr>
                <w:lang w:val="en-US"/>
              </w:rPr>
              <w:t>1,45E-02 kg P eq</w:t>
            </w:r>
          </w:p>
        </w:tc>
        <w:tc>
          <w:tcPr>
            <w:tcW w:w="1281" w:type="pct"/>
          </w:tcPr>
          <w:p w14:paraId="100A0B53" w14:textId="4B900A65" w:rsidR="004B597E" w:rsidRDefault="003F0523" w:rsidP="00E60293">
            <w:pPr>
              <w:rPr>
                <w:lang w:val="en-US"/>
              </w:rPr>
            </w:pPr>
            <w:r>
              <w:rPr>
                <w:lang w:val="en-US"/>
              </w:rPr>
              <w:t>1,28</w:t>
            </w:r>
            <w:r w:rsidR="004B597E">
              <w:rPr>
                <w:lang w:val="en-US"/>
              </w:rPr>
              <w:t>E-0</w:t>
            </w:r>
            <w:r>
              <w:rPr>
                <w:lang w:val="en-US"/>
              </w:rPr>
              <w:t>2</w:t>
            </w:r>
            <w:r w:rsidR="004B597E">
              <w:rPr>
                <w:lang w:val="en-US"/>
              </w:rPr>
              <w:t xml:space="preserve"> kg P eq</w:t>
            </w:r>
          </w:p>
        </w:tc>
        <w:tc>
          <w:tcPr>
            <w:tcW w:w="595" w:type="pct"/>
          </w:tcPr>
          <w:p w14:paraId="6C611DFB" w14:textId="630CC5E5" w:rsidR="004B597E" w:rsidRDefault="004B597E" w:rsidP="00E60293">
            <w:pPr>
              <w:rPr>
                <w:lang w:val="en-US"/>
              </w:rPr>
            </w:pPr>
            <w:r>
              <w:rPr>
                <w:lang w:val="en-US"/>
              </w:rPr>
              <w:t>-</w:t>
            </w:r>
            <w:r w:rsidR="003F0523">
              <w:rPr>
                <w:lang w:val="en-US"/>
              </w:rPr>
              <w:t>11</w:t>
            </w:r>
          </w:p>
        </w:tc>
      </w:tr>
      <w:tr w:rsidR="004B597E" w14:paraId="2810B065" w14:textId="77777777" w:rsidTr="00E60293">
        <w:tc>
          <w:tcPr>
            <w:tcW w:w="1845" w:type="pct"/>
          </w:tcPr>
          <w:p w14:paraId="6ABAF510" w14:textId="77777777" w:rsidR="004B597E" w:rsidRPr="00960181" w:rsidRDefault="004B597E" w:rsidP="00E60293">
            <w:pPr>
              <w:rPr>
                <w:lang w:val="en-US"/>
              </w:rPr>
            </w:pPr>
            <w:r>
              <w:rPr>
                <w:lang w:val="en-US"/>
              </w:rPr>
              <w:t>Marine eutrophication</w:t>
            </w:r>
          </w:p>
        </w:tc>
        <w:tc>
          <w:tcPr>
            <w:tcW w:w="1279" w:type="pct"/>
          </w:tcPr>
          <w:p w14:paraId="2158442D" w14:textId="77777777" w:rsidR="004B597E" w:rsidRPr="00960181" w:rsidRDefault="004B597E" w:rsidP="00E60293">
            <w:pPr>
              <w:rPr>
                <w:lang w:val="en-US"/>
              </w:rPr>
            </w:pPr>
            <w:r>
              <w:rPr>
                <w:lang w:val="en-US"/>
              </w:rPr>
              <w:t>2,29E-01 kg N eq</w:t>
            </w:r>
          </w:p>
        </w:tc>
        <w:tc>
          <w:tcPr>
            <w:tcW w:w="1281" w:type="pct"/>
          </w:tcPr>
          <w:p w14:paraId="523C3243" w14:textId="09C4719B" w:rsidR="004B597E" w:rsidRDefault="003F0523" w:rsidP="00E60293">
            <w:pPr>
              <w:rPr>
                <w:lang w:val="en-US"/>
              </w:rPr>
            </w:pPr>
            <w:r>
              <w:rPr>
                <w:lang w:val="en-US"/>
              </w:rPr>
              <w:t>2,26</w:t>
            </w:r>
            <w:r w:rsidR="004B597E">
              <w:rPr>
                <w:lang w:val="en-US"/>
              </w:rPr>
              <w:t>E-01 kg N eq</w:t>
            </w:r>
          </w:p>
        </w:tc>
        <w:tc>
          <w:tcPr>
            <w:tcW w:w="595" w:type="pct"/>
          </w:tcPr>
          <w:p w14:paraId="6A610BDB" w14:textId="1EC6FFF2" w:rsidR="004B597E" w:rsidRDefault="004B597E" w:rsidP="00E60293">
            <w:pPr>
              <w:rPr>
                <w:lang w:val="en-US"/>
              </w:rPr>
            </w:pPr>
            <w:r>
              <w:rPr>
                <w:lang w:val="en-US"/>
              </w:rPr>
              <w:t>-</w:t>
            </w:r>
            <w:r w:rsidR="003F0523">
              <w:rPr>
                <w:lang w:val="en-US"/>
              </w:rPr>
              <w:t>1</w:t>
            </w:r>
          </w:p>
        </w:tc>
      </w:tr>
      <w:tr w:rsidR="004B597E" w14:paraId="093585F4" w14:textId="77777777" w:rsidTr="00E60293">
        <w:tc>
          <w:tcPr>
            <w:tcW w:w="1845" w:type="pct"/>
          </w:tcPr>
          <w:p w14:paraId="234BD262" w14:textId="77777777" w:rsidR="004B597E" w:rsidRPr="00960181" w:rsidRDefault="004B597E" w:rsidP="00E60293">
            <w:pPr>
              <w:rPr>
                <w:lang w:val="en-US"/>
              </w:rPr>
            </w:pPr>
            <w:r>
              <w:rPr>
                <w:lang w:val="en-US"/>
              </w:rPr>
              <w:t>Terrestrial eutrophication</w:t>
            </w:r>
          </w:p>
        </w:tc>
        <w:tc>
          <w:tcPr>
            <w:tcW w:w="1279" w:type="pct"/>
          </w:tcPr>
          <w:p w14:paraId="2ED2BC37" w14:textId="77777777" w:rsidR="004B597E" w:rsidRPr="00960181" w:rsidRDefault="004B597E" w:rsidP="00E60293">
            <w:pPr>
              <w:rPr>
                <w:lang w:val="en-US"/>
              </w:rPr>
            </w:pPr>
            <w:r>
              <w:rPr>
                <w:lang w:val="en-US"/>
              </w:rPr>
              <w:t>2,61E+00 mol N eq</w:t>
            </w:r>
          </w:p>
        </w:tc>
        <w:tc>
          <w:tcPr>
            <w:tcW w:w="1281" w:type="pct"/>
          </w:tcPr>
          <w:p w14:paraId="658B4FD0" w14:textId="3D32261D" w:rsidR="004B597E" w:rsidRDefault="003F0523" w:rsidP="00E60293">
            <w:pPr>
              <w:rPr>
                <w:lang w:val="en-US"/>
              </w:rPr>
            </w:pPr>
            <w:r>
              <w:rPr>
                <w:lang w:val="en-US"/>
              </w:rPr>
              <w:t>2,58</w:t>
            </w:r>
            <w:r w:rsidR="004B597E">
              <w:rPr>
                <w:lang w:val="en-US"/>
              </w:rPr>
              <w:t>E+00 mol N eq</w:t>
            </w:r>
          </w:p>
        </w:tc>
        <w:tc>
          <w:tcPr>
            <w:tcW w:w="595" w:type="pct"/>
          </w:tcPr>
          <w:p w14:paraId="2C81C37E" w14:textId="2EC69F23" w:rsidR="004B597E" w:rsidRDefault="004B597E" w:rsidP="00E60293">
            <w:pPr>
              <w:rPr>
                <w:lang w:val="en-US"/>
              </w:rPr>
            </w:pPr>
            <w:r>
              <w:rPr>
                <w:lang w:val="en-US"/>
              </w:rPr>
              <w:t>-</w:t>
            </w:r>
            <w:r w:rsidR="003F0523">
              <w:rPr>
                <w:lang w:val="en-US"/>
              </w:rPr>
              <w:t>1</w:t>
            </w:r>
          </w:p>
        </w:tc>
      </w:tr>
      <w:tr w:rsidR="004B597E" w14:paraId="73D3D129" w14:textId="77777777" w:rsidTr="00E60293">
        <w:tc>
          <w:tcPr>
            <w:tcW w:w="1845" w:type="pct"/>
          </w:tcPr>
          <w:p w14:paraId="65609890" w14:textId="77777777" w:rsidR="004B597E" w:rsidRPr="00960181" w:rsidRDefault="004B597E" w:rsidP="00E60293">
            <w:pPr>
              <w:rPr>
                <w:lang w:val="en-US"/>
              </w:rPr>
            </w:pPr>
            <w:r>
              <w:rPr>
                <w:lang w:val="en-US"/>
              </w:rPr>
              <w:t>Human health carcinogenic effects</w:t>
            </w:r>
          </w:p>
        </w:tc>
        <w:tc>
          <w:tcPr>
            <w:tcW w:w="1279" w:type="pct"/>
          </w:tcPr>
          <w:p w14:paraId="45C9AB9F" w14:textId="77777777" w:rsidR="004B597E" w:rsidRPr="00960181" w:rsidRDefault="004B597E" w:rsidP="00E60293">
            <w:pPr>
              <w:rPr>
                <w:lang w:val="en-US"/>
              </w:rPr>
            </w:pPr>
            <w:r>
              <w:rPr>
                <w:lang w:val="en-US"/>
              </w:rPr>
              <w:t xml:space="preserve">5,20E-07 </w:t>
            </w:r>
            <w:proofErr w:type="spellStart"/>
            <w:r>
              <w:rPr>
                <w:lang w:val="en-US"/>
              </w:rPr>
              <w:t>CTUh</w:t>
            </w:r>
            <w:proofErr w:type="spellEnd"/>
          </w:p>
        </w:tc>
        <w:tc>
          <w:tcPr>
            <w:tcW w:w="1281" w:type="pct"/>
          </w:tcPr>
          <w:p w14:paraId="64C9CE66" w14:textId="0F357396" w:rsidR="004B597E" w:rsidRDefault="003F0523" w:rsidP="00E60293">
            <w:pPr>
              <w:rPr>
                <w:lang w:val="en-US"/>
              </w:rPr>
            </w:pPr>
            <w:r>
              <w:rPr>
                <w:lang w:val="en-US"/>
              </w:rPr>
              <w:t>3,98</w:t>
            </w:r>
            <w:r w:rsidR="004B597E">
              <w:rPr>
                <w:lang w:val="en-US"/>
              </w:rPr>
              <w:t xml:space="preserve">E-07 </w:t>
            </w:r>
            <w:proofErr w:type="spellStart"/>
            <w:r w:rsidR="004B597E">
              <w:rPr>
                <w:lang w:val="en-US"/>
              </w:rPr>
              <w:t>CTUh</w:t>
            </w:r>
            <w:proofErr w:type="spellEnd"/>
          </w:p>
        </w:tc>
        <w:tc>
          <w:tcPr>
            <w:tcW w:w="595" w:type="pct"/>
          </w:tcPr>
          <w:p w14:paraId="2CFFFE84" w14:textId="177DC994" w:rsidR="004B597E" w:rsidRDefault="004B597E" w:rsidP="00E60293">
            <w:pPr>
              <w:rPr>
                <w:lang w:val="en-US"/>
              </w:rPr>
            </w:pPr>
            <w:r>
              <w:rPr>
                <w:lang w:val="en-US"/>
              </w:rPr>
              <w:t>-</w:t>
            </w:r>
            <w:r w:rsidR="003F0523">
              <w:rPr>
                <w:lang w:val="en-US"/>
              </w:rPr>
              <w:t>24</w:t>
            </w:r>
          </w:p>
        </w:tc>
      </w:tr>
      <w:tr w:rsidR="004B597E" w14:paraId="6519B231" w14:textId="77777777" w:rsidTr="00E60293">
        <w:tc>
          <w:tcPr>
            <w:tcW w:w="1845" w:type="pct"/>
          </w:tcPr>
          <w:p w14:paraId="200C0F7A" w14:textId="77777777" w:rsidR="004B597E" w:rsidRDefault="004B597E" w:rsidP="00E60293">
            <w:r>
              <w:rPr>
                <w:lang w:val="en-US"/>
              </w:rPr>
              <w:t>Human health non-carcinogenic effects</w:t>
            </w:r>
          </w:p>
        </w:tc>
        <w:tc>
          <w:tcPr>
            <w:tcW w:w="1279" w:type="pct"/>
          </w:tcPr>
          <w:p w14:paraId="09BA7F49" w14:textId="77777777" w:rsidR="004B597E" w:rsidRPr="00960181" w:rsidRDefault="004B597E" w:rsidP="00E60293">
            <w:pPr>
              <w:rPr>
                <w:lang w:val="en-US"/>
              </w:rPr>
            </w:pPr>
            <w:r>
              <w:rPr>
                <w:lang w:val="en-US"/>
              </w:rPr>
              <w:t xml:space="preserve">5,31E-06 </w:t>
            </w:r>
            <w:proofErr w:type="spellStart"/>
            <w:r>
              <w:rPr>
                <w:lang w:val="en-US"/>
              </w:rPr>
              <w:t>CTUh</w:t>
            </w:r>
            <w:proofErr w:type="spellEnd"/>
          </w:p>
        </w:tc>
        <w:tc>
          <w:tcPr>
            <w:tcW w:w="1281" w:type="pct"/>
          </w:tcPr>
          <w:p w14:paraId="52B1BD54" w14:textId="5EBFB37D" w:rsidR="004B597E" w:rsidRDefault="003F0523" w:rsidP="00E60293">
            <w:pPr>
              <w:rPr>
                <w:lang w:val="en-US"/>
              </w:rPr>
            </w:pPr>
            <w:r>
              <w:rPr>
                <w:lang w:val="en-US"/>
              </w:rPr>
              <w:t>4,16</w:t>
            </w:r>
            <w:r w:rsidR="004B597E">
              <w:rPr>
                <w:lang w:val="en-US"/>
              </w:rPr>
              <w:t xml:space="preserve">E-06 </w:t>
            </w:r>
            <w:proofErr w:type="spellStart"/>
            <w:r w:rsidR="004B597E">
              <w:rPr>
                <w:lang w:val="en-US"/>
              </w:rPr>
              <w:t>CTUh</w:t>
            </w:r>
            <w:proofErr w:type="spellEnd"/>
          </w:p>
        </w:tc>
        <w:tc>
          <w:tcPr>
            <w:tcW w:w="595" w:type="pct"/>
          </w:tcPr>
          <w:p w14:paraId="07B926FF" w14:textId="1FD81ABE" w:rsidR="004B597E" w:rsidRDefault="004B597E" w:rsidP="00E60293">
            <w:pPr>
              <w:rPr>
                <w:lang w:val="en-US"/>
              </w:rPr>
            </w:pPr>
            <w:r>
              <w:rPr>
                <w:lang w:val="en-US"/>
              </w:rPr>
              <w:t>-</w:t>
            </w:r>
            <w:r w:rsidR="003F0523">
              <w:rPr>
                <w:lang w:val="en-US"/>
              </w:rPr>
              <w:t>22</w:t>
            </w:r>
          </w:p>
        </w:tc>
      </w:tr>
      <w:tr w:rsidR="004B597E" w14:paraId="02880E3F" w14:textId="77777777" w:rsidTr="00E60293">
        <w:tc>
          <w:tcPr>
            <w:tcW w:w="1845" w:type="pct"/>
          </w:tcPr>
          <w:p w14:paraId="25D5EC6D" w14:textId="77777777" w:rsidR="004B597E" w:rsidRPr="00960181" w:rsidRDefault="004B597E" w:rsidP="00E60293">
            <w:pPr>
              <w:rPr>
                <w:lang w:val="en-US"/>
              </w:rPr>
            </w:pPr>
            <w:r>
              <w:rPr>
                <w:lang w:val="en-US"/>
              </w:rPr>
              <w:t>Ozone layer depletion</w:t>
            </w:r>
          </w:p>
        </w:tc>
        <w:tc>
          <w:tcPr>
            <w:tcW w:w="1279" w:type="pct"/>
          </w:tcPr>
          <w:p w14:paraId="1ADBD749" w14:textId="77777777" w:rsidR="004B597E" w:rsidRPr="00960181" w:rsidRDefault="004B597E" w:rsidP="00E60293">
            <w:pPr>
              <w:rPr>
                <w:lang w:val="en-US"/>
              </w:rPr>
            </w:pPr>
            <w:r>
              <w:rPr>
                <w:lang w:val="en-US"/>
              </w:rPr>
              <w:t>8,05E-06 kg CFC-11</w:t>
            </w:r>
          </w:p>
        </w:tc>
        <w:tc>
          <w:tcPr>
            <w:tcW w:w="1281" w:type="pct"/>
          </w:tcPr>
          <w:p w14:paraId="7EDEBC25" w14:textId="622E95B3" w:rsidR="004B597E" w:rsidRDefault="003F0523" w:rsidP="00E60293">
            <w:pPr>
              <w:rPr>
                <w:lang w:val="en-US"/>
              </w:rPr>
            </w:pPr>
            <w:r>
              <w:rPr>
                <w:lang w:val="en-US"/>
              </w:rPr>
              <w:t>7,85</w:t>
            </w:r>
            <w:r w:rsidR="004B597E">
              <w:rPr>
                <w:lang w:val="en-US"/>
              </w:rPr>
              <w:t>E-06 kg CFC-11</w:t>
            </w:r>
          </w:p>
        </w:tc>
        <w:tc>
          <w:tcPr>
            <w:tcW w:w="595" w:type="pct"/>
          </w:tcPr>
          <w:p w14:paraId="41E4D339" w14:textId="4F3958F4" w:rsidR="004B597E" w:rsidRDefault="004B597E" w:rsidP="00E60293">
            <w:pPr>
              <w:rPr>
                <w:lang w:val="en-US"/>
              </w:rPr>
            </w:pPr>
            <w:r>
              <w:rPr>
                <w:lang w:val="en-US"/>
              </w:rPr>
              <w:t>-</w:t>
            </w:r>
            <w:r w:rsidR="003F0523">
              <w:rPr>
                <w:lang w:val="en-US"/>
              </w:rPr>
              <w:t>2</w:t>
            </w:r>
          </w:p>
        </w:tc>
      </w:tr>
      <w:tr w:rsidR="004B597E" w14:paraId="6FC3DAAD" w14:textId="77777777" w:rsidTr="00E60293">
        <w:tc>
          <w:tcPr>
            <w:tcW w:w="1845" w:type="pct"/>
          </w:tcPr>
          <w:p w14:paraId="389746E0" w14:textId="77777777" w:rsidR="004B597E" w:rsidRPr="00960181" w:rsidRDefault="004B597E" w:rsidP="00E60293">
            <w:pPr>
              <w:rPr>
                <w:lang w:val="en-US"/>
              </w:rPr>
            </w:pPr>
            <w:r>
              <w:rPr>
                <w:lang w:val="en-US"/>
              </w:rPr>
              <w:t>Photochemical ozone creation</w:t>
            </w:r>
          </w:p>
        </w:tc>
        <w:tc>
          <w:tcPr>
            <w:tcW w:w="1279" w:type="pct"/>
          </w:tcPr>
          <w:p w14:paraId="1E86DDDD" w14:textId="77777777" w:rsidR="004B597E" w:rsidRPr="00960181" w:rsidRDefault="004B597E" w:rsidP="00E60293">
            <w:pPr>
              <w:rPr>
                <w:lang w:val="en-US"/>
              </w:rPr>
            </w:pPr>
            <w:r>
              <w:rPr>
                <w:lang w:val="en-US"/>
              </w:rPr>
              <w:t>6,43E-01 kg NMVOC-</w:t>
            </w:r>
          </w:p>
        </w:tc>
        <w:tc>
          <w:tcPr>
            <w:tcW w:w="1281" w:type="pct"/>
          </w:tcPr>
          <w:p w14:paraId="36FA33A3" w14:textId="282A6301" w:rsidR="004B597E" w:rsidRDefault="003F0523" w:rsidP="00E60293">
            <w:pPr>
              <w:rPr>
                <w:lang w:val="en-US"/>
              </w:rPr>
            </w:pPr>
            <w:r>
              <w:rPr>
                <w:lang w:val="en-US"/>
              </w:rPr>
              <w:t>6,19</w:t>
            </w:r>
            <w:r w:rsidR="004B597E">
              <w:rPr>
                <w:lang w:val="en-US"/>
              </w:rPr>
              <w:t>E</w:t>
            </w:r>
            <w:r>
              <w:rPr>
                <w:lang w:val="en-US"/>
              </w:rPr>
              <w:t>+</w:t>
            </w:r>
            <w:r w:rsidR="004B597E">
              <w:rPr>
                <w:lang w:val="en-US"/>
              </w:rPr>
              <w:t>01 kg NMVOC-</w:t>
            </w:r>
          </w:p>
        </w:tc>
        <w:tc>
          <w:tcPr>
            <w:tcW w:w="595" w:type="pct"/>
          </w:tcPr>
          <w:p w14:paraId="379BD194" w14:textId="7824D14C" w:rsidR="004B597E" w:rsidRDefault="004B597E" w:rsidP="00E60293">
            <w:pPr>
              <w:rPr>
                <w:lang w:val="en-US"/>
              </w:rPr>
            </w:pPr>
            <w:r>
              <w:rPr>
                <w:lang w:val="en-US"/>
              </w:rPr>
              <w:t>-</w:t>
            </w:r>
            <w:r w:rsidR="003F0523">
              <w:rPr>
                <w:lang w:val="en-US"/>
              </w:rPr>
              <w:t>4</w:t>
            </w:r>
          </w:p>
        </w:tc>
      </w:tr>
      <w:tr w:rsidR="004B597E" w14:paraId="7F8ACEDE" w14:textId="77777777" w:rsidTr="00E60293">
        <w:tc>
          <w:tcPr>
            <w:tcW w:w="1845" w:type="pct"/>
          </w:tcPr>
          <w:p w14:paraId="47A91CBA" w14:textId="77777777" w:rsidR="004B597E" w:rsidRPr="00BD4A1F" w:rsidRDefault="004B597E" w:rsidP="00E60293">
            <w:pPr>
              <w:rPr>
                <w:i/>
                <w:iCs/>
                <w:lang w:val="en-US"/>
              </w:rPr>
            </w:pPr>
            <w:r>
              <w:rPr>
                <w:i/>
                <w:iCs/>
                <w:lang w:val="en-US"/>
              </w:rPr>
              <w:t>Economic outflows not followed to system boundary</w:t>
            </w:r>
          </w:p>
        </w:tc>
        <w:tc>
          <w:tcPr>
            <w:tcW w:w="1279" w:type="pct"/>
          </w:tcPr>
          <w:p w14:paraId="3DBFEB67" w14:textId="77777777" w:rsidR="004B597E" w:rsidRDefault="004B597E" w:rsidP="00E60293">
            <w:pPr>
              <w:rPr>
                <w:lang w:val="en-US"/>
              </w:rPr>
            </w:pPr>
          </w:p>
        </w:tc>
        <w:tc>
          <w:tcPr>
            <w:tcW w:w="1281" w:type="pct"/>
          </w:tcPr>
          <w:p w14:paraId="06B6B479" w14:textId="77777777" w:rsidR="004B597E" w:rsidRDefault="004B597E" w:rsidP="00E60293">
            <w:pPr>
              <w:rPr>
                <w:lang w:val="en-US"/>
              </w:rPr>
            </w:pPr>
          </w:p>
        </w:tc>
        <w:tc>
          <w:tcPr>
            <w:tcW w:w="595" w:type="pct"/>
          </w:tcPr>
          <w:p w14:paraId="2A364892" w14:textId="77777777" w:rsidR="004B597E" w:rsidRDefault="004B597E" w:rsidP="00E60293">
            <w:pPr>
              <w:rPr>
                <w:lang w:val="en-US"/>
              </w:rPr>
            </w:pPr>
          </w:p>
        </w:tc>
      </w:tr>
      <w:tr w:rsidR="004B597E" w14:paraId="461FC390" w14:textId="77777777" w:rsidTr="00E60293">
        <w:tc>
          <w:tcPr>
            <w:tcW w:w="1845" w:type="pct"/>
          </w:tcPr>
          <w:p w14:paraId="0B2F25F2" w14:textId="77777777" w:rsidR="004B597E" w:rsidRDefault="004B597E" w:rsidP="00E60293">
            <w:pPr>
              <w:rPr>
                <w:lang w:val="en-US"/>
              </w:rPr>
            </w:pPr>
            <w:r>
              <w:rPr>
                <w:lang w:val="en-US"/>
              </w:rPr>
              <w:t>Basket of coarse size fractions</w:t>
            </w:r>
          </w:p>
        </w:tc>
        <w:tc>
          <w:tcPr>
            <w:tcW w:w="1279" w:type="pct"/>
          </w:tcPr>
          <w:p w14:paraId="2ACF5BCE" w14:textId="77777777" w:rsidR="004B597E" w:rsidRDefault="004B597E" w:rsidP="00E60293">
            <w:pPr>
              <w:rPr>
                <w:lang w:val="en-US"/>
              </w:rPr>
            </w:pPr>
            <w:r>
              <w:rPr>
                <w:lang w:val="en-US"/>
              </w:rPr>
              <w:t>2,01E+05 kg</w:t>
            </w:r>
          </w:p>
        </w:tc>
        <w:tc>
          <w:tcPr>
            <w:tcW w:w="1281" w:type="pct"/>
          </w:tcPr>
          <w:p w14:paraId="7001ABB9" w14:textId="77777777" w:rsidR="004B597E" w:rsidRDefault="004B597E" w:rsidP="00E60293">
            <w:pPr>
              <w:rPr>
                <w:lang w:val="en-US"/>
              </w:rPr>
            </w:pPr>
          </w:p>
        </w:tc>
        <w:tc>
          <w:tcPr>
            <w:tcW w:w="595" w:type="pct"/>
          </w:tcPr>
          <w:p w14:paraId="0B25D9C3" w14:textId="77777777" w:rsidR="004B597E" w:rsidRDefault="004B597E" w:rsidP="00E60293">
            <w:pPr>
              <w:rPr>
                <w:lang w:val="en-US"/>
              </w:rPr>
            </w:pPr>
          </w:p>
        </w:tc>
      </w:tr>
      <w:tr w:rsidR="004B597E" w14:paraId="0CC34031" w14:textId="77777777" w:rsidTr="00E60293">
        <w:tc>
          <w:tcPr>
            <w:tcW w:w="1845" w:type="pct"/>
          </w:tcPr>
          <w:p w14:paraId="4B9E4E38" w14:textId="77777777" w:rsidR="004B597E" w:rsidRDefault="004B597E" w:rsidP="00E60293">
            <w:pPr>
              <w:rPr>
                <w:lang w:val="en-US"/>
              </w:rPr>
            </w:pPr>
            <w:r>
              <w:rPr>
                <w:lang w:val="en-US"/>
              </w:rPr>
              <w:t>Basket of non-magnetic materials</w:t>
            </w:r>
          </w:p>
        </w:tc>
        <w:tc>
          <w:tcPr>
            <w:tcW w:w="1279" w:type="pct"/>
          </w:tcPr>
          <w:p w14:paraId="132B8B32" w14:textId="77777777" w:rsidR="004B597E" w:rsidRDefault="004B597E" w:rsidP="00E60293">
            <w:pPr>
              <w:rPr>
                <w:lang w:val="en-US"/>
              </w:rPr>
            </w:pPr>
            <w:r>
              <w:rPr>
                <w:lang w:val="en-US"/>
              </w:rPr>
              <w:t>2,95E+03 kg</w:t>
            </w:r>
          </w:p>
        </w:tc>
        <w:tc>
          <w:tcPr>
            <w:tcW w:w="1281" w:type="pct"/>
          </w:tcPr>
          <w:p w14:paraId="0887B045" w14:textId="77777777" w:rsidR="004B597E" w:rsidRDefault="004B597E" w:rsidP="00E60293">
            <w:pPr>
              <w:rPr>
                <w:lang w:val="en-US"/>
              </w:rPr>
            </w:pPr>
          </w:p>
        </w:tc>
        <w:tc>
          <w:tcPr>
            <w:tcW w:w="595" w:type="pct"/>
          </w:tcPr>
          <w:p w14:paraId="5881F5E5" w14:textId="77777777" w:rsidR="004B597E" w:rsidRDefault="004B597E" w:rsidP="00E60293">
            <w:pPr>
              <w:rPr>
                <w:lang w:val="en-US"/>
              </w:rPr>
            </w:pPr>
          </w:p>
        </w:tc>
      </w:tr>
      <w:tr w:rsidR="004B597E" w14:paraId="0B45E63F" w14:textId="77777777" w:rsidTr="00E60293">
        <w:tc>
          <w:tcPr>
            <w:tcW w:w="1845" w:type="pct"/>
          </w:tcPr>
          <w:p w14:paraId="39823DCA" w14:textId="77777777" w:rsidR="004B597E" w:rsidRDefault="004B597E" w:rsidP="00E60293">
            <w:pPr>
              <w:rPr>
                <w:lang w:val="en-US"/>
              </w:rPr>
            </w:pPr>
            <w:r>
              <w:rPr>
                <w:lang w:val="en-US"/>
              </w:rPr>
              <w:t>Cake</w:t>
            </w:r>
          </w:p>
        </w:tc>
        <w:tc>
          <w:tcPr>
            <w:tcW w:w="1279" w:type="pct"/>
          </w:tcPr>
          <w:p w14:paraId="54894BBE" w14:textId="77777777" w:rsidR="004B597E" w:rsidRDefault="004B597E" w:rsidP="00E60293">
            <w:pPr>
              <w:rPr>
                <w:lang w:val="en-US"/>
              </w:rPr>
            </w:pPr>
            <w:r>
              <w:rPr>
                <w:lang w:val="en-US"/>
              </w:rPr>
              <w:t>4,55E+03 kg</w:t>
            </w:r>
          </w:p>
        </w:tc>
        <w:tc>
          <w:tcPr>
            <w:tcW w:w="1281" w:type="pct"/>
          </w:tcPr>
          <w:p w14:paraId="322B9E4D" w14:textId="77777777" w:rsidR="004B597E" w:rsidRDefault="004B597E" w:rsidP="00E60293">
            <w:pPr>
              <w:rPr>
                <w:lang w:val="en-US"/>
              </w:rPr>
            </w:pPr>
          </w:p>
        </w:tc>
        <w:tc>
          <w:tcPr>
            <w:tcW w:w="595" w:type="pct"/>
          </w:tcPr>
          <w:p w14:paraId="4E64C77D" w14:textId="77777777" w:rsidR="004B597E" w:rsidRDefault="004B597E" w:rsidP="00E60293">
            <w:pPr>
              <w:rPr>
                <w:lang w:val="en-US"/>
              </w:rPr>
            </w:pPr>
          </w:p>
        </w:tc>
      </w:tr>
    </w:tbl>
    <w:p w14:paraId="4ADA261D" w14:textId="139EBE94" w:rsidR="004B597E" w:rsidRDefault="004B597E" w:rsidP="004B597E">
      <w:pPr>
        <w:rPr>
          <w:lang w:val="en-US"/>
        </w:rPr>
      </w:pPr>
    </w:p>
    <w:p w14:paraId="4C01F660" w14:textId="0255AD13" w:rsidR="004B597E" w:rsidRDefault="004B597E" w:rsidP="004B597E">
      <w:pPr>
        <w:rPr>
          <w:lang w:val="en-US"/>
        </w:rPr>
      </w:pPr>
    </w:p>
    <w:p w14:paraId="2BDD7078" w14:textId="693078C5" w:rsidR="004B597E" w:rsidRDefault="004B597E" w:rsidP="004B597E">
      <w:pPr>
        <w:rPr>
          <w:lang w:val="en-US"/>
        </w:rPr>
      </w:pPr>
    </w:p>
    <w:p w14:paraId="039611DC" w14:textId="2F37D4CD" w:rsidR="004B597E" w:rsidRDefault="004B597E" w:rsidP="004B597E">
      <w:pPr>
        <w:rPr>
          <w:lang w:val="en-US"/>
        </w:rPr>
      </w:pPr>
    </w:p>
    <w:p w14:paraId="0BEB98F0" w14:textId="77777777" w:rsidR="004B597E" w:rsidRPr="004B597E" w:rsidRDefault="004B597E" w:rsidP="004B597E">
      <w:pPr>
        <w:rPr>
          <w:lang w:val="en-US"/>
        </w:rPr>
      </w:pPr>
    </w:p>
    <w:p w14:paraId="701FB503" w14:textId="77777777" w:rsidR="007A21FD" w:rsidRPr="007A21FD" w:rsidRDefault="007A21FD" w:rsidP="007A21FD">
      <w:pPr>
        <w:rPr>
          <w:lang w:val="en-US"/>
        </w:rPr>
      </w:pPr>
    </w:p>
    <w:p w14:paraId="493CE85B" w14:textId="77777777" w:rsidR="007A21FD" w:rsidRDefault="007A21FD" w:rsidP="00485208">
      <w:pPr>
        <w:pStyle w:val="Caption"/>
      </w:pPr>
    </w:p>
    <w:p w14:paraId="325E530C" w14:textId="11857DEF" w:rsidR="00E84F00" w:rsidRPr="00485208" w:rsidRDefault="00485208" w:rsidP="00485208">
      <w:pPr>
        <w:pStyle w:val="Caption"/>
      </w:pPr>
      <w:r>
        <w:lastRenderedPageBreak/>
        <w:t xml:space="preserve">Figure </w:t>
      </w:r>
      <w:fldSimple w:instr=" STYLEREF 6 \s ">
        <w:r>
          <w:rPr>
            <w:noProof/>
          </w:rPr>
          <w:t>E</w:t>
        </w:r>
      </w:fldSimple>
      <w:r>
        <w:t>.</w:t>
      </w:r>
      <w:fldSimple w:instr=" SEQ Appendix_Figure \* ARABIC \s 6 ">
        <w:r>
          <w:rPr>
            <w:noProof/>
          </w:rPr>
          <w:t>2</w:t>
        </w:r>
      </w:fldSimple>
      <w:bookmarkEnd w:id="110"/>
      <w:r>
        <w:rPr>
          <w:lang w:val="en-US"/>
        </w:rPr>
        <w:t xml:space="preserve"> </w:t>
      </w:r>
      <w:r w:rsidR="00E84F00">
        <w:rPr>
          <w:lang w:val="en-US"/>
        </w:rPr>
        <w:t>Most contributing environmental flows to NFs, per impact category. Source: Sala et al. (2015).</w:t>
      </w:r>
    </w:p>
    <w:p w14:paraId="2E7A572A" w14:textId="266EB2D6" w:rsidR="00E84F00" w:rsidRPr="003869D4" w:rsidRDefault="00E84F00" w:rsidP="009A215A">
      <w:pPr>
        <w:rPr>
          <w:lang w:val="en-US"/>
        </w:rPr>
      </w:pPr>
      <w:r>
        <w:rPr>
          <w:noProof/>
          <w:lang w:val="en-US"/>
        </w:rPr>
        <w:drawing>
          <wp:inline distT="0" distB="0" distL="0" distR="0" wp14:anchorId="7FCF87A4" wp14:editId="033CC9EF">
            <wp:extent cx="5759450" cy="3194781"/>
            <wp:effectExtent l="0" t="0" r="0" b="5715"/>
            <wp:docPr id="51" name="Picture 5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59450" cy="3194781"/>
                    </a:xfrm>
                    <a:prstGeom prst="rect">
                      <a:avLst/>
                    </a:prstGeom>
                  </pic:spPr>
                </pic:pic>
              </a:graphicData>
            </a:graphic>
          </wp:inline>
        </w:drawing>
      </w:r>
    </w:p>
    <w:sectPr w:rsidR="00E84F00" w:rsidRPr="003869D4" w:rsidSect="003B5434">
      <w:footerReference w:type="default" r:id="rId56"/>
      <w:pgSz w:w="11906" w:h="16838"/>
      <w:pgMar w:top="1418" w:right="1418" w:bottom="1418" w:left="1418" w:header="709" w:footer="709"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84E9B" w14:textId="77777777" w:rsidR="00BE45E3" w:rsidRDefault="00BE45E3" w:rsidP="00A34CC2">
      <w:pPr>
        <w:spacing w:before="0" w:after="0" w:line="240" w:lineRule="auto"/>
      </w:pPr>
      <w:r>
        <w:separator/>
      </w:r>
    </w:p>
  </w:endnote>
  <w:endnote w:type="continuationSeparator" w:id="0">
    <w:p w14:paraId="04795A60" w14:textId="77777777" w:rsidR="00BE45E3" w:rsidRDefault="00BE45E3" w:rsidP="00A34C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vOT863180fb+fb">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377950"/>
      <w:docPartObj>
        <w:docPartGallery w:val="Page Numbers (Bottom of Page)"/>
        <w:docPartUnique/>
      </w:docPartObj>
    </w:sdtPr>
    <w:sdtEndPr>
      <w:rPr>
        <w:rStyle w:val="PageNumber"/>
      </w:rPr>
    </w:sdtEndPr>
    <w:sdtContent>
      <w:p w14:paraId="194CBA1D" w14:textId="425CD654" w:rsidR="004B432C" w:rsidRDefault="004B432C" w:rsidP="005F09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207C49" w14:textId="77777777" w:rsidR="004B432C" w:rsidRDefault="004B432C" w:rsidP="004B43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7CBD" w14:textId="77777777" w:rsidR="004B432C" w:rsidRDefault="004B432C" w:rsidP="004B43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4403986"/>
      <w:docPartObj>
        <w:docPartGallery w:val="Page Numbers (Bottom of Page)"/>
        <w:docPartUnique/>
      </w:docPartObj>
    </w:sdtPr>
    <w:sdtEndPr>
      <w:rPr>
        <w:rStyle w:val="PageNumber"/>
      </w:rPr>
    </w:sdtEndPr>
    <w:sdtContent>
      <w:p w14:paraId="790DE9F8" w14:textId="4EFB76F8" w:rsidR="004B432C" w:rsidRDefault="004B432C" w:rsidP="008C5C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27723471" w14:textId="77777777" w:rsidR="00AA037C" w:rsidRDefault="00AA037C" w:rsidP="004B432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30EE2" w14:textId="77777777" w:rsidR="00A154EE" w:rsidRDefault="00A154EE" w:rsidP="004B432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09952541"/>
      <w:docPartObj>
        <w:docPartGallery w:val="Page Numbers (Bottom of Page)"/>
        <w:docPartUnique/>
      </w:docPartObj>
    </w:sdtPr>
    <w:sdtEndPr>
      <w:rPr>
        <w:rStyle w:val="PageNumber"/>
      </w:rPr>
    </w:sdtEndPr>
    <w:sdtContent>
      <w:p w14:paraId="72FD91FB" w14:textId="77777777" w:rsidR="004B432C" w:rsidRDefault="004B432C" w:rsidP="008C5C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04D648E4" w14:textId="77777777" w:rsidR="004B432C" w:rsidRDefault="004B432C" w:rsidP="004B432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680B4" w14:textId="77777777" w:rsidR="005F095E" w:rsidRDefault="005F095E" w:rsidP="004B432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412922"/>
      <w:docPartObj>
        <w:docPartGallery w:val="Page Numbers (Bottom of Page)"/>
        <w:docPartUnique/>
      </w:docPartObj>
    </w:sdtPr>
    <w:sdtEndPr>
      <w:rPr>
        <w:rStyle w:val="PageNumber"/>
      </w:rPr>
    </w:sdtEndPr>
    <w:sdtContent>
      <w:p w14:paraId="51F45320" w14:textId="77777777" w:rsidR="005F095E" w:rsidRDefault="005F095E" w:rsidP="008C5C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sdtContent>
  </w:sdt>
  <w:p w14:paraId="2525D216" w14:textId="77777777" w:rsidR="005F095E" w:rsidRDefault="005F095E" w:rsidP="004B43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4CF00" w14:textId="77777777" w:rsidR="00BE45E3" w:rsidRDefault="00BE45E3" w:rsidP="00A34CC2">
      <w:pPr>
        <w:spacing w:before="0" w:after="0" w:line="240" w:lineRule="auto"/>
      </w:pPr>
      <w:r>
        <w:separator/>
      </w:r>
    </w:p>
  </w:footnote>
  <w:footnote w:type="continuationSeparator" w:id="0">
    <w:p w14:paraId="70ECA923" w14:textId="77777777" w:rsidR="00BE45E3" w:rsidRDefault="00BE45E3" w:rsidP="00A34CC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6F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5C2FD3"/>
    <w:multiLevelType w:val="hybridMultilevel"/>
    <w:tmpl w:val="1D3AAE14"/>
    <w:lvl w:ilvl="0" w:tplc="5372B6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EB7"/>
    <w:multiLevelType w:val="hybridMultilevel"/>
    <w:tmpl w:val="DDEA0B4C"/>
    <w:lvl w:ilvl="0" w:tplc="A36616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00FA"/>
    <w:multiLevelType w:val="multilevel"/>
    <w:tmpl w:val="350ED644"/>
    <w:lvl w:ilvl="0">
      <w:start w:val="1"/>
      <w:numFmt w:val="decimal"/>
      <w:lvlText w:val="%1)"/>
      <w:lvlJc w:val="left"/>
      <w:pPr>
        <w:ind w:left="360" w:hanging="360"/>
      </w:pPr>
      <w:rPr>
        <w:rFonts w:ascii="Arial" w:hAnsi="Arial"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6"/>
      <w:lvlText w:val="Appendix %6"/>
      <w:lvlJc w:val="left"/>
      <w:pPr>
        <w:ind w:left="2160" w:hanging="2160"/>
      </w:pPr>
      <w:rPr>
        <w:rFonts w:ascii="Arial" w:hAnsi="Arial" w:hint="default"/>
        <w:b/>
        <w:i w:val="0"/>
        <w:color w:val="auto"/>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4E5D2C"/>
    <w:multiLevelType w:val="hybridMultilevel"/>
    <w:tmpl w:val="607CF586"/>
    <w:lvl w:ilvl="0" w:tplc="BCEC57CC">
      <w:start w:val="1"/>
      <w:numFmt w:val="bullet"/>
      <w:lvlText w:val=""/>
      <w:lvlJc w:val="left"/>
      <w:pPr>
        <w:ind w:left="720" w:hanging="360"/>
      </w:pPr>
      <w:rPr>
        <w:rFonts w:ascii="Symbol" w:hAnsi="Symbol" w:hint="default"/>
      </w:rPr>
    </w:lvl>
    <w:lvl w:ilvl="1" w:tplc="A8BCD516" w:tentative="1">
      <w:start w:val="1"/>
      <w:numFmt w:val="bullet"/>
      <w:lvlText w:val="o"/>
      <w:lvlJc w:val="left"/>
      <w:pPr>
        <w:ind w:left="1440" w:hanging="360"/>
      </w:pPr>
      <w:rPr>
        <w:rFonts w:ascii="Courier New" w:hAnsi="Courier New" w:cs="Courier New" w:hint="default"/>
      </w:rPr>
    </w:lvl>
    <w:lvl w:ilvl="2" w:tplc="3F924DCC" w:tentative="1">
      <w:start w:val="1"/>
      <w:numFmt w:val="bullet"/>
      <w:lvlText w:val=""/>
      <w:lvlJc w:val="left"/>
      <w:pPr>
        <w:ind w:left="2160" w:hanging="360"/>
      </w:pPr>
      <w:rPr>
        <w:rFonts w:ascii="Wingdings" w:hAnsi="Wingdings" w:hint="default"/>
      </w:rPr>
    </w:lvl>
    <w:lvl w:ilvl="3" w:tplc="E7844C44" w:tentative="1">
      <w:start w:val="1"/>
      <w:numFmt w:val="bullet"/>
      <w:lvlText w:val=""/>
      <w:lvlJc w:val="left"/>
      <w:pPr>
        <w:ind w:left="2880" w:hanging="360"/>
      </w:pPr>
      <w:rPr>
        <w:rFonts w:ascii="Symbol" w:hAnsi="Symbol" w:hint="default"/>
      </w:rPr>
    </w:lvl>
    <w:lvl w:ilvl="4" w:tplc="4BC2C584" w:tentative="1">
      <w:start w:val="1"/>
      <w:numFmt w:val="bullet"/>
      <w:lvlText w:val="o"/>
      <w:lvlJc w:val="left"/>
      <w:pPr>
        <w:ind w:left="3600" w:hanging="360"/>
      </w:pPr>
      <w:rPr>
        <w:rFonts w:ascii="Courier New" w:hAnsi="Courier New" w:cs="Courier New" w:hint="default"/>
      </w:rPr>
    </w:lvl>
    <w:lvl w:ilvl="5" w:tplc="0BBC8728" w:tentative="1">
      <w:start w:val="1"/>
      <w:numFmt w:val="bullet"/>
      <w:lvlText w:val=""/>
      <w:lvlJc w:val="left"/>
      <w:pPr>
        <w:ind w:left="4320" w:hanging="360"/>
      </w:pPr>
      <w:rPr>
        <w:rFonts w:ascii="Wingdings" w:hAnsi="Wingdings" w:hint="default"/>
      </w:rPr>
    </w:lvl>
    <w:lvl w:ilvl="6" w:tplc="94563180" w:tentative="1">
      <w:start w:val="1"/>
      <w:numFmt w:val="bullet"/>
      <w:lvlText w:val=""/>
      <w:lvlJc w:val="left"/>
      <w:pPr>
        <w:ind w:left="5040" w:hanging="360"/>
      </w:pPr>
      <w:rPr>
        <w:rFonts w:ascii="Symbol" w:hAnsi="Symbol" w:hint="default"/>
      </w:rPr>
    </w:lvl>
    <w:lvl w:ilvl="7" w:tplc="697C2E38" w:tentative="1">
      <w:start w:val="1"/>
      <w:numFmt w:val="bullet"/>
      <w:lvlText w:val="o"/>
      <w:lvlJc w:val="left"/>
      <w:pPr>
        <w:ind w:left="5760" w:hanging="360"/>
      </w:pPr>
      <w:rPr>
        <w:rFonts w:ascii="Courier New" w:hAnsi="Courier New" w:cs="Courier New" w:hint="default"/>
      </w:rPr>
    </w:lvl>
    <w:lvl w:ilvl="8" w:tplc="AA5ACF82" w:tentative="1">
      <w:start w:val="1"/>
      <w:numFmt w:val="bullet"/>
      <w:lvlText w:val=""/>
      <w:lvlJc w:val="left"/>
      <w:pPr>
        <w:ind w:left="6480" w:hanging="360"/>
      </w:pPr>
      <w:rPr>
        <w:rFonts w:ascii="Wingdings" w:hAnsi="Wingdings" w:hint="default"/>
      </w:rPr>
    </w:lvl>
  </w:abstractNum>
  <w:abstractNum w:abstractNumId="5" w15:restartNumberingAfterBreak="0">
    <w:nsid w:val="198255B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29437C"/>
    <w:multiLevelType w:val="hybridMultilevel"/>
    <w:tmpl w:val="4ECC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93916"/>
    <w:multiLevelType w:val="multilevel"/>
    <w:tmpl w:val="6FAED14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7A61E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8CF43A9"/>
    <w:multiLevelType w:val="multilevel"/>
    <w:tmpl w:val="B894AA72"/>
    <w:styleLink w:val="Appendix"/>
    <w:lvl w:ilvl="0">
      <w:start w:val="1"/>
      <w:numFmt w:val="decimal"/>
      <w:lvlText w:val="%1)"/>
      <w:lvlJc w:val="left"/>
      <w:pPr>
        <w:ind w:left="360" w:hanging="360"/>
      </w:pPr>
      <w:rPr>
        <w:rFonts w:ascii="Arial" w:hAnsi="Arial"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lvlText w:val="Appendix %6. "/>
      <w:lvlJc w:val="left"/>
      <w:pPr>
        <w:tabs>
          <w:tab w:val="num" w:pos="2160"/>
        </w:tabs>
        <w:ind w:left="2160" w:hanging="2160"/>
      </w:pPr>
      <w:rPr>
        <w:rFonts w:ascii="Arial" w:hAnsi="Arial" w:hint="default"/>
        <w:b/>
        <w:i w:val="0"/>
        <w:color w:val="auto"/>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8368FE"/>
    <w:multiLevelType w:val="hybridMultilevel"/>
    <w:tmpl w:val="4BC41936"/>
    <w:lvl w:ilvl="0" w:tplc="34040D1C">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1276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CE3189B"/>
    <w:multiLevelType w:val="hybridMultilevel"/>
    <w:tmpl w:val="3570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0C30EE"/>
    <w:multiLevelType w:val="hybridMultilevel"/>
    <w:tmpl w:val="56FED05E"/>
    <w:lvl w:ilvl="0" w:tplc="7C2C3B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F3509D"/>
    <w:multiLevelType w:val="multilevel"/>
    <w:tmpl w:val="7A207A0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7967C8F"/>
    <w:multiLevelType w:val="multilevel"/>
    <w:tmpl w:val="350ED644"/>
    <w:lvl w:ilvl="0">
      <w:start w:val="1"/>
      <w:numFmt w:val="decimal"/>
      <w:lvlText w:val="%1)"/>
      <w:lvlJc w:val="left"/>
      <w:pPr>
        <w:ind w:left="360" w:hanging="360"/>
      </w:pPr>
      <w:rPr>
        <w:rFonts w:ascii="Arial" w:hAnsi="Arial"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lvlText w:val="Appendix %6"/>
      <w:lvlJc w:val="left"/>
      <w:pPr>
        <w:ind w:left="2160" w:hanging="2160"/>
      </w:pPr>
      <w:rPr>
        <w:rFonts w:ascii="Arial" w:hAnsi="Arial" w:hint="default"/>
        <w:b/>
        <w:i w:val="0"/>
        <w:color w:val="auto"/>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80813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0B4CB7"/>
    <w:multiLevelType w:val="hybridMultilevel"/>
    <w:tmpl w:val="51021470"/>
    <w:lvl w:ilvl="0" w:tplc="3E9C7570">
      <w:start w:val="1"/>
      <w:numFmt w:val="bullet"/>
      <w:lvlText w:val=""/>
      <w:lvlJc w:val="left"/>
      <w:pPr>
        <w:ind w:left="720" w:hanging="360"/>
      </w:pPr>
      <w:rPr>
        <w:rFonts w:ascii="Symbol" w:hAnsi="Symbol" w:hint="default"/>
      </w:rPr>
    </w:lvl>
    <w:lvl w:ilvl="1" w:tplc="BBC4062A" w:tentative="1">
      <w:start w:val="1"/>
      <w:numFmt w:val="bullet"/>
      <w:lvlText w:val="o"/>
      <w:lvlJc w:val="left"/>
      <w:pPr>
        <w:ind w:left="1440" w:hanging="360"/>
      </w:pPr>
      <w:rPr>
        <w:rFonts w:ascii="Courier New" w:hAnsi="Courier New" w:cs="Courier New" w:hint="default"/>
      </w:rPr>
    </w:lvl>
    <w:lvl w:ilvl="2" w:tplc="DD6C27BC" w:tentative="1">
      <w:start w:val="1"/>
      <w:numFmt w:val="bullet"/>
      <w:lvlText w:val=""/>
      <w:lvlJc w:val="left"/>
      <w:pPr>
        <w:ind w:left="2160" w:hanging="360"/>
      </w:pPr>
      <w:rPr>
        <w:rFonts w:ascii="Wingdings" w:hAnsi="Wingdings" w:hint="default"/>
      </w:rPr>
    </w:lvl>
    <w:lvl w:ilvl="3" w:tplc="B6B6D636" w:tentative="1">
      <w:start w:val="1"/>
      <w:numFmt w:val="bullet"/>
      <w:lvlText w:val=""/>
      <w:lvlJc w:val="left"/>
      <w:pPr>
        <w:ind w:left="2880" w:hanging="360"/>
      </w:pPr>
      <w:rPr>
        <w:rFonts w:ascii="Symbol" w:hAnsi="Symbol" w:hint="default"/>
      </w:rPr>
    </w:lvl>
    <w:lvl w:ilvl="4" w:tplc="8E22286E" w:tentative="1">
      <w:start w:val="1"/>
      <w:numFmt w:val="bullet"/>
      <w:lvlText w:val="o"/>
      <w:lvlJc w:val="left"/>
      <w:pPr>
        <w:ind w:left="3600" w:hanging="360"/>
      </w:pPr>
      <w:rPr>
        <w:rFonts w:ascii="Courier New" w:hAnsi="Courier New" w:cs="Courier New" w:hint="default"/>
      </w:rPr>
    </w:lvl>
    <w:lvl w:ilvl="5" w:tplc="50A08AA4" w:tentative="1">
      <w:start w:val="1"/>
      <w:numFmt w:val="bullet"/>
      <w:lvlText w:val=""/>
      <w:lvlJc w:val="left"/>
      <w:pPr>
        <w:ind w:left="4320" w:hanging="360"/>
      </w:pPr>
      <w:rPr>
        <w:rFonts w:ascii="Wingdings" w:hAnsi="Wingdings" w:hint="default"/>
      </w:rPr>
    </w:lvl>
    <w:lvl w:ilvl="6" w:tplc="1CBA8706" w:tentative="1">
      <w:start w:val="1"/>
      <w:numFmt w:val="bullet"/>
      <w:lvlText w:val=""/>
      <w:lvlJc w:val="left"/>
      <w:pPr>
        <w:ind w:left="5040" w:hanging="360"/>
      </w:pPr>
      <w:rPr>
        <w:rFonts w:ascii="Symbol" w:hAnsi="Symbol" w:hint="default"/>
      </w:rPr>
    </w:lvl>
    <w:lvl w:ilvl="7" w:tplc="91142176" w:tentative="1">
      <w:start w:val="1"/>
      <w:numFmt w:val="bullet"/>
      <w:lvlText w:val="o"/>
      <w:lvlJc w:val="left"/>
      <w:pPr>
        <w:ind w:left="5760" w:hanging="360"/>
      </w:pPr>
      <w:rPr>
        <w:rFonts w:ascii="Courier New" w:hAnsi="Courier New" w:cs="Courier New" w:hint="default"/>
      </w:rPr>
    </w:lvl>
    <w:lvl w:ilvl="8" w:tplc="13109F50" w:tentative="1">
      <w:start w:val="1"/>
      <w:numFmt w:val="bullet"/>
      <w:lvlText w:val=""/>
      <w:lvlJc w:val="left"/>
      <w:pPr>
        <w:ind w:left="6480" w:hanging="360"/>
      </w:pPr>
      <w:rPr>
        <w:rFonts w:ascii="Wingdings" w:hAnsi="Wingdings" w:hint="default"/>
      </w:rPr>
    </w:lvl>
  </w:abstractNum>
  <w:abstractNum w:abstractNumId="18" w15:restartNumberingAfterBreak="0">
    <w:nsid w:val="5FEC3392"/>
    <w:multiLevelType w:val="hybridMultilevel"/>
    <w:tmpl w:val="3D44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82C49"/>
    <w:multiLevelType w:val="hybridMultilevel"/>
    <w:tmpl w:val="CF4E9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F72B2F"/>
    <w:multiLevelType w:val="hybridMultilevel"/>
    <w:tmpl w:val="7D7E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7547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A01E17"/>
    <w:multiLevelType w:val="hybridMultilevel"/>
    <w:tmpl w:val="AF783BC6"/>
    <w:lvl w:ilvl="0" w:tplc="97A29D4C">
      <w:start w:val="1"/>
      <w:numFmt w:val="lowerRoman"/>
      <w:lvlText w:val="%1)"/>
      <w:lvlJc w:val="left"/>
      <w:pPr>
        <w:ind w:left="720" w:hanging="360"/>
      </w:pPr>
      <w:rPr>
        <w:rFonts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B39CA"/>
    <w:multiLevelType w:val="hybridMultilevel"/>
    <w:tmpl w:val="250A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33B26"/>
    <w:multiLevelType w:val="hybridMultilevel"/>
    <w:tmpl w:val="432C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825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FF77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D3B082F"/>
    <w:multiLevelType w:val="multilevel"/>
    <w:tmpl w:val="79622E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27"/>
  </w:num>
  <w:num w:numId="4">
    <w:abstractNumId w:val="17"/>
  </w:num>
  <w:num w:numId="5">
    <w:abstractNumId w:val="4"/>
  </w:num>
  <w:num w:numId="6">
    <w:abstractNumId w:val="24"/>
  </w:num>
  <w:num w:numId="7">
    <w:abstractNumId w:val="13"/>
  </w:num>
  <w:num w:numId="8">
    <w:abstractNumId w:val="11"/>
  </w:num>
  <w:num w:numId="9">
    <w:abstractNumId w:val="14"/>
  </w:num>
  <w:num w:numId="10">
    <w:abstractNumId w:val="23"/>
  </w:num>
  <w:num w:numId="11">
    <w:abstractNumId w:val="22"/>
  </w:num>
  <w:num w:numId="12">
    <w:abstractNumId w:val="12"/>
  </w:num>
  <w:num w:numId="13">
    <w:abstractNumId w:val="10"/>
  </w:num>
  <w:num w:numId="14">
    <w:abstractNumId w:val="8"/>
  </w:num>
  <w:num w:numId="15">
    <w:abstractNumId w:val="5"/>
  </w:num>
  <w:num w:numId="16">
    <w:abstractNumId w:val="16"/>
  </w:num>
  <w:num w:numId="17">
    <w:abstractNumId w:val="9"/>
  </w:num>
  <w:num w:numId="18">
    <w:abstractNumId w:val="26"/>
  </w:num>
  <w:num w:numId="19">
    <w:abstractNumId w:val="25"/>
  </w:num>
  <w:num w:numId="20">
    <w:abstractNumId w:val="3"/>
  </w:num>
  <w:num w:numId="21">
    <w:abstractNumId w:val="21"/>
  </w:num>
  <w:num w:numId="22">
    <w:abstractNumId w:val="3"/>
    <w:lvlOverride w:ilvl="0">
      <w:lvl w:ilvl="0">
        <w:start w:val="1"/>
        <w:numFmt w:val="decimal"/>
        <w:lvlText w:val="%1)"/>
        <w:lvlJc w:val="left"/>
        <w:pPr>
          <w:ind w:left="360" w:hanging="360"/>
        </w:pPr>
        <w:rPr>
          <w:rFonts w:ascii="Arial" w:hAnsi="Arial" w:hint="default"/>
          <w:b/>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upperLetter"/>
        <w:pStyle w:val="Heading6"/>
        <w:lvlText w:val="Appendix %6"/>
        <w:lvlJc w:val="left"/>
        <w:pPr>
          <w:ind w:left="2160" w:hanging="2160"/>
        </w:pPr>
        <w:rPr>
          <w:rFonts w:ascii="Arial" w:hAnsi="Arial" w:hint="default"/>
          <w:b/>
          <w:i w:val="0"/>
          <w:color w:val="auto"/>
          <w:sz w:val="24"/>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15"/>
  </w:num>
  <w:num w:numId="24">
    <w:abstractNumId w:val="7"/>
  </w:num>
  <w:num w:numId="25">
    <w:abstractNumId w:val="0"/>
  </w:num>
  <w:num w:numId="26">
    <w:abstractNumId w:val="18"/>
  </w:num>
  <w:num w:numId="27">
    <w:abstractNumId w:val="20"/>
  </w:num>
  <w:num w:numId="28">
    <w:abstractNumId w:val="1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180"/>
    <w:rsid w:val="0000040D"/>
    <w:rsid w:val="00000D43"/>
    <w:rsid w:val="00000FD9"/>
    <w:rsid w:val="0000134A"/>
    <w:rsid w:val="0000189C"/>
    <w:rsid w:val="00001C3B"/>
    <w:rsid w:val="000027A7"/>
    <w:rsid w:val="00002C0F"/>
    <w:rsid w:val="00002ED2"/>
    <w:rsid w:val="00003244"/>
    <w:rsid w:val="0000376A"/>
    <w:rsid w:val="00003AB4"/>
    <w:rsid w:val="000043EA"/>
    <w:rsid w:val="00004489"/>
    <w:rsid w:val="0000454C"/>
    <w:rsid w:val="000046A9"/>
    <w:rsid w:val="00004A58"/>
    <w:rsid w:val="00005C82"/>
    <w:rsid w:val="00006024"/>
    <w:rsid w:val="000066C1"/>
    <w:rsid w:val="00006B74"/>
    <w:rsid w:val="00006B9C"/>
    <w:rsid w:val="00006F26"/>
    <w:rsid w:val="0000703F"/>
    <w:rsid w:val="000071E4"/>
    <w:rsid w:val="000079FC"/>
    <w:rsid w:val="00007C1B"/>
    <w:rsid w:val="000110E5"/>
    <w:rsid w:val="00011DB6"/>
    <w:rsid w:val="0001217C"/>
    <w:rsid w:val="00012767"/>
    <w:rsid w:val="00012A6C"/>
    <w:rsid w:val="00013400"/>
    <w:rsid w:val="000137BC"/>
    <w:rsid w:val="000138CF"/>
    <w:rsid w:val="00013D2E"/>
    <w:rsid w:val="00014225"/>
    <w:rsid w:val="000142D6"/>
    <w:rsid w:val="00015ACB"/>
    <w:rsid w:val="0001615B"/>
    <w:rsid w:val="0001667E"/>
    <w:rsid w:val="00016813"/>
    <w:rsid w:val="0001721E"/>
    <w:rsid w:val="00017523"/>
    <w:rsid w:val="00017835"/>
    <w:rsid w:val="0001789A"/>
    <w:rsid w:val="000178E4"/>
    <w:rsid w:val="00020407"/>
    <w:rsid w:val="00020576"/>
    <w:rsid w:val="00020710"/>
    <w:rsid w:val="00021127"/>
    <w:rsid w:val="00021EB2"/>
    <w:rsid w:val="000227F0"/>
    <w:rsid w:val="000229C9"/>
    <w:rsid w:val="00022F89"/>
    <w:rsid w:val="000230F9"/>
    <w:rsid w:val="000231C8"/>
    <w:rsid w:val="00023982"/>
    <w:rsid w:val="00023AA4"/>
    <w:rsid w:val="00023B96"/>
    <w:rsid w:val="00023D0B"/>
    <w:rsid w:val="00024838"/>
    <w:rsid w:val="000248B4"/>
    <w:rsid w:val="00024C6A"/>
    <w:rsid w:val="000252C2"/>
    <w:rsid w:val="000257F0"/>
    <w:rsid w:val="00025A27"/>
    <w:rsid w:val="00026097"/>
    <w:rsid w:val="00026AD5"/>
    <w:rsid w:val="00027789"/>
    <w:rsid w:val="00027924"/>
    <w:rsid w:val="00027E5E"/>
    <w:rsid w:val="0003012C"/>
    <w:rsid w:val="000301CA"/>
    <w:rsid w:val="00030A51"/>
    <w:rsid w:val="000320E4"/>
    <w:rsid w:val="00032254"/>
    <w:rsid w:val="00032793"/>
    <w:rsid w:val="00032A06"/>
    <w:rsid w:val="00032D9C"/>
    <w:rsid w:val="000334A6"/>
    <w:rsid w:val="00033BA8"/>
    <w:rsid w:val="00033BE3"/>
    <w:rsid w:val="00033FDD"/>
    <w:rsid w:val="000340FD"/>
    <w:rsid w:val="000349AA"/>
    <w:rsid w:val="00034B7E"/>
    <w:rsid w:val="00035992"/>
    <w:rsid w:val="00035FC4"/>
    <w:rsid w:val="00036367"/>
    <w:rsid w:val="00036AB0"/>
    <w:rsid w:val="00036CE2"/>
    <w:rsid w:val="00037168"/>
    <w:rsid w:val="00037874"/>
    <w:rsid w:val="00037956"/>
    <w:rsid w:val="00037C0E"/>
    <w:rsid w:val="0004083C"/>
    <w:rsid w:val="0004087F"/>
    <w:rsid w:val="000408A6"/>
    <w:rsid w:val="00040DFD"/>
    <w:rsid w:val="0004198B"/>
    <w:rsid w:val="00041A5B"/>
    <w:rsid w:val="00041D7A"/>
    <w:rsid w:val="00042542"/>
    <w:rsid w:val="00042DE4"/>
    <w:rsid w:val="00043150"/>
    <w:rsid w:val="000431D4"/>
    <w:rsid w:val="00044017"/>
    <w:rsid w:val="00044463"/>
    <w:rsid w:val="00044F08"/>
    <w:rsid w:val="000451B9"/>
    <w:rsid w:val="0004530F"/>
    <w:rsid w:val="0004538C"/>
    <w:rsid w:val="00045635"/>
    <w:rsid w:val="0004594B"/>
    <w:rsid w:val="000477DF"/>
    <w:rsid w:val="00047944"/>
    <w:rsid w:val="00047AAD"/>
    <w:rsid w:val="00050195"/>
    <w:rsid w:val="0005061B"/>
    <w:rsid w:val="00050740"/>
    <w:rsid w:val="000507E6"/>
    <w:rsid w:val="00050887"/>
    <w:rsid w:val="00051062"/>
    <w:rsid w:val="000517FC"/>
    <w:rsid w:val="000519F8"/>
    <w:rsid w:val="00051AB6"/>
    <w:rsid w:val="00051E1A"/>
    <w:rsid w:val="00051F03"/>
    <w:rsid w:val="00052EA3"/>
    <w:rsid w:val="00053436"/>
    <w:rsid w:val="00053CA3"/>
    <w:rsid w:val="000546A0"/>
    <w:rsid w:val="00054760"/>
    <w:rsid w:val="00054A2E"/>
    <w:rsid w:val="00054E46"/>
    <w:rsid w:val="0005509E"/>
    <w:rsid w:val="0005599A"/>
    <w:rsid w:val="00055E5A"/>
    <w:rsid w:val="0005771D"/>
    <w:rsid w:val="00057CAA"/>
    <w:rsid w:val="000602FE"/>
    <w:rsid w:val="0006048A"/>
    <w:rsid w:val="0006051C"/>
    <w:rsid w:val="00060569"/>
    <w:rsid w:val="00060E17"/>
    <w:rsid w:val="00060EB0"/>
    <w:rsid w:val="00061396"/>
    <w:rsid w:val="00061630"/>
    <w:rsid w:val="00061DC6"/>
    <w:rsid w:val="00061F4D"/>
    <w:rsid w:val="00062102"/>
    <w:rsid w:val="00062303"/>
    <w:rsid w:val="0006255F"/>
    <w:rsid w:val="00063014"/>
    <w:rsid w:val="0006327E"/>
    <w:rsid w:val="000637F7"/>
    <w:rsid w:val="00064F35"/>
    <w:rsid w:val="00065265"/>
    <w:rsid w:val="000655A6"/>
    <w:rsid w:val="0006568B"/>
    <w:rsid w:val="00065D97"/>
    <w:rsid w:val="00066E3F"/>
    <w:rsid w:val="0006745A"/>
    <w:rsid w:val="00067DFA"/>
    <w:rsid w:val="00067E66"/>
    <w:rsid w:val="00067FC7"/>
    <w:rsid w:val="000704C9"/>
    <w:rsid w:val="000715C2"/>
    <w:rsid w:val="00071B5A"/>
    <w:rsid w:val="00071DBF"/>
    <w:rsid w:val="00071E47"/>
    <w:rsid w:val="000725FB"/>
    <w:rsid w:val="000729E5"/>
    <w:rsid w:val="00072BC8"/>
    <w:rsid w:val="00073263"/>
    <w:rsid w:val="000742ED"/>
    <w:rsid w:val="000743AE"/>
    <w:rsid w:val="0007492A"/>
    <w:rsid w:val="00074D3A"/>
    <w:rsid w:val="00075073"/>
    <w:rsid w:val="00075A49"/>
    <w:rsid w:val="00075AE9"/>
    <w:rsid w:val="00075CF6"/>
    <w:rsid w:val="00075FAF"/>
    <w:rsid w:val="000765D0"/>
    <w:rsid w:val="000773EF"/>
    <w:rsid w:val="0007763B"/>
    <w:rsid w:val="000777EE"/>
    <w:rsid w:val="00077884"/>
    <w:rsid w:val="00077A04"/>
    <w:rsid w:val="00077D0F"/>
    <w:rsid w:val="000800A9"/>
    <w:rsid w:val="0008056D"/>
    <w:rsid w:val="000805FB"/>
    <w:rsid w:val="000809F0"/>
    <w:rsid w:val="000810B8"/>
    <w:rsid w:val="0008166E"/>
    <w:rsid w:val="00083373"/>
    <w:rsid w:val="00083BFC"/>
    <w:rsid w:val="00083F67"/>
    <w:rsid w:val="0008447C"/>
    <w:rsid w:val="00084F11"/>
    <w:rsid w:val="000850D5"/>
    <w:rsid w:val="0008558E"/>
    <w:rsid w:val="000859E4"/>
    <w:rsid w:val="00085C63"/>
    <w:rsid w:val="00085DF5"/>
    <w:rsid w:val="00086272"/>
    <w:rsid w:val="00086503"/>
    <w:rsid w:val="00086A04"/>
    <w:rsid w:val="00086BCE"/>
    <w:rsid w:val="00086D7F"/>
    <w:rsid w:val="00087466"/>
    <w:rsid w:val="0008759E"/>
    <w:rsid w:val="00087AD5"/>
    <w:rsid w:val="00090D1D"/>
    <w:rsid w:val="00090D64"/>
    <w:rsid w:val="000911F0"/>
    <w:rsid w:val="00091ABE"/>
    <w:rsid w:val="00092030"/>
    <w:rsid w:val="0009248A"/>
    <w:rsid w:val="0009280C"/>
    <w:rsid w:val="000928A0"/>
    <w:rsid w:val="00092A21"/>
    <w:rsid w:val="00093416"/>
    <w:rsid w:val="0009473A"/>
    <w:rsid w:val="0009474B"/>
    <w:rsid w:val="00094BA0"/>
    <w:rsid w:val="00095434"/>
    <w:rsid w:val="00095B75"/>
    <w:rsid w:val="0009611E"/>
    <w:rsid w:val="00096F1B"/>
    <w:rsid w:val="000970BB"/>
    <w:rsid w:val="00097687"/>
    <w:rsid w:val="000978F3"/>
    <w:rsid w:val="000A0401"/>
    <w:rsid w:val="000A053C"/>
    <w:rsid w:val="000A08EB"/>
    <w:rsid w:val="000A109F"/>
    <w:rsid w:val="000A139C"/>
    <w:rsid w:val="000A2648"/>
    <w:rsid w:val="000A3485"/>
    <w:rsid w:val="000A467A"/>
    <w:rsid w:val="000A4848"/>
    <w:rsid w:val="000A61B7"/>
    <w:rsid w:val="000A63EA"/>
    <w:rsid w:val="000A694F"/>
    <w:rsid w:val="000A700F"/>
    <w:rsid w:val="000A7122"/>
    <w:rsid w:val="000A7ECB"/>
    <w:rsid w:val="000B0609"/>
    <w:rsid w:val="000B0C89"/>
    <w:rsid w:val="000B0FA3"/>
    <w:rsid w:val="000B1096"/>
    <w:rsid w:val="000B29EC"/>
    <w:rsid w:val="000B2B8D"/>
    <w:rsid w:val="000B2DEF"/>
    <w:rsid w:val="000B318F"/>
    <w:rsid w:val="000B39CC"/>
    <w:rsid w:val="000B4DDA"/>
    <w:rsid w:val="000B5E18"/>
    <w:rsid w:val="000B65AE"/>
    <w:rsid w:val="000B6D03"/>
    <w:rsid w:val="000B7763"/>
    <w:rsid w:val="000B7E41"/>
    <w:rsid w:val="000C01D1"/>
    <w:rsid w:val="000C0257"/>
    <w:rsid w:val="000C09DF"/>
    <w:rsid w:val="000C0A77"/>
    <w:rsid w:val="000C0ABF"/>
    <w:rsid w:val="000C0BE2"/>
    <w:rsid w:val="000C0F09"/>
    <w:rsid w:val="000C1A38"/>
    <w:rsid w:val="000C23EE"/>
    <w:rsid w:val="000C25DC"/>
    <w:rsid w:val="000C2AFD"/>
    <w:rsid w:val="000C333C"/>
    <w:rsid w:val="000C36CB"/>
    <w:rsid w:val="000C3D19"/>
    <w:rsid w:val="000C4056"/>
    <w:rsid w:val="000C4198"/>
    <w:rsid w:val="000C4A2B"/>
    <w:rsid w:val="000C4EB1"/>
    <w:rsid w:val="000C52FC"/>
    <w:rsid w:val="000C5A45"/>
    <w:rsid w:val="000C60C4"/>
    <w:rsid w:val="000C66EF"/>
    <w:rsid w:val="000C672A"/>
    <w:rsid w:val="000C68B5"/>
    <w:rsid w:val="000C6916"/>
    <w:rsid w:val="000C6D74"/>
    <w:rsid w:val="000C6E16"/>
    <w:rsid w:val="000C6FDF"/>
    <w:rsid w:val="000C7D58"/>
    <w:rsid w:val="000C7ECD"/>
    <w:rsid w:val="000D006E"/>
    <w:rsid w:val="000D0D95"/>
    <w:rsid w:val="000D1F6E"/>
    <w:rsid w:val="000D22F6"/>
    <w:rsid w:val="000D2704"/>
    <w:rsid w:val="000D27F4"/>
    <w:rsid w:val="000D2A03"/>
    <w:rsid w:val="000D2ED8"/>
    <w:rsid w:val="000D2F34"/>
    <w:rsid w:val="000D33A8"/>
    <w:rsid w:val="000D39B7"/>
    <w:rsid w:val="000D3E3F"/>
    <w:rsid w:val="000D4183"/>
    <w:rsid w:val="000D4421"/>
    <w:rsid w:val="000D4762"/>
    <w:rsid w:val="000D4896"/>
    <w:rsid w:val="000D48D2"/>
    <w:rsid w:val="000D4A22"/>
    <w:rsid w:val="000D66D5"/>
    <w:rsid w:val="000D6ABC"/>
    <w:rsid w:val="000D73AB"/>
    <w:rsid w:val="000D748C"/>
    <w:rsid w:val="000D7816"/>
    <w:rsid w:val="000D7840"/>
    <w:rsid w:val="000D7C6E"/>
    <w:rsid w:val="000E0467"/>
    <w:rsid w:val="000E0678"/>
    <w:rsid w:val="000E0FFD"/>
    <w:rsid w:val="000E10D1"/>
    <w:rsid w:val="000E1268"/>
    <w:rsid w:val="000E195F"/>
    <w:rsid w:val="000E1ED1"/>
    <w:rsid w:val="000E25F0"/>
    <w:rsid w:val="000E2BD0"/>
    <w:rsid w:val="000E364C"/>
    <w:rsid w:val="000E40B9"/>
    <w:rsid w:val="000E43D4"/>
    <w:rsid w:val="000E4687"/>
    <w:rsid w:val="000E46F6"/>
    <w:rsid w:val="000E479C"/>
    <w:rsid w:val="000E4D77"/>
    <w:rsid w:val="000E56E1"/>
    <w:rsid w:val="000E5710"/>
    <w:rsid w:val="000E5C8E"/>
    <w:rsid w:val="000E6325"/>
    <w:rsid w:val="000E715F"/>
    <w:rsid w:val="000E74CA"/>
    <w:rsid w:val="000F19EA"/>
    <w:rsid w:val="000F1F92"/>
    <w:rsid w:val="000F2271"/>
    <w:rsid w:val="000F253B"/>
    <w:rsid w:val="000F266E"/>
    <w:rsid w:val="000F30B7"/>
    <w:rsid w:val="000F3845"/>
    <w:rsid w:val="000F4966"/>
    <w:rsid w:val="000F49A7"/>
    <w:rsid w:val="000F502C"/>
    <w:rsid w:val="000F5054"/>
    <w:rsid w:val="000F513E"/>
    <w:rsid w:val="000F5297"/>
    <w:rsid w:val="000F55C9"/>
    <w:rsid w:val="000F5785"/>
    <w:rsid w:val="000F6141"/>
    <w:rsid w:val="000F73BC"/>
    <w:rsid w:val="000F74B2"/>
    <w:rsid w:val="000F7C84"/>
    <w:rsid w:val="001008CE"/>
    <w:rsid w:val="00100932"/>
    <w:rsid w:val="00100A26"/>
    <w:rsid w:val="00100A9A"/>
    <w:rsid w:val="00100B4E"/>
    <w:rsid w:val="00100CE2"/>
    <w:rsid w:val="00101850"/>
    <w:rsid w:val="00101C51"/>
    <w:rsid w:val="00101E0B"/>
    <w:rsid w:val="001036C5"/>
    <w:rsid w:val="001036E3"/>
    <w:rsid w:val="00103FBC"/>
    <w:rsid w:val="00105015"/>
    <w:rsid w:val="0010520B"/>
    <w:rsid w:val="001058E7"/>
    <w:rsid w:val="00106296"/>
    <w:rsid w:val="001065FB"/>
    <w:rsid w:val="00106832"/>
    <w:rsid w:val="00106B32"/>
    <w:rsid w:val="001078C2"/>
    <w:rsid w:val="00110034"/>
    <w:rsid w:val="00110265"/>
    <w:rsid w:val="001107F5"/>
    <w:rsid w:val="00110BA1"/>
    <w:rsid w:val="0011135B"/>
    <w:rsid w:val="00111527"/>
    <w:rsid w:val="001121A9"/>
    <w:rsid w:val="00112971"/>
    <w:rsid w:val="001129A1"/>
    <w:rsid w:val="00112FBA"/>
    <w:rsid w:val="0011332E"/>
    <w:rsid w:val="001134ED"/>
    <w:rsid w:val="00113757"/>
    <w:rsid w:val="00113AF0"/>
    <w:rsid w:val="00114E9C"/>
    <w:rsid w:val="00114EB3"/>
    <w:rsid w:val="001150DB"/>
    <w:rsid w:val="00115104"/>
    <w:rsid w:val="001152F1"/>
    <w:rsid w:val="001159F3"/>
    <w:rsid w:val="00115B0D"/>
    <w:rsid w:val="00115CF9"/>
    <w:rsid w:val="00116157"/>
    <w:rsid w:val="00116A3F"/>
    <w:rsid w:val="001176A4"/>
    <w:rsid w:val="001177E2"/>
    <w:rsid w:val="00117804"/>
    <w:rsid w:val="00117952"/>
    <w:rsid w:val="0012039B"/>
    <w:rsid w:val="00120B97"/>
    <w:rsid w:val="00120D54"/>
    <w:rsid w:val="00121079"/>
    <w:rsid w:val="00121808"/>
    <w:rsid w:val="00121A32"/>
    <w:rsid w:val="00121A3F"/>
    <w:rsid w:val="00121F0B"/>
    <w:rsid w:val="0012214C"/>
    <w:rsid w:val="00122D68"/>
    <w:rsid w:val="0012430E"/>
    <w:rsid w:val="0012515E"/>
    <w:rsid w:val="001252B9"/>
    <w:rsid w:val="00125719"/>
    <w:rsid w:val="001267BB"/>
    <w:rsid w:val="00126994"/>
    <w:rsid w:val="00126C2F"/>
    <w:rsid w:val="00126C32"/>
    <w:rsid w:val="00126C8F"/>
    <w:rsid w:val="0012706B"/>
    <w:rsid w:val="0012712E"/>
    <w:rsid w:val="0012717B"/>
    <w:rsid w:val="0013003A"/>
    <w:rsid w:val="001306D4"/>
    <w:rsid w:val="00130A5D"/>
    <w:rsid w:val="00130B37"/>
    <w:rsid w:val="0013162B"/>
    <w:rsid w:val="001318CD"/>
    <w:rsid w:val="00132098"/>
    <w:rsid w:val="0013234B"/>
    <w:rsid w:val="00132702"/>
    <w:rsid w:val="00132840"/>
    <w:rsid w:val="00132937"/>
    <w:rsid w:val="00133902"/>
    <w:rsid w:val="00133908"/>
    <w:rsid w:val="00133C80"/>
    <w:rsid w:val="00133DAE"/>
    <w:rsid w:val="00134795"/>
    <w:rsid w:val="00134896"/>
    <w:rsid w:val="00134C52"/>
    <w:rsid w:val="00135221"/>
    <w:rsid w:val="00135CDA"/>
    <w:rsid w:val="0013601A"/>
    <w:rsid w:val="00136A11"/>
    <w:rsid w:val="001376DF"/>
    <w:rsid w:val="00137A0E"/>
    <w:rsid w:val="00137DE2"/>
    <w:rsid w:val="00137F14"/>
    <w:rsid w:val="001405C6"/>
    <w:rsid w:val="001410A3"/>
    <w:rsid w:val="001413E4"/>
    <w:rsid w:val="0014175C"/>
    <w:rsid w:val="00141ED0"/>
    <w:rsid w:val="001423DB"/>
    <w:rsid w:val="00142D64"/>
    <w:rsid w:val="001431AB"/>
    <w:rsid w:val="00143241"/>
    <w:rsid w:val="00143576"/>
    <w:rsid w:val="00143AC1"/>
    <w:rsid w:val="00143E15"/>
    <w:rsid w:val="00143FD5"/>
    <w:rsid w:val="001444E7"/>
    <w:rsid w:val="001447B3"/>
    <w:rsid w:val="00144870"/>
    <w:rsid w:val="001451B4"/>
    <w:rsid w:val="00145352"/>
    <w:rsid w:val="001459AC"/>
    <w:rsid w:val="00145D38"/>
    <w:rsid w:val="00146849"/>
    <w:rsid w:val="001468B0"/>
    <w:rsid w:val="00146ED2"/>
    <w:rsid w:val="001473AF"/>
    <w:rsid w:val="0014780A"/>
    <w:rsid w:val="00147C12"/>
    <w:rsid w:val="00147E6B"/>
    <w:rsid w:val="00147F91"/>
    <w:rsid w:val="00151469"/>
    <w:rsid w:val="00151D1C"/>
    <w:rsid w:val="00151E6A"/>
    <w:rsid w:val="001520FB"/>
    <w:rsid w:val="001525C1"/>
    <w:rsid w:val="001526F9"/>
    <w:rsid w:val="0015330C"/>
    <w:rsid w:val="00153408"/>
    <w:rsid w:val="00153491"/>
    <w:rsid w:val="0015359F"/>
    <w:rsid w:val="00153F13"/>
    <w:rsid w:val="001543E5"/>
    <w:rsid w:val="00154454"/>
    <w:rsid w:val="0015453B"/>
    <w:rsid w:val="001545EE"/>
    <w:rsid w:val="00154D5B"/>
    <w:rsid w:val="001555C6"/>
    <w:rsid w:val="0015609A"/>
    <w:rsid w:val="00156251"/>
    <w:rsid w:val="001567DB"/>
    <w:rsid w:val="00156B1F"/>
    <w:rsid w:val="00156C1D"/>
    <w:rsid w:val="00156D9B"/>
    <w:rsid w:val="0015740E"/>
    <w:rsid w:val="001574B2"/>
    <w:rsid w:val="00157F50"/>
    <w:rsid w:val="00160C53"/>
    <w:rsid w:val="00161D30"/>
    <w:rsid w:val="00162085"/>
    <w:rsid w:val="001628F7"/>
    <w:rsid w:val="0016295F"/>
    <w:rsid w:val="00163215"/>
    <w:rsid w:val="001637DE"/>
    <w:rsid w:val="00163825"/>
    <w:rsid w:val="00163C75"/>
    <w:rsid w:val="00165646"/>
    <w:rsid w:val="00165908"/>
    <w:rsid w:val="00165B32"/>
    <w:rsid w:val="00165C6B"/>
    <w:rsid w:val="00166974"/>
    <w:rsid w:val="00166B51"/>
    <w:rsid w:val="00166CCD"/>
    <w:rsid w:val="00166D6E"/>
    <w:rsid w:val="00166FEF"/>
    <w:rsid w:val="001670D7"/>
    <w:rsid w:val="00167BCB"/>
    <w:rsid w:val="0017055A"/>
    <w:rsid w:val="00170D23"/>
    <w:rsid w:val="00170E46"/>
    <w:rsid w:val="00171DD7"/>
    <w:rsid w:val="0017364C"/>
    <w:rsid w:val="001740FD"/>
    <w:rsid w:val="0017577B"/>
    <w:rsid w:val="0017593C"/>
    <w:rsid w:val="001761E2"/>
    <w:rsid w:val="00176C9E"/>
    <w:rsid w:val="00177334"/>
    <w:rsid w:val="00177808"/>
    <w:rsid w:val="001814F4"/>
    <w:rsid w:val="001815CA"/>
    <w:rsid w:val="00182E61"/>
    <w:rsid w:val="0018343C"/>
    <w:rsid w:val="0018380B"/>
    <w:rsid w:val="001849FD"/>
    <w:rsid w:val="00184CC0"/>
    <w:rsid w:val="001875C0"/>
    <w:rsid w:val="001904B2"/>
    <w:rsid w:val="00190A89"/>
    <w:rsid w:val="00190D3B"/>
    <w:rsid w:val="00190DB6"/>
    <w:rsid w:val="00190F89"/>
    <w:rsid w:val="00191677"/>
    <w:rsid w:val="00191AF7"/>
    <w:rsid w:val="001933DA"/>
    <w:rsid w:val="00193420"/>
    <w:rsid w:val="00193507"/>
    <w:rsid w:val="001935DC"/>
    <w:rsid w:val="00193687"/>
    <w:rsid w:val="00193D91"/>
    <w:rsid w:val="00193E0F"/>
    <w:rsid w:val="00193F57"/>
    <w:rsid w:val="00193F8E"/>
    <w:rsid w:val="001943C8"/>
    <w:rsid w:val="00194BA8"/>
    <w:rsid w:val="001950C1"/>
    <w:rsid w:val="001958B9"/>
    <w:rsid w:val="00195C84"/>
    <w:rsid w:val="00195DC7"/>
    <w:rsid w:val="00196293"/>
    <w:rsid w:val="0019668B"/>
    <w:rsid w:val="00197019"/>
    <w:rsid w:val="00197059"/>
    <w:rsid w:val="00197884"/>
    <w:rsid w:val="00197CB2"/>
    <w:rsid w:val="00197CF9"/>
    <w:rsid w:val="00197EB1"/>
    <w:rsid w:val="001A0022"/>
    <w:rsid w:val="001A04F6"/>
    <w:rsid w:val="001A05A3"/>
    <w:rsid w:val="001A09CC"/>
    <w:rsid w:val="001A19EF"/>
    <w:rsid w:val="001A1A02"/>
    <w:rsid w:val="001A1C25"/>
    <w:rsid w:val="001A200D"/>
    <w:rsid w:val="001A215E"/>
    <w:rsid w:val="001A229F"/>
    <w:rsid w:val="001A36E3"/>
    <w:rsid w:val="001A3AFE"/>
    <w:rsid w:val="001A4390"/>
    <w:rsid w:val="001A44F3"/>
    <w:rsid w:val="001A483B"/>
    <w:rsid w:val="001A4882"/>
    <w:rsid w:val="001A49B1"/>
    <w:rsid w:val="001A4A58"/>
    <w:rsid w:val="001A52ED"/>
    <w:rsid w:val="001A5ADA"/>
    <w:rsid w:val="001A5CD0"/>
    <w:rsid w:val="001A70A8"/>
    <w:rsid w:val="001A78DE"/>
    <w:rsid w:val="001A79BD"/>
    <w:rsid w:val="001A7B97"/>
    <w:rsid w:val="001B0199"/>
    <w:rsid w:val="001B0374"/>
    <w:rsid w:val="001B0886"/>
    <w:rsid w:val="001B08B1"/>
    <w:rsid w:val="001B0AE1"/>
    <w:rsid w:val="001B1837"/>
    <w:rsid w:val="001B2246"/>
    <w:rsid w:val="001B2F00"/>
    <w:rsid w:val="001B311D"/>
    <w:rsid w:val="001B3571"/>
    <w:rsid w:val="001B3C4F"/>
    <w:rsid w:val="001B3F62"/>
    <w:rsid w:val="001B4DEF"/>
    <w:rsid w:val="001B5941"/>
    <w:rsid w:val="001B6269"/>
    <w:rsid w:val="001B7021"/>
    <w:rsid w:val="001B7171"/>
    <w:rsid w:val="001B7AC2"/>
    <w:rsid w:val="001B7C5D"/>
    <w:rsid w:val="001C0662"/>
    <w:rsid w:val="001C06D5"/>
    <w:rsid w:val="001C090F"/>
    <w:rsid w:val="001C1584"/>
    <w:rsid w:val="001C17D0"/>
    <w:rsid w:val="001C1E57"/>
    <w:rsid w:val="001C1E9A"/>
    <w:rsid w:val="001C2128"/>
    <w:rsid w:val="001C3369"/>
    <w:rsid w:val="001C4084"/>
    <w:rsid w:val="001C45DC"/>
    <w:rsid w:val="001C4777"/>
    <w:rsid w:val="001C4D6D"/>
    <w:rsid w:val="001C5205"/>
    <w:rsid w:val="001C53D2"/>
    <w:rsid w:val="001C5714"/>
    <w:rsid w:val="001C5CF2"/>
    <w:rsid w:val="001C60A7"/>
    <w:rsid w:val="001C6762"/>
    <w:rsid w:val="001C714E"/>
    <w:rsid w:val="001C718C"/>
    <w:rsid w:val="001C72D5"/>
    <w:rsid w:val="001C72F3"/>
    <w:rsid w:val="001D00D9"/>
    <w:rsid w:val="001D040B"/>
    <w:rsid w:val="001D0C18"/>
    <w:rsid w:val="001D1281"/>
    <w:rsid w:val="001D15DF"/>
    <w:rsid w:val="001D1997"/>
    <w:rsid w:val="001D1CA3"/>
    <w:rsid w:val="001D1EA1"/>
    <w:rsid w:val="001D22CB"/>
    <w:rsid w:val="001D291B"/>
    <w:rsid w:val="001D2B5E"/>
    <w:rsid w:val="001D2B5F"/>
    <w:rsid w:val="001D2F45"/>
    <w:rsid w:val="001D306A"/>
    <w:rsid w:val="001D36CA"/>
    <w:rsid w:val="001D4442"/>
    <w:rsid w:val="001D48D2"/>
    <w:rsid w:val="001D51C5"/>
    <w:rsid w:val="001D5312"/>
    <w:rsid w:val="001D5E01"/>
    <w:rsid w:val="001D6084"/>
    <w:rsid w:val="001D61E5"/>
    <w:rsid w:val="001D639E"/>
    <w:rsid w:val="001D7283"/>
    <w:rsid w:val="001D72BB"/>
    <w:rsid w:val="001D74AC"/>
    <w:rsid w:val="001D79FF"/>
    <w:rsid w:val="001D7CF1"/>
    <w:rsid w:val="001E045A"/>
    <w:rsid w:val="001E06AD"/>
    <w:rsid w:val="001E0D97"/>
    <w:rsid w:val="001E13A2"/>
    <w:rsid w:val="001E1A83"/>
    <w:rsid w:val="001E24FB"/>
    <w:rsid w:val="001E2D90"/>
    <w:rsid w:val="001E33AC"/>
    <w:rsid w:val="001E38ED"/>
    <w:rsid w:val="001E431D"/>
    <w:rsid w:val="001E4954"/>
    <w:rsid w:val="001E4D83"/>
    <w:rsid w:val="001E4D90"/>
    <w:rsid w:val="001E5B8A"/>
    <w:rsid w:val="001E5C5A"/>
    <w:rsid w:val="001E667D"/>
    <w:rsid w:val="001E6E2A"/>
    <w:rsid w:val="001E72EE"/>
    <w:rsid w:val="001E7525"/>
    <w:rsid w:val="001E7603"/>
    <w:rsid w:val="001E777C"/>
    <w:rsid w:val="001E7D55"/>
    <w:rsid w:val="001F0027"/>
    <w:rsid w:val="001F0ED8"/>
    <w:rsid w:val="001F179E"/>
    <w:rsid w:val="001F1AA1"/>
    <w:rsid w:val="001F1F2F"/>
    <w:rsid w:val="001F2534"/>
    <w:rsid w:val="001F2812"/>
    <w:rsid w:val="001F2E59"/>
    <w:rsid w:val="001F4402"/>
    <w:rsid w:val="001F4705"/>
    <w:rsid w:val="001F4FE5"/>
    <w:rsid w:val="001F575B"/>
    <w:rsid w:val="001F58A6"/>
    <w:rsid w:val="001F5C66"/>
    <w:rsid w:val="001F6E32"/>
    <w:rsid w:val="001F6F14"/>
    <w:rsid w:val="001F754A"/>
    <w:rsid w:val="001F77D3"/>
    <w:rsid w:val="001F7B36"/>
    <w:rsid w:val="001F7C11"/>
    <w:rsid w:val="001F7C75"/>
    <w:rsid w:val="001F7EDB"/>
    <w:rsid w:val="00200005"/>
    <w:rsid w:val="0020058C"/>
    <w:rsid w:val="0020159A"/>
    <w:rsid w:val="00201F3F"/>
    <w:rsid w:val="00202F39"/>
    <w:rsid w:val="00203080"/>
    <w:rsid w:val="00203163"/>
    <w:rsid w:val="00203AE4"/>
    <w:rsid w:val="00203BFB"/>
    <w:rsid w:val="00204183"/>
    <w:rsid w:val="00204840"/>
    <w:rsid w:val="00204F5F"/>
    <w:rsid w:val="0020500A"/>
    <w:rsid w:val="002057DA"/>
    <w:rsid w:val="002058A3"/>
    <w:rsid w:val="002059AD"/>
    <w:rsid w:val="002063F9"/>
    <w:rsid w:val="0020654A"/>
    <w:rsid w:val="00206839"/>
    <w:rsid w:val="00206A3A"/>
    <w:rsid w:val="00206D48"/>
    <w:rsid w:val="00207064"/>
    <w:rsid w:val="00207214"/>
    <w:rsid w:val="00207291"/>
    <w:rsid w:val="00207401"/>
    <w:rsid w:val="0020776A"/>
    <w:rsid w:val="00207F38"/>
    <w:rsid w:val="00207F7A"/>
    <w:rsid w:val="002102F2"/>
    <w:rsid w:val="002103DB"/>
    <w:rsid w:val="0021066D"/>
    <w:rsid w:val="00210B35"/>
    <w:rsid w:val="0021100F"/>
    <w:rsid w:val="00211102"/>
    <w:rsid w:val="0021115F"/>
    <w:rsid w:val="00211DBF"/>
    <w:rsid w:val="00211F31"/>
    <w:rsid w:val="00211FEE"/>
    <w:rsid w:val="0021258D"/>
    <w:rsid w:val="00212EA1"/>
    <w:rsid w:val="00212F85"/>
    <w:rsid w:val="00213544"/>
    <w:rsid w:val="00213CBA"/>
    <w:rsid w:val="00213DB9"/>
    <w:rsid w:val="00213DBA"/>
    <w:rsid w:val="00213DF7"/>
    <w:rsid w:val="002145CB"/>
    <w:rsid w:val="00214CAE"/>
    <w:rsid w:val="0021514B"/>
    <w:rsid w:val="002157C3"/>
    <w:rsid w:val="00216089"/>
    <w:rsid w:val="0021647F"/>
    <w:rsid w:val="002164E3"/>
    <w:rsid w:val="00217691"/>
    <w:rsid w:val="00217C60"/>
    <w:rsid w:val="0022035C"/>
    <w:rsid w:val="00221DA5"/>
    <w:rsid w:val="00221E2B"/>
    <w:rsid w:val="00222063"/>
    <w:rsid w:val="002241AE"/>
    <w:rsid w:val="00224318"/>
    <w:rsid w:val="0022491B"/>
    <w:rsid w:val="00224C3A"/>
    <w:rsid w:val="00225108"/>
    <w:rsid w:val="002257D2"/>
    <w:rsid w:val="00225DD5"/>
    <w:rsid w:val="002263CE"/>
    <w:rsid w:val="00226495"/>
    <w:rsid w:val="0022655C"/>
    <w:rsid w:val="0022659F"/>
    <w:rsid w:val="002268B9"/>
    <w:rsid w:val="00226901"/>
    <w:rsid w:val="00226978"/>
    <w:rsid w:val="0023053B"/>
    <w:rsid w:val="00230683"/>
    <w:rsid w:val="002308BD"/>
    <w:rsid w:val="00230A3B"/>
    <w:rsid w:val="00230AD4"/>
    <w:rsid w:val="00230F27"/>
    <w:rsid w:val="0023147C"/>
    <w:rsid w:val="002314B8"/>
    <w:rsid w:val="00231650"/>
    <w:rsid w:val="002323F4"/>
    <w:rsid w:val="002327FC"/>
    <w:rsid w:val="00232974"/>
    <w:rsid w:val="00232A61"/>
    <w:rsid w:val="00232E72"/>
    <w:rsid w:val="002335A4"/>
    <w:rsid w:val="00233865"/>
    <w:rsid w:val="00233DE6"/>
    <w:rsid w:val="00234374"/>
    <w:rsid w:val="0023445E"/>
    <w:rsid w:val="002345BC"/>
    <w:rsid w:val="002345CF"/>
    <w:rsid w:val="002347E9"/>
    <w:rsid w:val="0023518D"/>
    <w:rsid w:val="002351C8"/>
    <w:rsid w:val="00235461"/>
    <w:rsid w:val="00235830"/>
    <w:rsid w:val="00235FCC"/>
    <w:rsid w:val="00236242"/>
    <w:rsid w:val="002367A5"/>
    <w:rsid w:val="00236DA1"/>
    <w:rsid w:val="0023702F"/>
    <w:rsid w:val="002372B7"/>
    <w:rsid w:val="0024018C"/>
    <w:rsid w:val="00240E7A"/>
    <w:rsid w:val="0024292C"/>
    <w:rsid w:val="00242ECD"/>
    <w:rsid w:val="00243217"/>
    <w:rsid w:val="00243F75"/>
    <w:rsid w:val="002441B0"/>
    <w:rsid w:val="0024452F"/>
    <w:rsid w:val="00244F52"/>
    <w:rsid w:val="00245426"/>
    <w:rsid w:val="00245704"/>
    <w:rsid w:val="00245BF4"/>
    <w:rsid w:val="002467AD"/>
    <w:rsid w:val="00246938"/>
    <w:rsid w:val="00246BBB"/>
    <w:rsid w:val="00246D16"/>
    <w:rsid w:val="00247082"/>
    <w:rsid w:val="002470FB"/>
    <w:rsid w:val="00250229"/>
    <w:rsid w:val="0025091D"/>
    <w:rsid w:val="0025104A"/>
    <w:rsid w:val="002513E4"/>
    <w:rsid w:val="00251ABB"/>
    <w:rsid w:val="00251FA8"/>
    <w:rsid w:val="00251FF9"/>
    <w:rsid w:val="00252B76"/>
    <w:rsid w:val="002535FD"/>
    <w:rsid w:val="0025388D"/>
    <w:rsid w:val="002539B1"/>
    <w:rsid w:val="00254BAB"/>
    <w:rsid w:val="00254CA9"/>
    <w:rsid w:val="00255919"/>
    <w:rsid w:val="00255AF7"/>
    <w:rsid w:val="0025616A"/>
    <w:rsid w:val="00256294"/>
    <w:rsid w:val="002562E9"/>
    <w:rsid w:val="00256575"/>
    <w:rsid w:val="00256852"/>
    <w:rsid w:val="00256B1C"/>
    <w:rsid w:val="002601F9"/>
    <w:rsid w:val="002604CC"/>
    <w:rsid w:val="00260A3B"/>
    <w:rsid w:val="00260C95"/>
    <w:rsid w:val="00260E9F"/>
    <w:rsid w:val="00261029"/>
    <w:rsid w:val="00261044"/>
    <w:rsid w:val="002611BA"/>
    <w:rsid w:val="00261313"/>
    <w:rsid w:val="0026156B"/>
    <w:rsid w:val="00261744"/>
    <w:rsid w:val="00261FEC"/>
    <w:rsid w:val="00262675"/>
    <w:rsid w:val="002627D4"/>
    <w:rsid w:val="00263228"/>
    <w:rsid w:val="0026322B"/>
    <w:rsid w:val="002645C9"/>
    <w:rsid w:val="0026547F"/>
    <w:rsid w:val="002655D8"/>
    <w:rsid w:val="00265DC1"/>
    <w:rsid w:val="0026758C"/>
    <w:rsid w:val="00267C3F"/>
    <w:rsid w:val="00270D3B"/>
    <w:rsid w:val="00270DF9"/>
    <w:rsid w:val="00270FFB"/>
    <w:rsid w:val="00271538"/>
    <w:rsid w:val="002715C6"/>
    <w:rsid w:val="00271D68"/>
    <w:rsid w:val="00271E4F"/>
    <w:rsid w:val="00272506"/>
    <w:rsid w:val="00272EA0"/>
    <w:rsid w:val="00273048"/>
    <w:rsid w:val="0027305A"/>
    <w:rsid w:val="00273093"/>
    <w:rsid w:val="00273A76"/>
    <w:rsid w:val="00273ED3"/>
    <w:rsid w:val="00273FCB"/>
    <w:rsid w:val="00274494"/>
    <w:rsid w:val="002746DE"/>
    <w:rsid w:val="002746EA"/>
    <w:rsid w:val="00274772"/>
    <w:rsid w:val="00274F27"/>
    <w:rsid w:val="00275479"/>
    <w:rsid w:val="002754E4"/>
    <w:rsid w:val="00275983"/>
    <w:rsid w:val="00276369"/>
    <w:rsid w:val="0027638E"/>
    <w:rsid w:val="00276BFA"/>
    <w:rsid w:val="00276C4D"/>
    <w:rsid w:val="0027740A"/>
    <w:rsid w:val="00277584"/>
    <w:rsid w:val="002801E2"/>
    <w:rsid w:val="002801FA"/>
    <w:rsid w:val="00280240"/>
    <w:rsid w:val="00280576"/>
    <w:rsid w:val="002808F7"/>
    <w:rsid w:val="00280D7C"/>
    <w:rsid w:val="00280D8E"/>
    <w:rsid w:val="00280DA9"/>
    <w:rsid w:val="002817C3"/>
    <w:rsid w:val="00281C61"/>
    <w:rsid w:val="00281D7A"/>
    <w:rsid w:val="00282064"/>
    <w:rsid w:val="0028435A"/>
    <w:rsid w:val="00284590"/>
    <w:rsid w:val="0028469E"/>
    <w:rsid w:val="00284AAC"/>
    <w:rsid w:val="002853FE"/>
    <w:rsid w:val="00285815"/>
    <w:rsid w:val="002858CA"/>
    <w:rsid w:val="00286659"/>
    <w:rsid w:val="00286B57"/>
    <w:rsid w:val="00286CBA"/>
    <w:rsid w:val="00287C0A"/>
    <w:rsid w:val="00287E4D"/>
    <w:rsid w:val="002903F4"/>
    <w:rsid w:val="00290823"/>
    <w:rsid w:val="002911A2"/>
    <w:rsid w:val="002914A5"/>
    <w:rsid w:val="00291D71"/>
    <w:rsid w:val="002921BC"/>
    <w:rsid w:val="0029243E"/>
    <w:rsid w:val="002924BE"/>
    <w:rsid w:val="00292B37"/>
    <w:rsid w:val="00293134"/>
    <w:rsid w:val="002935C6"/>
    <w:rsid w:val="00293840"/>
    <w:rsid w:val="002939A5"/>
    <w:rsid w:val="00293DBF"/>
    <w:rsid w:val="0029432B"/>
    <w:rsid w:val="002943CA"/>
    <w:rsid w:val="002943F6"/>
    <w:rsid w:val="0029460F"/>
    <w:rsid w:val="0029467C"/>
    <w:rsid w:val="00294D70"/>
    <w:rsid w:val="00294F3D"/>
    <w:rsid w:val="002955B5"/>
    <w:rsid w:val="0029575E"/>
    <w:rsid w:val="00295928"/>
    <w:rsid w:val="00296B6D"/>
    <w:rsid w:val="002A0008"/>
    <w:rsid w:val="002A001A"/>
    <w:rsid w:val="002A0170"/>
    <w:rsid w:val="002A047E"/>
    <w:rsid w:val="002A0C29"/>
    <w:rsid w:val="002A0C2F"/>
    <w:rsid w:val="002A0CBD"/>
    <w:rsid w:val="002A1512"/>
    <w:rsid w:val="002A1EF6"/>
    <w:rsid w:val="002A2459"/>
    <w:rsid w:val="002A2913"/>
    <w:rsid w:val="002A2AE0"/>
    <w:rsid w:val="002A3716"/>
    <w:rsid w:val="002A41D7"/>
    <w:rsid w:val="002A4225"/>
    <w:rsid w:val="002A52D4"/>
    <w:rsid w:val="002A53B3"/>
    <w:rsid w:val="002A54F7"/>
    <w:rsid w:val="002A5562"/>
    <w:rsid w:val="002A56F3"/>
    <w:rsid w:val="002A5B10"/>
    <w:rsid w:val="002A6538"/>
    <w:rsid w:val="002A69E2"/>
    <w:rsid w:val="002A733E"/>
    <w:rsid w:val="002B0D23"/>
    <w:rsid w:val="002B1873"/>
    <w:rsid w:val="002B217B"/>
    <w:rsid w:val="002B2D50"/>
    <w:rsid w:val="002B3C97"/>
    <w:rsid w:val="002B40DA"/>
    <w:rsid w:val="002B4552"/>
    <w:rsid w:val="002B557F"/>
    <w:rsid w:val="002B5B98"/>
    <w:rsid w:val="002B722F"/>
    <w:rsid w:val="002B7750"/>
    <w:rsid w:val="002B79B9"/>
    <w:rsid w:val="002B7BF9"/>
    <w:rsid w:val="002C0026"/>
    <w:rsid w:val="002C031B"/>
    <w:rsid w:val="002C0485"/>
    <w:rsid w:val="002C054F"/>
    <w:rsid w:val="002C064E"/>
    <w:rsid w:val="002C0A4E"/>
    <w:rsid w:val="002C0BF6"/>
    <w:rsid w:val="002C0E04"/>
    <w:rsid w:val="002C0EC9"/>
    <w:rsid w:val="002C104F"/>
    <w:rsid w:val="002C119C"/>
    <w:rsid w:val="002C12B0"/>
    <w:rsid w:val="002C1665"/>
    <w:rsid w:val="002C26B9"/>
    <w:rsid w:val="002C29FB"/>
    <w:rsid w:val="002C2D27"/>
    <w:rsid w:val="002C496B"/>
    <w:rsid w:val="002C4B9D"/>
    <w:rsid w:val="002C4DE8"/>
    <w:rsid w:val="002C5100"/>
    <w:rsid w:val="002C52D2"/>
    <w:rsid w:val="002C52EC"/>
    <w:rsid w:val="002C5672"/>
    <w:rsid w:val="002C6318"/>
    <w:rsid w:val="002C6827"/>
    <w:rsid w:val="002C7278"/>
    <w:rsid w:val="002D011A"/>
    <w:rsid w:val="002D0151"/>
    <w:rsid w:val="002D0C2C"/>
    <w:rsid w:val="002D0F22"/>
    <w:rsid w:val="002D1AC3"/>
    <w:rsid w:val="002D200A"/>
    <w:rsid w:val="002D2692"/>
    <w:rsid w:val="002D289A"/>
    <w:rsid w:val="002D295D"/>
    <w:rsid w:val="002D2CD7"/>
    <w:rsid w:val="002D3797"/>
    <w:rsid w:val="002D3F7F"/>
    <w:rsid w:val="002D40A9"/>
    <w:rsid w:val="002D470E"/>
    <w:rsid w:val="002D474F"/>
    <w:rsid w:val="002D48CE"/>
    <w:rsid w:val="002D4CB2"/>
    <w:rsid w:val="002D4F0B"/>
    <w:rsid w:val="002D50E0"/>
    <w:rsid w:val="002D5123"/>
    <w:rsid w:val="002D51BC"/>
    <w:rsid w:val="002D524C"/>
    <w:rsid w:val="002D5346"/>
    <w:rsid w:val="002D570F"/>
    <w:rsid w:val="002D5A61"/>
    <w:rsid w:val="002D5FA2"/>
    <w:rsid w:val="002D60F4"/>
    <w:rsid w:val="002D7565"/>
    <w:rsid w:val="002E0291"/>
    <w:rsid w:val="002E0688"/>
    <w:rsid w:val="002E0A37"/>
    <w:rsid w:val="002E2402"/>
    <w:rsid w:val="002E2769"/>
    <w:rsid w:val="002E2B36"/>
    <w:rsid w:val="002E2B37"/>
    <w:rsid w:val="002E4729"/>
    <w:rsid w:val="002E4B2A"/>
    <w:rsid w:val="002E57ED"/>
    <w:rsid w:val="002E5A7C"/>
    <w:rsid w:val="002E5C96"/>
    <w:rsid w:val="002E61F2"/>
    <w:rsid w:val="002E707B"/>
    <w:rsid w:val="002F011C"/>
    <w:rsid w:val="002F027D"/>
    <w:rsid w:val="002F0500"/>
    <w:rsid w:val="002F0D32"/>
    <w:rsid w:val="002F0D8E"/>
    <w:rsid w:val="002F0E46"/>
    <w:rsid w:val="002F1341"/>
    <w:rsid w:val="002F16FD"/>
    <w:rsid w:val="002F1933"/>
    <w:rsid w:val="002F1B3B"/>
    <w:rsid w:val="002F2B47"/>
    <w:rsid w:val="002F2E22"/>
    <w:rsid w:val="002F2F16"/>
    <w:rsid w:val="002F3206"/>
    <w:rsid w:val="002F354E"/>
    <w:rsid w:val="002F4593"/>
    <w:rsid w:val="002F4871"/>
    <w:rsid w:val="002F4AF7"/>
    <w:rsid w:val="002F4DFA"/>
    <w:rsid w:val="002F54BD"/>
    <w:rsid w:val="002F5FBE"/>
    <w:rsid w:val="002F6265"/>
    <w:rsid w:val="002F6D64"/>
    <w:rsid w:val="002F7642"/>
    <w:rsid w:val="002F7664"/>
    <w:rsid w:val="002F772F"/>
    <w:rsid w:val="002F7B15"/>
    <w:rsid w:val="00300198"/>
    <w:rsid w:val="00300BDC"/>
    <w:rsid w:val="0030102D"/>
    <w:rsid w:val="0030207D"/>
    <w:rsid w:val="00302397"/>
    <w:rsid w:val="0030288C"/>
    <w:rsid w:val="00302A58"/>
    <w:rsid w:val="00303007"/>
    <w:rsid w:val="003037FF"/>
    <w:rsid w:val="00303E11"/>
    <w:rsid w:val="003043CE"/>
    <w:rsid w:val="003050D0"/>
    <w:rsid w:val="003060D9"/>
    <w:rsid w:val="0030669C"/>
    <w:rsid w:val="00306B35"/>
    <w:rsid w:val="00307946"/>
    <w:rsid w:val="00307C11"/>
    <w:rsid w:val="00310299"/>
    <w:rsid w:val="0031039D"/>
    <w:rsid w:val="003107EF"/>
    <w:rsid w:val="00312BDE"/>
    <w:rsid w:val="00312CE5"/>
    <w:rsid w:val="00312EE3"/>
    <w:rsid w:val="00313026"/>
    <w:rsid w:val="003130BD"/>
    <w:rsid w:val="0031313B"/>
    <w:rsid w:val="00313EF4"/>
    <w:rsid w:val="00314023"/>
    <w:rsid w:val="0031425B"/>
    <w:rsid w:val="00314B4C"/>
    <w:rsid w:val="00314F63"/>
    <w:rsid w:val="003152D5"/>
    <w:rsid w:val="00315432"/>
    <w:rsid w:val="00315A13"/>
    <w:rsid w:val="003160DC"/>
    <w:rsid w:val="003160FD"/>
    <w:rsid w:val="00316588"/>
    <w:rsid w:val="003166C1"/>
    <w:rsid w:val="003169FB"/>
    <w:rsid w:val="00317920"/>
    <w:rsid w:val="00317B0A"/>
    <w:rsid w:val="0032094F"/>
    <w:rsid w:val="00320BDD"/>
    <w:rsid w:val="0032118D"/>
    <w:rsid w:val="00322740"/>
    <w:rsid w:val="00323715"/>
    <w:rsid w:val="00323A33"/>
    <w:rsid w:val="0032423C"/>
    <w:rsid w:val="0032466E"/>
    <w:rsid w:val="00324CC6"/>
    <w:rsid w:val="00324CF9"/>
    <w:rsid w:val="00325B67"/>
    <w:rsid w:val="0032610A"/>
    <w:rsid w:val="00326699"/>
    <w:rsid w:val="00326E5A"/>
    <w:rsid w:val="00327C1E"/>
    <w:rsid w:val="0033028A"/>
    <w:rsid w:val="00330322"/>
    <w:rsid w:val="0033052B"/>
    <w:rsid w:val="003314B9"/>
    <w:rsid w:val="0033159B"/>
    <w:rsid w:val="003318DA"/>
    <w:rsid w:val="003323D1"/>
    <w:rsid w:val="00333580"/>
    <w:rsid w:val="0033362E"/>
    <w:rsid w:val="003340BA"/>
    <w:rsid w:val="003343A4"/>
    <w:rsid w:val="00334598"/>
    <w:rsid w:val="003345DB"/>
    <w:rsid w:val="00334674"/>
    <w:rsid w:val="003346A0"/>
    <w:rsid w:val="00334F04"/>
    <w:rsid w:val="003351C4"/>
    <w:rsid w:val="003354D3"/>
    <w:rsid w:val="00335571"/>
    <w:rsid w:val="0033577A"/>
    <w:rsid w:val="00335ACF"/>
    <w:rsid w:val="00335EE2"/>
    <w:rsid w:val="0033682A"/>
    <w:rsid w:val="00337703"/>
    <w:rsid w:val="00337A44"/>
    <w:rsid w:val="00337D93"/>
    <w:rsid w:val="003402CD"/>
    <w:rsid w:val="00340432"/>
    <w:rsid w:val="00340A2C"/>
    <w:rsid w:val="00340E31"/>
    <w:rsid w:val="00341163"/>
    <w:rsid w:val="00341D07"/>
    <w:rsid w:val="00342EAF"/>
    <w:rsid w:val="003436D6"/>
    <w:rsid w:val="00343791"/>
    <w:rsid w:val="003439FE"/>
    <w:rsid w:val="00343B7A"/>
    <w:rsid w:val="00343BD6"/>
    <w:rsid w:val="00343F2E"/>
    <w:rsid w:val="003442C4"/>
    <w:rsid w:val="003443B3"/>
    <w:rsid w:val="003447EF"/>
    <w:rsid w:val="00344B25"/>
    <w:rsid w:val="0034566C"/>
    <w:rsid w:val="00345930"/>
    <w:rsid w:val="00345CE5"/>
    <w:rsid w:val="00345DD8"/>
    <w:rsid w:val="0034616B"/>
    <w:rsid w:val="00346892"/>
    <w:rsid w:val="0034709B"/>
    <w:rsid w:val="00347242"/>
    <w:rsid w:val="0035006A"/>
    <w:rsid w:val="003504E9"/>
    <w:rsid w:val="003504F7"/>
    <w:rsid w:val="003512CD"/>
    <w:rsid w:val="0035158C"/>
    <w:rsid w:val="003522FF"/>
    <w:rsid w:val="003526BA"/>
    <w:rsid w:val="00352969"/>
    <w:rsid w:val="00352A33"/>
    <w:rsid w:val="00352D21"/>
    <w:rsid w:val="0035337D"/>
    <w:rsid w:val="003539F8"/>
    <w:rsid w:val="00354F23"/>
    <w:rsid w:val="0035551F"/>
    <w:rsid w:val="00355649"/>
    <w:rsid w:val="003559A0"/>
    <w:rsid w:val="00356C16"/>
    <w:rsid w:val="00356EC4"/>
    <w:rsid w:val="00357DAF"/>
    <w:rsid w:val="00357F7A"/>
    <w:rsid w:val="003600F8"/>
    <w:rsid w:val="00360301"/>
    <w:rsid w:val="00360360"/>
    <w:rsid w:val="003606D6"/>
    <w:rsid w:val="00360A19"/>
    <w:rsid w:val="00360CBC"/>
    <w:rsid w:val="00361195"/>
    <w:rsid w:val="003611E7"/>
    <w:rsid w:val="00361645"/>
    <w:rsid w:val="0036190E"/>
    <w:rsid w:val="003627F0"/>
    <w:rsid w:val="0036317C"/>
    <w:rsid w:val="0036448D"/>
    <w:rsid w:val="00364A4B"/>
    <w:rsid w:val="00364BC7"/>
    <w:rsid w:val="00365A5E"/>
    <w:rsid w:val="00365AA8"/>
    <w:rsid w:val="00365D2E"/>
    <w:rsid w:val="0036673F"/>
    <w:rsid w:val="00366DB5"/>
    <w:rsid w:val="0036705F"/>
    <w:rsid w:val="0036717D"/>
    <w:rsid w:val="00367F5A"/>
    <w:rsid w:val="00370752"/>
    <w:rsid w:val="00371338"/>
    <w:rsid w:val="00371880"/>
    <w:rsid w:val="00371D23"/>
    <w:rsid w:val="003724C8"/>
    <w:rsid w:val="0037278D"/>
    <w:rsid w:val="0037278E"/>
    <w:rsid w:val="00372C76"/>
    <w:rsid w:val="00373E23"/>
    <w:rsid w:val="003741A8"/>
    <w:rsid w:val="00374890"/>
    <w:rsid w:val="00374AEF"/>
    <w:rsid w:val="00374B2B"/>
    <w:rsid w:val="00375E46"/>
    <w:rsid w:val="00376B46"/>
    <w:rsid w:val="00377F85"/>
    <w:rsid w:val="00380021"/>
    <w:rsid w:val="00380107"/>
    <w:rsid w:val="003803F0"/>
    <w:rsid w:val="0038107E"/>
    <w:rsid w:val="003811D5"/>
    <w:rsid w:val="00381A5E"/>
    <w:rsid w:val="00382060"/>
    <w:rsid w:val="00382873"/>
    <w:rsid w:val="003838A9"/>
    <w:rsid w:val="00383F1F"/>
    <w:rsid w:val="003850E6"/>
    <w:rsid w:val="003850F8"/>
    <w:rsid w:val="00385539"/>
    <w:rsid w:val="0038579D"/>
    <w:rsid w:val="003859C8"/>
    <w:rsid w:val="00385ACE"/>
    <w:rsid w:val="00385DA0"/>
    <w:rsid w:val="00385EF8"/>
    <w:rsid w:val="0038664D"/>
    <w:rsid w:val="003869D4"/>
    <w:rsid w:val="00386F98"/>
    <w:rsid w:val="00387487"/>
    <w:rsid w:val="003879D2"/>
    <w:rsid w:val="00390268"/>
    <w:rsid w:val="00391474"/>
    <w:rsid w:val="00391510"/>
    <w:rsid w:val="00391EA5"/>
    <w:rsid w:val="00392C78"/>
    <w:rsid w:val="003931C0"/>
    <w:rsid w:val="00393E2E"/>
    <w:rsid w:val="003940E1"/>
    <w:rsid w:val="003941B2"/>
    <w:rsid w:val="00394281"/>
    <w:rsid w:val="00394987"/>
    <w:rsid w:val="003949A7"/>
    <w:rsid w:val="003949DA"/>
    <w:rsid w:val="00394C56"/>
    <w:rsid w:val="00395EEC"/>
    <w:rsid w:val="003969A0"/>
    <w:rsid w:val="00396AAC"/>
    <w:rsid w:val="00396D6D"/>
    <w:rsid w:val="003973A1"/>
    <w:rsid w:val="0039782B"/>
    <w:rsid w:val="003A0882"/>
    <w:rsid w:val="003A0C75"/>
    <w:rsid w:val="003A1127"/>
    <w:rsid w:val="003A186B"/>
    <w:rsid w:val="003A1AB0"/>
    <w:rsid w:val="003A216B"/>
    <w:rsid w:val="003A227D"/>
    <w:rsid w:val="003A36CA"/>
    <w:rsid w:val="003A42D6"/>
    <w:rsid w:val="003A43FE"/>
    <w:rsid w:val="003A4C51"/>
    <w:rsid w:val="003A4FFC"/>
    <w:rsid w:val="003A625B"/>
    <w:rsid w:val="003A67CD"/>
    <w:rsid w:val="003A6840"/>
    <w:rsid w:val="003A7399"/>
    <w:rsid w:val="003A78A0"/>
    <w:rsid w:val="003A7DE8"/>
    <w:rsid w:val="003A7E2D"/>
    <w:rsid w:val="003B014F"/>
    <w:rsid w:val="003B042C"/>
    <w:rsid w:val="003B08B1"/>
    <w:rsid w:val="003B0B3E"/>
    <w:rsid w:val="003B169E"/>
    <w:rsid w:val="003B1E93"/>
    <w:rsid w:val="003B2315"/>
    <w:rsid w:val="003B2933"/>
    <w:rsid w:val="003B32F4"/>
    <w:rsid w:val="003B34D7"/>
    <w:rsid w:val="003B380A"/>
    <w:rsid w:val="003B3F52"/>
    <w:rsid w:val="003B4E4C"/>
    <w:rsid w:val="003B5434"/>
    <w:rsid w:val="003B56FE"/>
    <w:rsid w:val="003B571A"/>
    <w:rsid w:val="003B5F55"/>
    <w:rsid w:val="003B60DA"/>
    <w:rsid w:val="003B661E"/>
    <w:rsid w:val="003B67E4"/>
    <w:rsid w:val="003B6FB9"/>
    <w:rsid w:val="003B74F2"/>
    <w:rsid w:val="003B7882"/>
    <w:rsid w:val="003B78FA"/>
    <w:rsid w:val="003B795A"/>
    <w:rsid w:val="003B7C10"/>
    <w:rsid w:val="003B7F86"/>
    <w:rsid w:val="003C0486"/>
    <w:rsid w:val="003C0854"/>
    <w:rsid w:val="003C0A51"/>
    <w:rsid w:val="003C0A85"/>
    <w:rsid w:val="003C0EF2"/>
    <w:rsid w:val="003C1347"/>
    <w:rsid w:val="003C18C7"/>
    <w:rsid w:val="003C323D"/>
    <w:rsid w:val="003C3695"/>
    <w:rsid w:val="003C3A5A"/>
    <w:rsid w:val="003C3AF6"/>
    <w:rsid w:val="003C3CBE"/>
    <w:rsid w:val="003C4036"/>
    <w:rsid w:val="003C4168"/>
    <w:rsid w:val="003C419A"/>
    <w:rsid w:val="003C44F9"/>
    <w:rsid w:val="003C4E34"/>
    <w:rsid w:val="003C57BA"/>
    <w:rsid w:val="003C5F07"/>
    <w:rsid w:val="003C6132"/>
    <w:rsid w:val="003C613B"/>
    <w:rsid w:val="003C62E3"/>
    <w:rsid w:val="003C67C5"/>
    <w:rsid w:val="003C68E7"/>
    <w:rsid w:val="003C6917"/>
    <w:rsid w:val="003C6F4E"/>
    <w:rsid w:val="003C73AE"/>
    <w:rsid w:val="003C7720"/>
    <w:rsid w:val="003D01DF"/>
    <w:rsid w:val="003D0949"/>
    <w:rsid w:val="003D0E50"/>
    <w:rsid w:val="003D14C0"/>
    <w:rsid w:val="003D1D1E"/>
    <w:rsid w:val="003D1FCD"/>
    <w:rsid w:val="003D2867"/>
    <w:rsid w:val="003D298E"/>
    <w:rsid w:val="003D29B7"/>
    <w:rsid w:val="003D2DDD"/>
    <w:rsid w:val="003D30A0"/>
    <w:rsid w:val="003D47AF"/>
    <w:rsid w:val="003D4828"/>
    <w:rsid w:val="003D49EA"/>
    <w:rsid w:val="003D4C42"/>
    <w:rsid w:val="003D5596"/>
    <w:rsid w:val="003D585F"/>
    <w:rsid w:val="003D58A8"/>
    <w:rsid w:val="003D5CF0"/>
    <w:rsid w:val="003D5F80"/>
    <w:rsid w:val="003D636F"/>
    <w:rsid w:val="003D68D7"/>
    <w:rsid w:val="003D6BCD"/>
    <w:rsid w:val="003D6D38"/>
    <w:rsid w:val="003D724E"/>
    <w:rsid w:val="003E0233"/>
    <w:rsid w:val="003E06EA"/>
    <w:rsid w:val="003E0838"/>
    <w:rsid w:val="003E094D"/>
    <w:rsid w:val="003E09CD"/>
    <w:rsid w:val="003E0BD5"/>
    <w:rsid w:val="003E1594"/>
    <w:rsid w:val="003E1A8D"/>
    <w:rsid w:val="003E1D73"/>
    <w:rsid w:val="003E1F7D"/>
    <w:rsid w:val="003E2919"/>
    <w:rsid w:val="003E390D"/>
    <w:rsid w:val="003E3A86"/>
    <w:rsid w:val="003E433D"/>
    <w:rsid w:val="003E4842"/>
    <w:rsid w:val="003E4C4C"/>
    <w:rsid w:val="003E51DC"/>
    <w:rsid w:val="003E5B96"/>
    <w:rsid w:val="003E69BC"/>
    <w:rsid w:val="003E6AD7"/>
    <w:rsid w:val="003E702C"/>
    <w:rsid w:val="003E713C"/>
    <w:rsid w:val="003E757C"/>
    <w:rsid w:val="003F0523"/>
    <w:rsid w:val="003F1009"/>
    <w:rsid w:val="003F1660"/>
    <w:rsid w:val="003F18E2"/>
    <w:rsid w:val="003F1FF6"/>
    <w:rsid w:val="003F2359"/>
    <w:rsid w:val="003F23F5"/>
    <w:rsid w:val="003F2735"/>
    <w:rsid w:val="003F3181"/>
    <w:rsid w:val="003F354A"/>
    <w:rsid w:val="003F3D35"/>
    <w:rsid w:val="003F4D64"/>
    <w:rsid w:val="003F4E66"/>
    <w:rsid w:val="003F5577"/>
    <w:rsid w:val="003F591E"/>
    <w:rsid w:val="003F5B52"/>
    <w:rsid w:val="003F5F6A"/>
    <w:rsid w:val="003F65A1"/>
    <w:rsid w:val="003F6A4B"/>
    <w:rsid w:val="003F7439"/>
    <w:rsid w:val="003F7B18"/>
    <w:rsid w:val="004003D9"/>
    <w:rsid w:val="0040090F"/>
    <w:rsid w:val="00400A96"/>
    <w:rsid w:val="00400B98"/>
    <w:rsid w:val="00401F9D"/>
    <w:rsid w:val="0040221D"/>
    <w:rsid w:val="00402724"/>
    <w:rsid w:val="00403811"/>
    <w:rsid w:val="00403C9D"/>
    <w:rsid w:val="00403FD4"/>
    <w:rsid w:val="00404644"/>
    <w:rsid w:val="00404A19"/>
    <w:rsid w:val="00404A3C"/>
    <w:rsid w:val="00404B7F"/>
    <w:rsid w:val="00404BFC"/>
    <w:rsid w:val="00404DBC"/>
    <w:rsid w:val="00405688"/>
    <w:rsid w:val="00405E65"/>
    <w:rsid w:val="00406725"/>
    <w:rsid w:val="00406DD4"/>
    <w:rsid w:val="00406EB4"/>
    <w:rsid w:val="004070E7"/>
    <w:rsid w:val="0040739E"/>
    <w:rsid w:val="00407A05"/>
    <w:rsid w:val="00407BD8"/>
    <w:rsid w:val="00407FC6"/>
    <w:rsid w:val="004101A4"/>
    <w:rsid w:val="00410640"/>
    <w:rsid w:val="0041170D"/>
    <w:rsid w:val="00411925"/>
    <w:rsid w:val="00411B5A"/>
    <w:rsid w:val="00411FBA"/>
    <w:rsid w:val="0041248E"/>
    <w:rsid w:val="0041271A"/>
    <w:rsid w:val="00412D3C"/>
    <w:rsid w:val="00412F4E"/>
    <w:rsid w:val="004140B6"/>
    <w:rsid w:val="004141F8"/>
    <w:rsid w:val="00414A78"/>
    <w:rsid w:val="00414C1A"/>
    <w:rsid w:val="0041517D"/>
    <w:rsid w:val="00415B1C"/>
    <w:rsid w:val="00415EB9"/>
    <w:rsid w:val="00416710"/>
    <w:rsid w:val="00416B6A"/>
    <w:rsid w:val="00417386"/>
    <w:rsid w:val="00417436"/>
    <w:rsid w:val="0041754F"/>
    <w:rsid w:val="00417748"/>
    <w:rsid w:val="00417BA4"/>
    <w:rsid w:val="00417DD2"/>
    <w:rsid w:val="00417FD5"/>
    <w:rsid w:val="00420072"/>
    <w:rsid w:val="0042013B"/>
    <w:rsid w:val="004206FF"/>
    <w:rsid w:val="00420B49"/>
    <w:rsid w:val="00420CE7"/>
    <w:rsid w:val="0042136A"/>
    <w:rsid w:val="0042189E"/>
    <w:rsid w:val="00421DB2"/>
    <w:rsid w:val="004227F7"/>
    <w:rsid w:val="0042307C"/>
    <w:rsid w:val="00423492"/>
    <w:rsid w:val="00423A35"/>
    <w:rsid w:val="004246AF"/>
    <w:rsid w:val="00424885"/>
    <w:rsid w:val="00424A6D"/>
    <w:rsid w:val="00424DCC"/>
    <w:rsid w:val="00425395"/>
    <w:rsid w:val="0042545A"/>
    <w:rsid w:val="004261A0"/>
    <w:rsid w:val="0042632C"/>
    <w:rsid w:val="00426830"/>
    <w:rsid w:val="00427555"/>
    <w:rsid w:val="0042773C"/>
    <w:rsid w:val="0042789E"/>
    <w:rsid w:val="00427C06"/>
    <w:rsid w:val="00427E06"/>
    <w:rsid w:val="00430324"/>
    <w:rsid w:val="004309F7"/>
    <w:rsid w:val="00430C18"/>
    <w:rsid w:val="004310D0"/>
    <w:rsid w:val="00431307"/>
    <w:rsid w:val="0043170C"/>
    <w:rsid w:val="00431E4E"/>
    <w:rsid w:val="00431E6B"/>
    <w:rsid w:val="00431F49"/>
    <w:rsid w:val="004323A1"/>
    <w:rsid w:val="00432C4E"/>
    <w:rsid w:val="00432E11"/>
    <w:rsid w:val="0043415A"/>
    <w:rsid w:val="00434991"/>
    <w:rsid w:val="00435900"/>
    <w:rsid w:val="00435903"/>
    <w:rsid w:val="00436F96"/>
    <w:rsid w:val="0043714F"/>
    <w:rsid w:val="00437513"/>
    <w:rsid w:val="00437643"/>
    <w:rsid w:val="0043774A"/>
    <w:rsid w:val="004378AB"/>
    <w:rsid w:val="00437C18"/>
    <w:rsid w:val="004404EE"/>
    <w:rsid w:val="004407D0"/>
    <w:rsid w:val="0044126C"/>
    <w:rsid w:val="0044157C"/>
    <w:rsid w:val="00441C34"/>
    <w:rsid w:val="00441E33"/>
    <w:rsid w:val="00442696"/>
    <w:rsid w:val="00442DC1"/>
    <w:rsid w:val="00443FD6"/>
    <w:rsid w:val="00444BDD"/>
    <w:rsid w:val="00444F68"/>
    <w:rsid w:val="00445323"/>
    <w:rsid w:val="00445354"/>
    <w:rsid w:val="0044557A"/>
    <w:rsid w:val="0044661F"/>
    <w:rsid w:val="004466F4"/>
    <w:rsid w:val="00447A41"/>
    <w:rsid w:val="00447E5E"/>
    <w:rsid w:val="00450EED"/>
    <w:rsid w:val="00451060"/>
    <w:rsid w:val="00451419"/>
    <w:rsid w:val="004514C6"/>
    <w:rsid w:val="004515FB"/>
    <w:rsid w:val="00451875"/>
    <w:rsid w:val="0045226E"/>
    <w:rsid w:val="00452C27"/>
    <w:rsid w:val="00453B60"/>
    <w:rsid w:val="00453D8B"/>
    <w:rsid w:val="00454A03"/>
    <w:rsid w:val="00454C92"/>
    <w:rsid w:val="00454FB7"/>
    <w:rsid w:val="004550AD"/>
    <w:rsid w:val="0045532B"/>
    <w:rsid w:val="004553A9"/>
    <w:rsid w:val="00455970"/>
    <w:rsid w:val="00455A6C"/>
    <w:rsid w:val="0045603B"/>
    <w:rsid w:val="004561BF"/>
    <w:rsid w:val="00456460"/>
    <w:rsid w:val="00456B21"/>
    <w:rsid w:val="00457090"/>
    <w:rsid w:val="004578EA"/>
    <w:rsid w:val="0046021B"/>
    <w:rsid w:val="004609FE"/>
    <w:rsid w:val="00460E88"/>
    <w:rsid w:val="004614E5"/>
    <w:rsid w:val="0046181E"/>
    <w:rsid w:val="00461CBD"/>
    <w:rsid w:val="00461D71"/>
    <w:rsid w:val="00461EF8"/>
    <w:rsid w:val="00462120"/>
    <w:rsid w:val="004624BC"/>
    <w:rsid w:val="00462A23"/>
    <w:rsid w:val="00462DBC"/>
    <w:rsid w:val="00462E69"/>
    <w:rsid w:val="004632FB"/>
    <w:rsid w:val="00463721"/>
    <w:rsid w:val="0046376C"/>
    <w:rsid w:val="00463E32"/>
    <w:rsid w:val="00464594"/>
    <w:rsid w:val="0046468B"/>
    <w:rsid w:val="00464884"/>
    <w:rsid w:val="00465321"/>
    <w:rsid w:val="00465C92"/>
    <w:rsid w:val="0046732F"/>
    <w:rsid w:val="00467B1E"/>
    <w:rsid w:val="00467EE1"/>
    <w:rsid w:val="0047012E"/>
    <w:rsid w:val="004701DA"/>
    <w:rsid w:val="00470870"/>
    <w:rsid w:val="00470A5A"/>
    <w:rsid w:val="00470AB9"/>
    <w:rsid w:val="00470BA0"/>
    <w:rsid w:val="004710EA"/>
    <w:rsid w:val="004718E1"/>
    <w:rsid w:val="00471BCA"/>
    <w:rsid w:val="00471E70"/>
    <w:rsid w:val="004721A9"/>
    <w:rsid w:val="0047228B"/>
    <w:rsid w:val="00473BCC"/>
    <w:rsid w:val="00473EFF"/>
    <w:rsid w:val="00474499"/>
    <w:rsid w:val="004749D0"/>
    <w:rsid w:val="00474A86"/>
    <w:rsid w:val="00474FCE"/>
    <w:rsid w:val="004752FC"/>
    <w:rsid w:val="00475F03"/>
    <w:rsid w:val="00476027"/>
    <w:rsid w:val="004779CC"/>
    <w:rsid w:val="00480144"/>
    <w:rsid w:val="0048054F"/>
    <w:rsid w:val="00480721"/>
    <w:rsid w:val="00481150"/>
    <w:rsid w:val="00481C83"/>
    <w:rsid w:val="00481D9C"/>
    <w:rsid w:val="00482146"/>
    <w:rsid w:val="0048218D"/>
    <w:rsid w:val="004821AB"/>
    <w:rsid w:val="00482F60"/>
    <w:rsid w:val="00483E67"/>
    <w:rsid w:val="00483FD6"/>
    <w:rsid w:val="00484788"/>
    <w:rsid w:val="00484878"/>
    <w:rsid w:val="00484D63"/>
    <w:rsid w:val="00484E77"/>
    <w:rsid w:val="00485208"/>
    <w:rsid w:val="0048539B"/>
    <w:rsid w:val="0048598C"/>
    <w:rsid w:val="00486D0E"/>
    <w:rsid w:val="00486D32"/>
    <w:rsid w:val="00486DE5"/>
    <w:rsid w:val="00486E62"/>
    <w:rsid w:val="00487380"/>
    <w:rsid w:val="00491401"/>
    <w:rsid w:val="00491C8A"/>
    <w:rsid w:val="0049221E"/>
    <w:rsid w:val="0049279F"/>
    <w:rsid w:val="00493836"/>
    <w:rsid w:val="004938D9"/>
    <w:rsid w:val="00493BF9"/>
    <w:rsid w:val="00494689"/>
    <w:rsid w:val="00494C7E"/>
    <w:rsid w:val="0049513A"/>
    <w:rsid w:val="004957D1"/>
    <w:rsid w:val="00495B5D"/>
    <w:rsid w:val="00495C75"/>
    <w:rsid w:val="00495E67"/>
    <w:rsid w:val="004961C0"/>
    <w:rsid w:val="0049624F"/>
    <w:rsid w:val="0049627B"/>
    <w:rsid w:val="00496400"/>
    <w:rsid w:val="0049658B"/>
    <w:rsid w:val="004967FE"/>
    <w:rsid w:val="00496A62"/>
    <w:rsid w:val="00497470"/>
    <w:rsid w:val="00497C37"/>
    <w:rsid w:val="00497E35"/>
    <w:rsid w:val="004A004D"/>
    <w:rsid w:val="004A052C"/>
    <w:rsid w:val="004A114F"/>
    <w:rsid w:val="004A14E8"/>
    <w:rsid w:val="004A19AD"/>
    <w:rsid w:val="004A2787"/>
    <w:rsid w:val="004A3020"/>
    <w:rsid w:val="004A3032"/>
    <w:rsid w:val="004A3737"/>
    <w:rsid w:val="004A44A1"/>
    <w:rsid w:val="004A4EC7"/>
    <w:rsid w:val="004A4EF9"/>
    <w:rsid w:val="004A51BD"/>
    <w:rsid w:val="004A53FB"/>
    <w:rsid w:val="004A6B25"/>
    <w:rsid w:val="004A77EE"/>
    <w:rsid w:val="004A7AFB"/>
    <w:rsid w:val="004B0AB5"/>
    <w:rsid w:val="004B0AE6"/>
    <w:rsid w:val="004B0C75"/>
    <w:rsid w:val="004B0FAF"/>
    <w:rsid w:val="004B1946"/>
    <w:rsid w:val="004B1A49"/>
    <w:rsid w:val="004B1BC7"/>
    <w:rsid w:val="004B2198"/>
    <w:rsid w:val="004B2825"/>
    <w:rsid w:val="004B2C48"/>
    <w:rsid w:val="004B2F58"/>
    <w:rsid w:val="004B3224"/>
    <w:rsid w:val="004B3B38"/>
    <w:rsid w:val="004B3DEF"/>
    <w:rsid w:val="004B432C"/>
    <w:rsid w:val="004B4BF7"/>
    <w:rsid w:val="004B4DD2"/>
    <w:rsid w:val="004B548A"/>
    <w:rsid w:val="004B551A"/>
    <w:rsid w:val="004B597E"/>
    <w:rsid w:val="004B5C3B"/>
    <w:rsid w:val="004B6790"/>
    <w:rsid w:val="004B70BF"/>
    <w:rsid w:val="004B77F0"/>
    <w:rsid w:val="004C02B9"/>
    <w:rsid w:val="004C0D48"/>
    <w:rsid w:val="004C121B"/>
    <w:rsid w:val="004C185F"/>
    <w:rsid w:val="004C18DA"/>
    <w:rsid w:val="004C222A"/>
    <w:rsid w:val="004C2285"/>
    <w:rsid w:val="004C2DBA"/>
    <w:rsid w:val="004C37A5"/>
    <w:rsid w:val="004C4616"/>
    <w:rsid w:val="004C495E"/>
    <w:rsid w:val="004C4B33"/>
    <w:rsid w:val="004C4D07"/>
    <w:rsid w:val="004C539A"/>
    <w:rsid w:val="004C55E2"/>
    <w:rsid w:val="004C565A"/>
    <w:rsid w:val="004C5B6B"/>
    <w:rsid w:val="004C5D82"/>
    <w:rsid w:val="004C6448"/>
    <w:rsid w:val="004C6BB4"/>
    <w:rsid w:val="004C6BD5"/>
    <w:rsid w:val="004C7445"/>
    <w:rsid w:val="004C74EA"/>
    <w:rsid w:val="004C7E31"/>
    <w:rsid w:val="004C7E40"/>
    <w:rsid w:val="004D00C4"/>
    <w:rsid w:val="004D0827"/>
    <w:rsid w:val="004D1104"/>
    <w:rsid w:val="004D1904"/>
    <w:rsid w:val="004D1F0A"/>
    <w:rsid w:val="004D2350"/>
    <w:rsid w:val="004D2408"/>
    <w:rsid w:val="004D28D1"/>
    <w:rsid w:val="004D2AA6"/>
    <w:rsid w:val="004D31E5"/>
    <w:rsid w:val="004D3BD3"/>
    <w:rsid w:val="004D52F0"/>
    <w:rsid w:val="004D59E8"/>
    <w:rsid w:val="004D5E74"/>
    <w:rsid w:val="004D6CEF"/>
    <w:rsid w:val="004E0261"/>
    <w:rsid w:val="004E0C98"/>
    <w:rsid w:val="004E0D05"/>
    <w:rsid w:val="004E1368"/>
    <w:rsid w:val="004E1774"/>
    <w:rsid w:val="004E1E58"/>
    <w:rsid w:val="004E2B76"/>
    <w:rsid w:val="004E3367"/>
    <w:rsid w:val="004E3711"/>
    <w:rsid w:val="004E42A1"/>
    <w:rsid w:val="004E46E4"/>
    <w:rsid w:val="004E4D25"/>
    <w:rsid w:val="004E5143"/>
    <w:rsid w:val="004E5992"/>
    <w:rsid w:val="004E5C7E"/>
    <w:rsid w:val="004E5F5F"/>
    <w:rsid w:val="004E635E"/>
    <w:rsid w:val="004E67C3"/>
    <w:rsid w:val="004E6909"/>
    <w:rsid w:val="004E6CE3"/>
    <w:rsid w:val="004E6DDA"/>
    <w:rsid w:val="004E6F3B"/>
    <w:rsid w:val="004E6FF9"/>
    <w:rsid w:val="004E7333"/>
    <w:rsid w:val="004E76C8"/>
    <w:rsid w:val="004E7D23"/>
    <w:rsid w:val="004E7E51"/>
    <w:rsid w:val="004F0276"/>
    <w:rsid w:val="004F1273"/>
    <w:rsid w:val="004F15D3"/>
    <w:rsid w:val="004F20D6"/>
    <w:rsid w:val="004F2D97"/>
    <w:rsid w:val="004F2E6C"/>
    <w:rsid w:val="004F3C68"/>
    <w:rsid w:val="004F3CC8"/>
    <w:rsid w:val="004F450D"/>
    <w:rsid w:val="004F534D"/>
    <w:rsid w:val="004F58C0"/>
    <w:rsid w:val="004F65C7"/>
    <w:rsid w:val="004F66B0"/>
    <w:rsid w:val="004F6A42"/>
    <w:rsid w:val="004F6D40"/>
    <w:rsid w:val="004F709A"/>
    <w:rsid w:val="004F718A"/>
    <w:rsid w:val="004F789F"/>
    <w:rsid w:val="004F7FBB"/>
    <w:rsid w:val="0050027B"/>
    <w:rsid w:val="00500D51"/>
    <w:rsid w:val="00501323"/>
    <w:rsid w:val="00501C69"/>
    <w:rsid w:val="00502831"/>
    <w:rsid w:val="00502C06"/>
    <w:rsid w:val="00502E03"/>
    <w:rsid w:val="00503590"/>
    <w:rsid w:val="00504113"/>
    <w:rsid w:val="00504523"/>
    <w:rsid w:val="0050484B"/>
    <w:rsid w:val="00504875"/>
    <w:rsid w:val="00504888"/>
    <w:rsid w:val="00504E68"/>
    <w:rsid w:val="00504F68"/>
    <w:rsid w:val="0050530E"/>
    <w:rsid w:val="00505A8A"/>
    <w:rsid w:val="00505DA4"/>
    <w:rsid w:val="00505E44"/>
    <w:rsid w:val="00505EBC"/>
    <w:rsid w:val="0050627D"/>
    <w:rsid w:val="00506297"/>
    <w:rsid w:val="005063E6"/>
    <w:rsid w:val="00506688"/>
    <w:rsid w:val="00506CED"/>
    <w:rsid w:val="005071BC"/>
    <w:rsid w:val="005074C9"/>
    <w:rsid w:val="005079AC"/>
    <w:rsid w:val="00510DE2"/>
    <w:rsid w:val="00511616"/>
    <w:rsid w:val="005116EE"/>
    <w:rsid w:val="00511926"/>
    <w:rsid w:val="00512ABF"/>
    <w:rsid w:val="00512F92"/>
    <w:rsid w:val="00513122"/>
    <w:rsid w:val="005132DC"/>
    <w:rsid w:val="00513F5C"/>
    <w:rsid w:val="00514A28"/>
    <w:rsid w:val="00514E28"/>
    <w:rsid w:val="0051515F"/>
    <w:rsid w:val="00515D40"/>
    <w:rsid w:val="00515E0B"/>
    <w:rsid w:val="00516650"/>
    <w:rsid w:val="00516922"/>
    <w:rsid w:val="00516EFE"/>
    <w:rsid w:val="005174A4"/>
    <w:rsid w:val="00520948"/>
    <w:rsid w:val="00520C8C"/>
    <w:rsid w:val="00520CAB"/>
    <w:rsid w:val="0052195B"/>
    <w:rsid w:val="00521F24"/>
    <w:rsid w:val="005225FA"/>
    <w:rsid w:val="00523337"/>
    <w:rsid w:val="00523338"/>
    <w:rsid w:val="00523411"/>
    <w:rsid w:val="0052364C"/>
    <w:rsid w:val="00523F1E"/>
    <w:rsid w:val="00524BC1"/>
    <w:rsid w:val="00524C87"/>
    <w:rsid w:val="00524E34"/>
    <w:rsid w:val="005256A0"/>
    <w:rsid w:val="005270D8"/>
    <w:rsid w:val="00527218"/>
    <w:rsid w:val="00527307"/>
    <w:rsid w:val="00527342"/>
    <w:rsid w:val="00527A63"/>
    <w:rsid w:val="00527A8D"/>
    <w:rsid w:val="00527ADF"/>
    <w:rsid w:val="00527B65"/>
    <w:rsid w:val="005307D3"/>
    <w:rsid w:val="00531ADD"/>
    <w:rsid w:val="00532B53"/>
    <w:rsid w:val="0053319A"/>
    <w:rsid w:val="00533BBD"/>
    <w:rsid w:val="0053459E"/>
    <w:rsid w:val="00535000"/>
    <w:rsid w:val="0053529A"/>
    <w:rsid w:val="00535883"/>
    <w:rsid w:val="00535D9F"/>
    <w:rsid w:val="00535EE4"/>
    <w:rsid w:val="00536372"/>
    <w:rsid w:val="005363E7"/>
    <w:rsid w:val="00536E97"/>
    <w:rsid w:val="00537586"/>
    <w:rsid w:val="005375A9"/>
    <w:rsid w:val="00537794"/>
    <w:rsid w:val="005379DB"/>
    <w:rsid w:val="00537A34"/>
    <w:rsid w:val="00537D9A"/>
    <w:rsid w:val="0054005D"/>
    <w:rsid w:val="00540474"/>
    <w:rsid w:val="005409AF"/>
    <w:rsid w:val="00540B69"/>
    <w:rsid w:val="00540FF4"/>
    <w:rsid w:val="0054100C"/>
    <w:rsid w:val="0054120C"/>
    <w:rsid w:val="00541603"/>
    <w:rsid w:val="00541B1C"/>
    <w:rsid w:val="00541C99"/>
    <w:rsid w:val="0054222F"/>
    <w:rsid w:val="0054272A"/>
    <w:rsid w:val="00542A93"/>
    <w:rsid w:val="00543233"/>
    <w:rsid w:val="00543C97"/>
    <w:rsid w:val="005442AE"/>
    <w:rsid w:val="0054473C"/>
    <w:rsid w:val="0054509C"/>
    <w:rsid w:val="005450DC"/>
    <w:rsid w:val="00545332"/>
    <w:rsid w:val="0054566B"/>
    <w:rsid w:val="00546274"/>
    <w:rsid w:val="00547794"/>
    <w:rsid w:val="00547A36"/>
    <w:rsid w:val="00547B15"/>
    <w:rsid w:val="00550753"/>
    <w:rsid w:val="005517EA"/>
    <w:rsid w:val="0055197D"/>
    <w:rsid w:val="00552209"/>
    <w:rsid w:val="005526CA"/>
    <w:rsid w:val="005526D3"/>
    <w:rsid w:val="00552780"/>
    <w:rsid w:val="005527C5"/>
    <w:rsid w:val="00553AAF"/>
    <w:rsid w:val="00553B20"/>
    <w:rsid w:val="00554532"/>
    <w:rsid w:val="005549CE"/>
    <w:rsid w:val="0055569A"/>
    <w:rsid w:val="00555C1A"/>
    <w:rsid w:val="00555DC3"/>
    <w:rsid w:val="00557340"/>
    <w:rsid w:val="00557D3D"/>
    <w:rsid w:val="00557DEA"/>
    <w:rsid w:val="0056003A"/>
    <w:rsid w:val="00560134"/>
    <w:rsid w:val="00560A2D"/>
    <w:rsid w:val="00560DDB"/>
    <w:rsid w:val="005617B5"/>
    <w:rsid w:val="00561834"/>
    <w:rsid w:val="00562266"/>
    <w:rsid w:val="0056285F"/>
    <w:rsid w:val="00562CC4"/>
    <w:rsid w:val="0056353A"/>
    <w:rsid w:val="005647A7"/>
    <w:rsid w:val="0056495D"/>
    <w:rsid w:val="00564FC9"/>
    <w:rsid w:val="0056558E"/>
    <w:rsid w:val="00565646"/>
    <w:rsid w:val="0056568A"/>
    <w:rsid w:val="00565F71"/>
    <w:rsid w:val="00566737"/>
    <w:rsid w:val="00567982"/>
    <w:rsid w:val="00570435"/>
    <w:rsid w:val="0057067B"/>
    <w:rsid w:val="00570858"/>
    <w:rsid w:val="005708C2"/>
    <w:rsid w:val="00570987"/>
    <w:rsid w:val="005709CA"/>
    <w:rsid w:val="00571232"/>
    <w:rsid w:val="00571539"/>
    <w:rsid w:val="00572221"/>
    <w:rsid w:val="00572D45"/>
    <w:rsid w:val="005736E4"/>
    <w:rsid w:val="0057370A"/>
    <w:rsid w:val="0057383C"/>
    <w:rsid w:val="005742E8"/>
    <w:rsid w:val="0057443E"/>
    <w:rsid w:val="0057503B"/>
    <w:rsid w:val="00575A5A"/>
    <w:rsid w:val="00575E7F"/>
    <w:rsid w:val="005766F3"/>
    <w:rsid w:val="00576A4C"/>
    <w:rsid w:val="0057745D"/>
    <w:rsid w:val="00577ECF"/>
    <w:rsid w:val="00577F0C"/>
    <w:rsid w:val="00580DA1"/>
    <w:rsid w:val="00581048"/>
    <w:rsid w:val="00581588"/>
    <w:rsid w:val="00581A87"/>
    <w:rsid w:val="00581ED5"/>
    <w:rsid w:val="005824B7"/>
    <w:rsid w:val="005825FA"/>
    <w:rsid w:val="00582986"/>
    <w:rsid w:val="00582C9F"/>
    <w:rsid w:val="00583088"/>
    <w:rsid w:val="0058326C"/>
    <w:rsid w:val="0058345A"/>
    <w:rsid w:val="0058383C"/>
    <w:rsid w:val="00583ADE"/>
    <w:rsid w:val="00583F1D"/>
    <w:rsid w:val="00584045"/>
    <w:rsid w:val="00585310"/>
    <w:rsid w:val="005853B4"/>
    <w:rsid w:val="005857E5"/>
    <w:rsid w:val="005858CA"/>
    <w:rsid w:val="0058611A"/>
    <w:rsid w:val="00586304"/>
    <w:rsid w:val="005871C0"/>
    <w:rsid w:val="00587852"/>
    <w:rsid w:val="00590A44"/>
    <w:rsid w:val="00591117"/>
    <w:rsid w:val="005912C8"/>
    <w:rsid w:val="005917AD"/>
    <w:rsid w:val="005922BC"/>
    <w:rsid w:val="0059277A"/>
    <w:rsid w:val="005928AE"/>
    <w:rsid w:val="005936CD"/>
    <w:rsid w:val="005949A1"/>
    <w:rsid w:val="00594CFE"/>
    <w:rsid w:val="00594F04"/>
    <w:rsid w:val="0059530C"/>
    <w:rsid w:val="00595408"/>
    <w:rsid w:val="005958CC"/>
    <w:rsid w:val="00595BF5"/>
    <w:rsid w:val="005962DC"/>
    <w:rsid w:val="00596973"/>
    <w:rsid w:val="005973FA"/>
    <w:rsid w:val="00597A83"/>
    <w:rsid w:val="005A0171"/>
    <w:rsid w:val="005A0E4A"/>
    <w:rsid w:val="005A1007"/>
    <w:rsid w:val="005A139D"/>
    <w:rsid w:val="005A14A8"/>
    <w:rsid w:val="005A1CA0"/>
    <w:rsid w:val="005A2D8F"/>
    <w:rsid w:val="005A3726"/>
    <w:rsid w:val="005A3B0A"/>
    <w:rsid w:val="005A3B99"/>
    <w:rsid w:val="005A3BC6"/>
    <w:rsid w:val="005A4317"/>
    <w:rsid w:val="005A4324"/>
    <w:rsid w:val="005A493D"/>
    <w:rsid w:val="005A4BC4"/>
    <w:rsid w:val="005A4C83"/>
    <w:rsid w:val="005A4CEC"/>
    <w:rsid w:val="005A60C2"/>
    <w:rsid w:val="005A6169"/>
    <w:rsid w:val="005A6AE2"/>
    <w:rsid w:val="005A74B2"/>
    <w:rsid w:val="005A76E3"/>
    <w:rsid w:val="005A7A11"/>
    <w:rsid w:val="005A7D21"/>
    <w:rsid w:val="005B0AD9"/>
    <w:rsid w:val="005B0B5D"/>
    <w:rsid w:val="005B0DB5"/>
    <w:rsid w:val="005B16CB"/>
    <w:rsid w:val="005B16F2"/>
    <w:rsid w:val="005B1893"/>
    <w:rsid w:val="005B1918"/>
    <w:rsid w:val="005B1D35"/>
    <w:rsid w:val="005B1D9D"/>
    <w:rsid w:val="005B2159"/>
    <w:rsid w:val="005B2350"/>
    <w:rsid w:val="005B25A4"/>
    <w:rsid w:val="005B2BDA"/>
    <w:rsid w:val="005B2D3D"/>
    <w:rsid w:val="005B2E43"/>
    <w:rsid w:val="005B31F6"/>
    <w:rsid w:val="005B350B"/>
    <w:rsid w:val="005B374B"/>
    <w:rsid w:val="005B38EE"/>
    <w:rsid w:val="005B3D50"/>
    <w:rsid w:val="005B4699"/>
    <w:rsid w:val="005B492C"/>
    <w:rsid w:val="005B5579"/>
    <w:rsid w:val="005B656A"/>
    <w:rsid w:val="005B65EE"/>
    <w:rsid w:val="005B737D"/>
    <w:rsid w:val="005B7443"/>
    <w:rsid w:val="005B77CB"/>
    <w:rsid w:val="005C0762"/>
    <w:rsid w:val="005C0D9D"/>
    <w:rsid w:val="005C139F"/>
    <w:rsid w:val="005C1417"/>
    <w:rsid w:val="005C14E0"/>
    <w:rsid w:val="005C14E3"/>
    <w:rsid w:val="005C16A7"/>
    <w:rsid w:val="005C1D66"/>
    <w:rsid w:val="005C1FCE"/>
    <w:rsid w:val="005C226A"/>
    <w:rsid w:val="005C263F"/>
    <w:rsid w:val="005C310C"/>
    <w:rsid w:val="005C318D"/>
    <w:rsid w:val="005C33D6"/>
    <w:rsid w:val="005C3C08"/>
    <w:rsid w:val="005C4163"/>
    <w:rsid w:val="005C4475"/>
    <w:rsid w:val="005C4701"/>
    <w:rsid w:val="005C53F0"/>
    <w:rsid w:val="005C5E6C"/>
    <w:rsid w:val="005C62E5"/>
    <w:rsid w:val="005C6AC9"/>
    <w:rsid w:val="005C6C7C"/>
    <w:rsid w:val="005C7051"/>
    <w:rsid w:val="005C7402"/>
    <w:rsid w:val="005C7590"/>
    <w:rsid w:val="005C7D06"/>
    <w:rsid w:val="005D0B58"/>
    <w:rsid w:val="005D1180"/>
    <w:rsid w:val="005D1A04"/>
    <w:rsid w:val="005D2173"/>
    <w:rsid w:val="005D28B0"/>
    <w:rsid w:val="005D2AAA"/>
    <w:rsid w:val="005D3533"/>
    <w:rsid w:val="005D3FE3"/>
    <w:rsid w:val="005D4465"/>
    <w:rsid w:val="005D53C2"/>
    <w:rsid w:val="005D5E7B"/>
    <w:rsid w:val="005D6018"/>
    <w:rsid w:val="005D63B5"/>
    <w:rsid w:val="005D69D9"/>
    <w:rsid w:val="005D72F7"/>
    <w:rsid w:val="005D7473"/>
    <w:rsid w:val="005D74C1"/>
    <w:rsid w:val="005D74D2"/>
    <w:rsid w:val="005D76EF"/>
    <w:rsid w:val="005D79C0"/>
    <w:rsid w:val="005E0143"/>
    <w:rsid w:val="005E0228"/>
    <w:rsid w:val="005E02C0"/>
    <w:rsid w:val="005E0801"/>
    <w:rsid w:val="005E175E"/>
    <w:rsid w:val="005E1943"/>
    <w:rsid w:val="005E1C2C"/>
    <w:rsid w:val="005E2514"/>
    <w:rsid w:val="005E2521"/>
    <w:rsid w:val="005E2DAD"/>
    <w:rsid w:val="005E304B"/>
    <w:rsid w:val="005E30E6"/>
    <w:rsid w:val="005E3A55"/>
    <w:rsid w:val="005E3E74"/>
    <w:rsid w:val="005E455D"/>
    <w:rsid w:val="005E50A8"/>
    <w:rsid w:val="005E5299"/>
    <w:rsid w:val="005E52D7"/>
    <w:rsid w:val="005E5B33"/>
    <w:rsid w:val="005E618E"/>
    <w:rsid w:val="005E684F"/>
    <w:rsid w:val="005F040A"/>
    <w:rsid w:val="005F095E"/>
    <w:rsid w:val="005F174C"/>
    <w:rsid w:val="005F1D23"/>
    <w:rsid w:val="005F20B1"/>
    <w:rsid w:val="005F261E"/>
    <w:rsid w:val="005F27E5"/>
    <w:rsid w:val="005F2863"/>
    <w:rsid w:val="005F2AC6"/>
    <w:rsid w:val="005F2E4A"/>
    <w:rsid w:val="005F2F2A"/>
    <w:rsid w:val="005F3B4B"/>
    <w:rsid w:val="005F465A"/>
    <w:rsid w:val="005F4D85"/>
    <w:rsid w:val="005F50CA"/>
    <w:rsid w:val="005F5597"/>
    <w:rsid w:val="005F5E1F"/>
    <w:rsid w:val="005F7107"/>
    <w:rsid w:val="005F769C"/>
    <w:rsid w:val="005F7DF3"/>
    <w:rsid w:val="005F7E48"/>
    <w:rsid w:val="006003EC"/>
    <w:rsid w:val="0060089F"/>
    <w:rsid w:val="00601556"/>
    <w:rsid w:val="006017A9"/>
    <w:rsid w:val="00601D9D"/>
    <w:rsid w:val="006028AE"/>
    <w:rsid w:val="00602BD0"/>
    <w:rsid w:val="00603000"/>
    <w:rsid w:val="006034A7"/>
    <w:rsid w:val="00603A6B"/>
    <w:rsid w:val="006040F9"/>
    <w:rsid w:val="006042BD"/>
    <w:rsid w:val="00604AF0"/>
    <w:rsid w:val="00604C4A"/>
    <w:rsid w:val="00605B98"/>
    <w:rsid w:val="00605D74"/>
    <w:rsid w:val="00606586"/>
    <w:rsid w:val="006070D3"/>
    <w:rsid w:val="0060728C"/>
    <w:rsid w:val="00607564"/>
    <w:rsid w:val="00607717"/>
    <w:rsid w:val="00607A2C"/>
    <w:rsid w:val="00607CD0"/>
    <w:rsid w:val="006103BD"/>
    <w:rsid w:val="006115C0"/>
    <w:rsid w:val="006118C2"/>
    <w:rsid w:val="0061256E"/>
    <w:rsid w:val="0061332F"/>
    <w:rsid w:val="00613E22"/>
    <w:rsid w:val="00613F8B"/>
    <w:rsid w:val="006146D8"/>
    <w:rsid w:val="006149B6"/>
    <w:rsid w:val="00614AA7"/>
    <w:rsid w:val="00614F8D"/>
    <w:rsid w:val="0061508F"/>
    <w:rsid w:val="00615898"/>
    <w:rsid w:val="00615BC9"/>
    <w:rsid w:val="00615C3C"/>
    <w:rsid w:val="00616211"/>
    <w:rsid w:val="0061636D"/>
    <w:rsid w:val="00616472"/>
    <w:rsid w:val="00616623"/>
    <w:rsid w:val="00620898"/>
    <w:rsid w:val="006210AA"/>
    <w:rsid w:val="0062145F"/>
    <w:rsid w:val="00621B1E"/>
    <w:rsid w:val="00621FB5"/>
    <w:rsid w:val="00622128"/>
    <w:rsid w:val="00622147"/>
    <w:rsid w:val="00622B20"/>
    <w:rsid w:val="00624184"/>
    <w:rsid w:val="006243F8"/>
    <w:rsid w:val="00624A79"/>
    <w:rsid w:val="0062502E"/>
    <w:rsid w:val="00625357"/>
    <w:rsid w:val="00625556"/>
    <w:rsid w:val="006256C7"/>
    <w:rsid w:val="00625EB1"/>
    <w:rsid w:val="006264E0"/>
    <w:rsid w:val="006268C2"/>
    <w:rsid w:val="00626AEF"/>
    <w:rsid w:val="00626BB4"/>
    <w:rsid w:val="0062700C"/>
    <w:rsid w:val="006270EA"/>
    <w:rsid w:val="00627EFD"/>
    <w:rsid w:val="00630AE2"/>
    <w:rsid w:val="00631093"/>
    <w:rsid w:val="00631F2F"/>
    <w:rsid w:val="00632E5F"/>
    <w:rsid w:val="00632ECD"/>
    <w:rsid w:val="00632FA8"/>
    <w:rsid w:val="00633271"/>
    <w:rsid w:val="00633A08"/>
    <w:rsid w:val="00633B7E"/>
    <w:rsid w:val="00633E2D"/>
    <w:rsid w:val="00633EF7"/>
    <w:rsid w:val="00634775"/>
    <w:rsid w:val="00634949"/>
    <w:rsid w:val="006349B7"/>
    <w:rsid w:val="006349C2"/>
    <w:rsid w:val="00634C5E"/>
    <w:rsid w:val="00634E0F"/>
    <w:rsid w:val="00634F75"/>
    <w:rsid w:val="006354F5"/>
    <w:rsid w:val="00635644"/>
    <w:rsid w:val="0063589A"/>
    <w:rsid w:val="00635C13"/>
    <w:rsid w:val="0063638C"/>
    <w:rsid w:val="006363AF"/>
    <w:rsid w:val="00636547"/>
    <w:rsid w:val="00636D7B"/>
    <w:rsid w:val="00637D79"/>
    <w:rsid w:val="00637E32"/>
    <w:rsid w:val="00642171"/>
    <w:rsid w:val="006429F0"/>
    <w:rsid w:val="00643306"/>
    <w:rsid w:val="0064405F"/>
    <w:rsid w:val="0064467D"/>
    <w:rsid w:val="00644B28"/>
    <w:rsid w:val="00644FCE"/>
    <w:rsid w:val="00645BF4"/>
    <w:rsid w:val="00645BF8"/>
    <w:rsid w:val="00646767"/>
    <w:rsid w:val="006478B1"/>
    <w:rsid w:val="006478D5"/>
    <w:rsid w:val="00650A40"/>
    <w:rsid w:val="00650A5D"/>
    <w:rsid w:val="00650E6C"/>
    <w:rsid w:val="0065250D"/>
    <w:rsid w:val="006527A7"/>
    <w:rsid w:val="00652A83"/>
    <w:rsid w:val="00653311"/>
    <w:rsid w:val="0065334D"/>
    <w:rsid w:val="006535BA"/>
    <w:rsid w:val="006547E3"/>
    <w:rsid w:val="00654ADA"/>
    <w:rsid w:val="00654C08"/>
    <w:rsid w:val="00654CAE"/>
    <w:rsid w:val="00655214"/>
    <w:rsid w:val="006552A7"/>
    <w:rsid w:val="006553C2"/>
    <w:rsid w:val="00655756"/>
    <w:rsid w:val="006562A5"/>
    <w:rsid w:val="0065669D"/>
    <w:rsid w:val="00657A73"/>
    <w:rsid w:val="00657FFE"/>
    <w:rsid w:val="00660AAF"/>
    <w:rsid w:val="00660C30"/>
    <w:rsid w:val="00661F12"/>
    <w:rsid w:val="006621F2"/>
    <w:rsid w:val="006623AD"/>
    <w:rsid w:val="00662CE5"/>
    <w:rsid w:val="00662E1C"/>
    <w:rsid w:val="00662F23"/>
    <w:rsid w:val="006632B4"/>
    <w:rsid w:val="00663828"/>
    <w:rsid w:val="006638BA"/>
    <w:rsid w:val="00663FEB"/>
    <w:rsid w:val="006640EB"/>
    <w:rsid w:val="0066493C"/>
    <w:rsid w:val="00664AC0"/>
    <w:rsid w:val="00664C14"/>
    <w:rsid w:val="00665105"/>
    <w:rsid w:val="006655B4"/>
    <w:rsid w:val="00665E53"/>
    <w:rsid w:val="006664DE"/>
    <w:rsid w:val="006677A5"/>
    <w:rsid w:val="006706F0"/>
    <w:rsid w:val="00670AFE"/>
    <w:rsid w:val="00670DB6"/>
    <w:rsid w:val="006711CC"/>
    <w:rsid w:val="00671244"/>
    <w:rsid w:val="006718F0"/>
    <w:rsid w:val="006719E3"/>
    <w:rsid w:val="00671AF1"/>
    <w:rsid w:val="006722BC"/>
    <w:rsid w:val="00672F9C"/>
    <w:rsid w:val="006739BB"/>
    <w:rsid w:val="00673A81"/>
    <w:rsid w:val="00674467"/>
    <w:rsid w:val="006747F3"/>
    <w:rsid w:val="00674FA2"/>
    <w:rsid w:val="00675315"/>
    <w:rsid w:val="0067549E"/>
    <w:rsid w:val="00675605"/>
    <w:rsid w:val="00675912"/>
    <w:rsid w:val="00675B75"/>
    <w:rsid w:val="0067605C"/>
    <w:rsid w:val="006762C5"/>
    <w:rsid w:val="006765B5"/>
    <w:rsid w:val="00676701"/>
    <w:rsid w:val="00676E5C"/>
    <w:rsid w:val="006770A2"/>
    <w:rsid w:val="00677356"/>
    <w:rsid w:val="00677549"/>
    <w:rsid w:val="006806F4"/>
    <w:rsid w:val="00680F0B"/>
    <w:rsid w:val="00680F2D"/>
    <w:rsid w:val="00681298"/>
    <w:rsid w:val="00681BCE"/>
    <w:rsid w:val="00682FBD"/>
    <w:rsid w:val="00683047"/>
    <w:rsid w:val="00683704"/>
    <w:rsid w:val="00683DB3"/>
    <w:rsid w:val="00683FDF"/>
    <w:rsid w:val="0068439F"/>
    <w:rsid w:val="006843C4"/>
    <w:rsid w:val="00685A31"/>
    <w:rsid w:val="00686344"/>
    <w:rsid w:val="00686739"/>
    <w:rsid w:val="00686DC2"/>
    <w:rsid w:val="00687040"/>
    <w:rsid w:val="006870DB"/>
    <w:rsid w:val="006871B4"/>
    <w:rsid w:val="00687AD4"/>
    <w:rsid w:val="00687F44"/>
    <w:rsid w:val="006911C5"/>
    <w:rsid w:val="00691815"/>
    <w:rsid w:val="00692299"/>
    <w:rsid w:val="00692374"/>
    <w:rsid w:val="00692685"/>
    <w:rsid w:val="00692C81"/>
    <w:rsid w:val="00692DFA"/>
    <w:rsid w:val="00693451"/>
    <w:rsid w:val="00693721"/>
    <w:rsid w:val="00693B3E"/>
    <w:rsid w:val="00693E96"/>
    <w:rsid w:val="00693EB9"/>
    <w:rsid w:val="0069481A"/>
    <w:rsid w:val="00694995"/>
    <w:rsid w:val="00695076"/>
    <w:rsid w:val="006952D8"/>
    <w:rsid w:val="00695565"/>
    <w:rsid w:val="006957C3"/>
    <w:rsid w:val="006958A6"/>
    <w:rsid w:val="0069595E"/>
    <w:rsid w:val="00695C0D"/>
    <w:rsid w:val="006964D7"/>
    <w:rsid w:val="00696ADC"/>
    <w:rsid w:val="00697013"/>
    <w:rsid w:val="006973F0"/>
    <w:rsid w:val="00697B6B"/>
    <w:rsid w:val="006A08BB"/>
    <w:rsid w:val="006A0CAC"/>
    <w:rsid w:val="006A16DC"/>
    <w:rsid w:val="006A1BE6"/>
    <w:rsid w:val="006A1C5C"/>
    <w:rsid w:val="006A33F3"/>
    <w:rsid w:val="006A34D6"/>
    <w:rsid w:val="006A35DC"/>
    <w:rsid w:val="006A3AA5"/>
    <w:rsid w:val="006A3C61"/>
    <w:rsid w:val="006A3FE0"/>
    <w:rsid w:val="006A4112"/>
    <w:rsid w:val="006A41F1"/>
    <w:rsid w:val="006A55E5"/>
    <w:rsid w:val="006A604D"/>
    <w:rsid w:val="006A6559"/>
    <w:rsid w:val="006A67B5"/>
    <w:rsid w:val="006A6890"/>
    <w:rsid w:val="006A6CC3"/>
    <w:rsid w:val="006A7411"/>
    <w:rsid w:val="006A7769"/>
    <w:rsid w:val="006A7C72"/>
    <w:rsid w:val="006A7D61"/>
    <w:rsid w:val="006B0713"/>
    <w:rsid w:val="006B0A23"/>
    <w:rsid w:val="006B0ACB"/>
    <w:rsid w:val="006B0EDF"/>
    <w:rsid w:val="006B162B"/>
    <w:rsid w:val="006B1954"/>
    <w:rsid w:val="006B1C66"/>
    <w:rsid w:val="006B4397"/>
    <w:rsid w:val="006B483B"/>
    <w:rsid w:val="006B4E98"/>
    <w:rsid w:val="006B5842"/>
    <w:rsid w:val="006B5D00"/>
    <w:rsid w:val="006B5FDB"/>
    <w:rsid w:val="006B6168"/>
    <w:rsid w:val="006B6206"/>
    <w:rsid w:val="006B66E8"/>
    <w:rsid w:val="006B74CB"/>
    <w:rsid w:val="006B74D9"/>
    <w:rsid w:val="006C00BF"/>
    <w:rsid w:val="006C0D79"/>
    <w:rsid w:val="006C110A"/>
    <w:rsid w:val="006C1C2E"/>
    <w:rsid w:val="006C253E"/>
    <w:rsid w:val="006C2D43"/>
    <w:rsid w:val="006C4584"/>
    <w:rsid w:val="006C51D8"/>
    <w:rsid w:val="006C53E4"/>
    <w:rsid w:val="006C546B"/>
    <w:rsid w:val="006C5DA8"/>
    <w:rsid w:val="006C61C1"/>
    <w:rsid w:val="006C65FC"/>
    <w:rsid w:val="006C6943"/>
    <w:rsid w:val="006C6AE1"/>
    <w:rsid w:val="006C7A81"/>
    <w:rsid w:val="006D18C0"/>
    <w:rsid w:val="006D1D02"/>
    <w:rsid w:val="006D25F2"/>
    <w:rsid w:val="006D2ACF"/>
    <w:rsid w:val="006D2EB1"/>
    <w:rsid w:val="006D37D1"/>
    <w:rsid w:val="006D3920"/>
    <w:rsid w:val="006D3CDE"/>
    <w:rsid w:val="006D51C0"/>
    <w:rsid w:val="006D51D2"/>
    <w:rsid w:val="006D56DA"/>
    <w:rsid w:val="006D6984"/>
    <w:rsid w:val="006D7985"/>
    <w:rsid w:val="006E0061"/>
    <w:rsid w:val="006E024B"/>
    <w:rsid w:val="006E0321"/>
    <w:rsid w:val="006E1313"/>
    <w:rsid w:val="006E1601"/>
    <w:rsid w:val="006E1D96"/>
    <w:rsid w:val="006E2AAC"/>
    <w:rsid w:val="006E2AB4"/>
    <w:rsid w:val="006E3099"/>
    <w:rsid w:val="006E3B99"/>
    <w:rsid w:val="006E3C7A"/>
    <w:rsid w:val="006E3D2E"/>
    <w:rsid w:val="006E4073"/>
    <w:rsid w:val="006E4A62"/>
    <w:rsid w:val="006E4C4E"/>
    <w:rsid w:val="006E56C7"/>
    <w:rsid w:val="006E57B0"/>
    <w:rsid w:val="006E6960"/>
    <w:rsid w:val="006E6B2D"/>
    <w:rsid w:val="006E712A"/>
    <w:rsid w:val="006F0B08"/>
    <w:rsid w:val="006F102E"/>
    <w:rsid w:val="006F1798"/>
    <w:rsid w:val="006F185E"/>
    <w:rsid w:val="006F1D64"/>
    <w:rsid w:val="006F275D"/>
    <w:rsid w:val="006F28A6"/>
    <w:rsid w:val="006F3079"/>
    <w:rsid w:val="006F3D62"/>
    <w:rsid w:val="006F503A"/>
    <w:rsid w:val="006F5233"/>
    <w:rsid w:val="006F71AA"/>
    <w:rsid w:val="0070117D"/>
    <w:rsid w:val="00701899"/>
    <w:rsid w:val="00701F3A"/>
    <w:rsid w:val="00702291"/>
    <w:rsid w:val="007022A9"/>
    <w:rsid w:val="00702988"/>
    <w:rsid w:val="0070304A"/>
    <w:rsid w:val="0070327A"/>
    <w:rsid w:val="0070352D"/>
    <w:rsid w:val="0070362F"/>
    <w:rsid w:val="00703DD4"/>
    <w:rsid w:val="00704121"/>
    <w:rsid w:val="007049A6"/>
    <w:rsid w:val="00704C29"/>
    <w:rsid w:val="00704F8E"/>
    <w:rsid w:val="0070551E"/>
    <w:rsid w:val="00705C50"/>
    <w:rsid w:val="00705C6C"/>
    <w:rsid w:val="00706C75"/>
    <w:rsid w:val="00707046"/>
    <w:rsid w:val="00707112"/>
    <w:rsid w:val="00707AD6"/>
    <w:rsid w:val="0071000E"/>
    <w:rsid w:val="00710789"/>
    <w:rsid w:val="00710DC3"/>
    <w:rsid w:val="00710E77"/>
    <w:rsid w:val="00711136"/>
    <w:rsid w:val="00711A82"/>
    <w:rsid w:val="00712537"/>
    <w:rsid w:val="0071297B"/>
    <w:rsid w:val="00712CB2"/>
    <w:rsid w:val="00712D18"/>
    <w:rsid w:val="007130E2"/>
    <w:rsid w:val="007133DB"/>
    <w:rsid w:val="00713920"/>
    <w:rsid w:val="00714739"/>
    <w:rsid w:val="00715888"/>
    <w:rsid w:val="00715C70"/>
    <w:rsid w:val="00715CA9"/>
    <w:rsid w:val="0071605D"/>
    <w:rsid w:val="0071649E"/>
    <w:rsid w:val="00716745"/>
    <w:rsid w:val="007167ED"/>
    <w:rsid w:val="00716F8C"/>
    <w:rsid w:val="007174AA"/>
    <w:rsid w:val="0072039B"/>
    <w:rsid w:val="00720AEC"/>
    <w:rsid w:val="00721052"/>
    <w:rsid w:val="00721554"/>
    <w:rsid w:val="007221F3"/>
    <w:rsid w:val="0072240E"/>
    <w:rsid w:val="007229B7"/>
    <w:rsid w:val="00722BF2"/>
    <w:rsid w:val="00722F99"/>
    <w:rsid w:val="007232E9"/>
    <w:rsid w:val="00723409"/>
    <w:rsid w:val="007235E6"/>
    <w:rsid w:val="00723AA7"/>
    <w:rsid w:val="00723E32"/>
    <w:rsid w:val="00723EAF"/>
    <w:rsid w:val="00723FFC"/>
    <w:rsid w:val="00724075"/>
    <w:rsid w:val="007240B8"/>
    <w:rsid w:val="00724187"/>
    <w:rsid w:val="007242EA"/>
    <w:rsid w:val="00724387"/>
    <w:rsid w:val="00724CAF"/>
    <w:rsid w:val="00724F1C"/>
    <w:rsid w:val="00725FF4"/>
    <w:rsid w:val="007269F0"/>
    <w:rsid w:val="00726D0A"/>
    <w:rsid w:val="00730053"/>
    <w:rsid w:val="007312ED"/>
    <w:rsid w:val="007315E4"/>
    <w:rsid w:val="0073164B"/>
    <w:rsid w:val="00731BE9"/>
    <w:rsid w:val="00731C07"/>
    <w:rsid w:val="00731D95"/>
    <w:rsid w:val="00732B61"/>
    <w:rsid w:val="007332AC"/>
    <w:rsid w:val="007338DB"/>
    <w:rsid w:val="00733AFC"/>
    <w:rsid w:val="00734670"/>
    <w:rsid w:val="0073563E"/>
    <w:rsid w:val="00735972"/>
    <w:rsid w:val="00735A7B"/>
    <w:rsid w:val="00735E8B"/>
    <w:rsid w:val="007362E1"/>
    <w:rsid w:val="00736320"/>
    <w:rsid w:val="00736A4A"/>
    <w:rsid w:val="00736ACA"/>
    <w:rsid w:val="00736DEF"/>
    <w:rsid w:val="00737599"/>
    <w:rsid w:val="007375DF"/>
    <w:rsid w:val="0073779D"/>
    <w:rsid w:val="00737ACB"/>
    <w:rsid w:val="0074002F"/>
    <w:rsid w:val="00740048"/>
    <w:rsid w:val="00740208"/>
    <w:rsid w:val="00740313"/>
    <w:rsid w:val="0074046B"/>
    <w:rsid w:val="00740A54"/>
    <w:rsid w:val="00741004"/>
    <w:rsid w:val="007411F0"/>
    <w:rsid w:val="007412E5"/>
    <w:rsid w:val="007418ED"/>
    <w:rsid w:val="00742533"/>
    <w:rsid w:val="00742E3D"/>
    <w:rsid w:val="00742E9B"/>
    <w:rsid w:val="007431D7"/>
    <w:rsid w:val="00743276"/>
    <w:rsid w:val="00743777"/>
    <w:rsid w:val="00743A0B"/>
    <w:rsid w:val="00743AB8"/>
    <w:rsid w:val="00743D09"/>
    <w:rsid w:val="0074569D"/>
    <w:rsid w:val="00745D0E"/>
    <w:rsid w:val="00746163"/>
    <w:rsid w:val="00746959"/>
    <w:rsid w:val="0074752D"/>
    <w:rsid w:val="00747C39"/>
    <w:rsid w:val="00747CCE"/>
    <w:rsid w:val="00747DC0"/>
    <w:rsid w:val="00750D29"/>
    <w:rsid w:val="00750D4C"/>
    <w:rsid w:val="0075117C"/>
    <w:rsid w:val="007511BF"/>
    <w:rsid w:val="00751447"/>
    <w:rsid w:val="00751907"/>
    <w:rsid w:val="00751E4D"/>
    <w:rsid w:val="00751FDF"/>
    <w:rsid w:val="007522DA"/>
    <w:rsid w:val="00752570"/>
    <w:rsid w:val="00752AB5"/>
    <w:rsid w:val="00752BFF"/>
    <w:rsid w:val="007542AF"/>
    <w:rsid w:val="007544BB"/>
    <w:rsid w:val="0075468E"/>
    <w:rsid w:val="00754D52"/>
    <w:rsid w:val="00754D75"/>
    <w:rsid w:val="00755011"/>
    <w:rsid w:val="0075507E"/>
    <w:rsid w:val="00755091"/>
    <w:rsid w:val="00755639"/>
    <w:rsid w:val="0075588F"/>
    <w:rsid w:val="00755E92"/>
    <w:rsid w:val="00756664"/>
    <w:rsid w:val="00756876"/>
    <w:rsid w:val="00757818"/>
    <w:rsid w:val="00760482"/>
    <w:rsid w:val="00760688"/>
    <w:rsid w:val="0076071F"/>
    <w:rsid w:val="00760767"/>
    <w:rsid w:val="00760F57"/>
    <w:rsid w:val="007627F4"/>
    <w:rsid w:val="00763761"/>
    <w:rsid w:val="00763B49"/>
    <w:rsid w:val="0076411C"/>
    <w:rsid w:val="00764300"/>
    <w:rsid w:val="007648F6"/>
    <w:rsid w:val="00765389"/>
    <w:rsid w:val="00765485"/>
    <w:rsid w:val="0076555D"/>
    <w:rsid w:val="00766147"/>
    <w:rsid w:val="007664D4"/>
    <w:rsid w:val="00766877"/>
    <w:rsid w:val="00766FE6"/>
    <w:rsid w:val="00767C54"/>
    <w:rsid w:val="007703F5"/>
    <w:rsid w:val="00770F9A"/>
    <w:rsid w:val="007711BB"/>
    <w:rsid w:val="007714D0"/>
    <w:rsid w:val="00771866"/>
    <w:rsid w:val="007719B8"/>
    <w:rsid w:val="00771CC3"/>
    <w:rsid w:val="007726BC"/>
    <w:rsid w:val="007729F2"/>
    <w:rsid w:val="00773573"/>
    <w:rsid w:val="00773799"/>
    <w:rsid w:val="0077543B"/>
    <w:rsid w:val="007759F6"/>
    <w:rsid w:val="00776694"/>
    <w:rsid w:val="00776B9E"/>
    <w:rsid w:val="00776FF1"/>
    <w:rsid w:val="00777A40"/>
    <w:rsid w:val="00780696"/>
    <w:rsid w:val="00781B28"/>
    <w:rsid w:val="00781F3F"/>
    <w:rsid w:val="007820D5"/>
    <w:rsid w:val="00782167"/>
    <w:rsid w:val="0078296A"/>
    <w:rsid w:val="00783636"/>
    <w:rsid w:val="00783835"/>
    <w:rsid w:val="00783932"/>
    <w:rsid w:val="00783AC7"/>
    <w:rsid w:val="00783BD3"/>
    <w:rsid w:val="00783F8F"/>
    <w:rsid w:val="00784E32"/>
    <w:rsid w:val="0078508F"/>
    <w:rsid w:val="0078532C"/>
    <w:rsid w:val="007858C7"/>
    <w:rsid w:val="00785A37"/>
    <w:rsid w:val="00785A80"/>
    <w:rsid w:val="00785D0A"/>
    <w:rsid w:val="00786306"/>
    <w:rsid w:val="0078653A"/>
    <w:rsid w:val="00786A35"/>
    <w:rsid w:val="00786CD7"/>
    <w:rsid w:val="00787665"/>
    <w:rsid w:val="00787979"/>
    <w:rsid w:val="007903FF"/>
    <w:rsid w:val="0079061A"/>
    <w:rsid w:val="007906C6"/>
    <w:rsid w:val="0079090B"/>
    <w:rsid w:val="00791332"/>
    <w:rsid w:val="00791584"/>
    <w:rsid w:val="00791B55"/>
    <w:rsid w:val="00791CD7"/>
    <w:rsid w:val="00792686"/>
    <w:rsid w:val="00793322"/>
    <w:rsid w:val="00795762"/>
    <w:rsid w:val="00795A9C"/>
    <w:rsid w:val="00795DBA"/>
    <w:rsid w:val="00796404"/>
    <w:rsid w:val="00796735"/>
    <w:rsid w:val="007969E1"/>
    <w:rsid w:val="00796CA7"/>
    <w:rsid w:val="00796E10"/>
    <w:rsid w:val="00797C7D"/>
    <w:rsid w:val="007A029A"/>
    <w:rsid w:val="007A050C"/>
    <w:rsid w:val="007A0731"/>
    <w:rsid w:val="007A0D62"/>
    <w:rsid w:val="007A0F0D"/>
    <w:rsid w:val="007A120B"/>
    <w:rsid w:val="007A19FC"/>
    <w:rsid w:val="007A1BA1"/>
    <w:rsid w:val="007A1C74"/>
    <w:rsid w:val="007A2080"/>
    <w:rsid w:val="007A21FD"/>
    <w:rsid w:val="007A23F5"/>
    <w:rsid w:val="007A27A3"/>
    <w:rsid w:val="007A3292"/>
    <w:rsid w:val="007A3419"/>
    <w:rsid w:val="007A35C7"/>
    <w:rsid w:val="007A3A3E"/>
    <w:rsid w:val="007A40C8"/>
    <w:rsid w:val="007A42AB"/>
    <w:rsid w:val="007A46B6"/>
    <w:rsid w:val="007A4A5A"/>
    <w:rsid w:val="007A4C14"/>
    <w:rsid w:val="007A5504"/>
    <w:rsid w:val="007A58FB"/>
    <w:rsid w:val="007A5FFD"/>
    <w:rsid w:val="007A6535"/>
    <w:rsid w:val="007A6680"/>
    <w:rsid w:val="007A6F26"/>
    <w:rsid w:val="007A70E3"/>
    <w:rsid w:val="007A70F3"/>
    <w:rsid w:val="007A7321"/>
    <w:rsid w:val="007A7849"/>
    <w:rsid w:val="007A785F"/>
    <w:rsid w:val="007A7C2E"/>
    <w:rsid w:val="007B00E2"/>
    <w:rsid w:val="007B0777"/>
    <w:rsid w:val="007B0C3C"/>
    <w:rsid w:val="007B1559"/>
    <w:rsid w:val="007B199B"/>
    <w:rsid w:val="007B1A46"/>
    <w:rsid w:val="007B247A"/>
    <w:rsid w:val="007B2A86"/>
    <w:rsid w:val="007B4262"/>
    <w:rsid w:val="007B556E"/>
    <w:rsid w:val="007B5677"/>
    <w:rsid w:val="007B56C8"/>
    <w:rsid w:val="007B5D83"/>
    <w:rsid w:val="007B627A"/>
    <w:rsid w:val="007B6AC9"/>
    <w:rsid w:val="007B7058"/>
    <w:rsid w:val="007B72D1"/>
    <w:rsid w:val="007B77FE"/>
    <w:rsid w:val="007B7F93"/>
    <w:rsid w:val="007C02D2"/>
    <w:rsid w:val="007C0452"/>
    <w:rsid w:val="007C0B1D"/>
    <w:rsid w:val="007C0E28"/>
    <w:rsid w:val="007C145F"/>
    <w:rsid w:val="007C278E"/>
    <w:rsid w:val="007C29A0"/>
    <w:rsid w:val="007C2DDD"/>
    <w:rsid w:val="007C3042"/>
    <w:rsid w:val="007C31D7"/>
    <w:rsid w:val="007C33C1"/>
    <w:rsid w:val="007C3498"/>
    <w:rsid w:val="007C35F7"/>
    <w:rsid w:val="007C3D27"/>
    <w:rsid w:val="007C3D9D"/>
    <w:rsid w:val="007C3EF3"/>
    <w:rsid w:val="007C4641"/>
    <w:rsid w:val="007C4A0A"/>
    <w:rsid w:val="007C4F2C"/>
    <w:rsid w:val="007C5BAD"/>
    <w:rsid w:val="007C5E99"/>
    <w:rsid w:val="007C5FAA"/>
    <w:rsid w:val="007C786C"/>
    <w:rsid w:val="007D03CF"/>
    <w:rsid w:val="007D05D9"/>
    <w:rsid w:val="007D0A4D"/>
    <w:rsid w:val="007D1D06"/>
    <w:rsid w:val="007D1E20"/>
    <w:rsid w:val="007D2483"/>
    <w:rsid w:val="007D252B"/>
    <w:rsid w:val="007D2900"/>
    <w:rsid w:val="007D2BE3"/>
    <w:rsid w:val="007D2FB0"/>
    <w:rsid w:val="007D312E"/>
    <w:rsid w:val="007D32A6"/>
    <w:rsid w:val="007D35BD"/>
    <w:rsid w:val="007D381A"/>
    <w:rsid w:val="007D4086"/>
    <w:rsid w:val="007D41FC"/>
    <w:rsid w:val="007D4338"/>
    <w:rsid w:val="007D46F9"/>
    <w:rsid w:val="007D4860"/>
    <w:rsid w:val="007D4FE2"/>
    <w:rsid w:val="007D530C"/>
    <w:rsid w:val="007D66A5"/>
    <w:rsid w:val="007D68F1"/>
    <w:rsid w:val="007D7863"/>
    <w:rsid w:val="007D7A05"/>
    <w:rsid w:val="007D7BA3"/>
    <w:rsid w:val="007D7E8E"/>
    <w:rsid w:val="007D7FF9"/>
    <w:rsid w:val="007E00AC"/>
    <w:rsid w:val="007E04FC"/>
    <w:rsid w:val="007E0785"/>
    <w:rsid w:val="007E0A6B"/>
    <w:rsid w:val="007E0F1E"/>
    <w:rsid w:val="007E1252"/>
    <w:rsid w:val="007E12D5"/>
    <w:rsid w:val="007E13C2"/>
    <w:rsid w:val="007E17D7"/>
    <w:rsid w:val="007E1A11"/>
    <w:rsid w:val="007E2FC2"/>
    <w:rsid w:val="007E3813"/>
    <w:rsid w:val="007E3AD6"/>
    <w:rsid w:val="007E3B87"/>
    <w:rsid w:val="007E3BDE"/>
    <w:rsid w:val="007E471D"/>
    <w:rsid w:val="007E4CBF"/>
    <w:rsid w:val="007E5037"/>
    <w:rsid w:val="007E5055"/>
    <w:rsid w:val="007E5167"/>
    <w:rsid w:val="007E5230"/>
    <w:rsid w:val="007E5245"/>
    <w:rsid w:val="007E53F5"/>
    <w:rsid w:val="007E62E9"/>
    <w:rsid w:val="007E65B2"/>
    <w:rsid w:val="007E68B7"/>
    <w:rsid w:val="007E6A02"/>
    <w:rsid w:val="007E7447"/>
    <w:rsid w:val="007E7957"/>
    <w:rsid w:val="007F0682"/>
    <w:rsid w:val="007F06B2"/>
    <w:rsid w:val="007F13D0"/>
    <w:rsid w:val="007F148D"/>
    <w:rsid w:val="007F1E0A"/>
    <w:rsid w:val="007F1F78"/>
    <w:rsid w:val="007F2067"/>
    <w:rsid w:val="007F2592"/>
    <w:rsid w:val="007F3D41"/>
    <w:rsid w:val="007F42EA"/>
    <w:rsid w:val="007F44C7"/>
    <w:rsid w:val="007F4A71"/>
    <w:rsid w:val="007F518A"/>
    <w:rsid w:val="007F58E8"/>
    <w:rsid w:val="007F5D9F"/>
    <w:rsid w:val="007F5E84"/>
    <w:rsid w:val="007F60D6"/>
    <w:rsid w:val="007F6BB7"/>
    <w:rsid w:val="00801698"/>
    <w:rsid w:val="00801EFF"/>
    <w:rsid w:val="008023AB"/>
    <w:rsid w:val="00802B76"/>
    <w:rsid w:val="008032B4"/>
    <w:rsid w:val="00803406"/>
    <w:rsid w:val="0080354A"/>
    <w:rsid w:val="008035D3"/>
    <w:rsid w:val="00803933"/>
    <w:rsid w:val="00804780"/>
    <w:rsid w:val="0080478B"/>
    <w:rsid w:val="00804E37"/>
    <w:rsid w:val="00805810"/>
    <w:rsid w:val="008059E8"/>
    <w:rsid w:val="00805B59"/>
    <w:rsid w:val="00805DD2"/>
    <w:rsid w:val="00805E47"/>
    <w:rsid w:val="00805E56"/>
    <w:rsid w:val="008060FE"/>
    <w:rsid w:val="008062B3"/>
    <w:rsid w:val="008063FB"/>
    <w:rsid w:val="008066B2"/>
    <w:rsid w:val="008067FC"/>
    <w:rsid w:val="008069B8"/>
    <w:rsid w:val="008069D3"/>
    <w:rsid w:val="00806E2D"/>
    <w:rsid w:val="00806FC7"/>
    <w:rsid w:val="008071B9"/>
    <w:rsid w:val="00807BD4"/>
    <w:rsid w:val="008102A4"/>
    <w:rsid w:val="00810657"/>
    <w:rsid w:val="008107BE"/>
    <w:rsid w:val="00810BB9"/>
    <w:rsid w:val="00811922"/>
    <w:rsid w:val="00812D35"/>
    <w:rsid w:val="00812D42"/>
    <w:rsid w:val="00812EC8"/>
    <w:rsid w:val="00812FEB"/>
    <w:rsid w:val="0081375A"/>
    <w:rsid w:val="0081379E"/>
    <w:rsid w:val="008144B0"/>
    <w:rsid w:val="00814789"/>
    <w:rsid w:val="008148FA"/>
    <w:rsid w:val="00814F47"/>
    <w:rsid w:val="00814FD9"/>
    <w:rsid w:val="00814FDF"/>
    <w:rsid w:val="008150D4"/>
    <w:rsid w:val="0081515E"/>
    <w:rsid w:val="00815376"/>
    <w:rsid w:val="00815712"/>
    <w:rsid w:val="0081571F"/>
    <w:rsid w:val="00815CC2"/>
    <w:rsid w:val="00815D9B"/>
    <w:rsid w:val="0081607E"/>
    <w:rsid w:val="008164FC"/>
    <w:rsid w:val="0081698A"/>
    <w:rsid w:val="00817689"/>
    <w:rsid w:val="0082066A"/>
    <w:rsid w:val="0082081A"/>
    <w:rsid w:val="008214CC"/>
    <w:rsid w:val="00821C10"/>
    <w:rsid w:val="00821FA5"/>
    <w:rsid w:val="00822149"/>
    <w:rsid w:val="00822E24"/>
    <w:rsid w:val="008230AA"/>
    <w:rsid w:val="00824BD7"/>
    <w:rsid w:val="00824C9B"/>
    <w:rsid w:val="00824F22"/>
    <w:rsid w:val="00824FBA"/>
    <w:rsid w:val="00825837"/>
    <w:rsid w:val="00825D2B"/>
    <w:rsid w:val="008260BB"/>
    <w:rsid w:val="00827987"/>
    <w:rsid w:val="008301E5"/>
    <w:rsid w:val="00830533"/>
    <w:rsid w:val="00830E73"/>
    <w:rsid w:val="00831C3E"/>
    <w:rsid w:val="00831F59"/>
    <w:rsid w:val="00832869"/>
    <w:rsid w:val="00832EB8"/>
    <w:rsid w:val="00833AEC"/>
    <w:rsid w:val="00833D29"/>
    <w:rsid w:val="00834751"/>
    <w:rsid w:val="00834E83"/>
    <w:rsid w:val="0083515F"/>
    <w:rsid w:val="00835305"/>
    <w:rsid w:val="008355ED"/>
    <w:rsid w:val="00835EB3"/>
    <w:rsid w:val="00836373"/>
    <w:rsid w:val="00837DC3"/>
    <w:rsid w:val="00840296"/>
    <w:rsid w:val="00840332"/>
    <w:rsid w:val="00840496"/>
    <w:rsid w:val="0084056E"/>
    <w:rsid w:val="00840755"/>
    <w:rsid w:val="00840CC5"/>
    <w:rsid w:val="00840DA9"/>
    <w:rsid w:val="00840FA4"/>
    <w:rsid w:val="00841287"/>
    <w:rsid w:val="00841589"/>
    <w:rsid w:val="00842227"/>
    <w:rsid w:val="008428AC"/>
    <w:rsid w:val="00842B45"/>
    <w:rsid w:val="00842E1C"/>
    <w:rsid w:val="00843666"/>
    <w:rsid w:val="00843AAE"/>
    <w:rsid w:val="00843EDF"/>
    <w:rsid w:val="008442AD"/>
    <w:rsid w:val="008443AB"/>
    <w:rsid w:val="008444FA"/>
    <w:rsid w:val="0084527A"/>
    <w:rsid w:val="00845B4A"/>
    <w:rsid w:val="00846056"/>
    <w:rsid w:val="00846291"/>
    <w:rsid w:val="00846CFA"/>
    <w:rsid w:val="008477EE"/>
    <w:rsid w:val="008503F9"/>
    <w:rsid w:val="008507C9"/>
    <w:rsid w:val="008509DB"/>
    <w:rsid w:val="00850C5D"/>
    <w:rsid w:val="00852F26"/>
    <w:rsid w:val="008533B5"/>
    <w:rsid w:val="00853CA3"/>
    <w:rsid w:val="00853CF6"/>
    <w:rsid w:val="008540CB"/>
    <w:rsid w:val="00855185"/>
    <w:rsid w:val="00855B93"/>
    <w:rsid w:val="00855CBB"/>
    <w:rsid w:val="00856542"/>
    <w:rsid w:val="00856774"/>
    <w:rsid w:val="00856987"/>
    <w:rsid w:val="00860B16"/>
    <w:rsid w:val="00860EFB"/>
    <w:rsid w:val="00860F34"/>
    <w:rsid w:val="008610B9"/>
    <w:rsid w:val="008613A5"/>
    <w:rsid w:val="00861F91"/>
    <w:rsid w:val="008622BC"/>
    <w:rsid w:val="0086243C"/>
    <w:rsid w:val="008626D6"/>
    <w:rsid w:val="00862AA3"/>
    <w:rsid w:val="00863419"/>
    <w:rsid w:val="008639F7"/>
    <w:rsid w:val="00863A13"/>
    <w:rsid w:val="0086593C"/>
    <w:rsid w:val="00866956"/>
    <w:rsid w:val="008669E0"/>
    <w:rsid w:val="008671B8"/>
    <w:rsid w:val="008679CB"/>
    <w:rsid w:val="00870979"/>
    <w:rsid w:val="00870C8F"/>
    <w:rsid w:val="008717F7"/>
    <w:rsid w:val="0087192A"/>
    <w:rsid w:val="00871973"/>
    <w:rsid w:val="00872002"/>
    <w:rsid w:val="008721BE"/>
    <w:rsid w:val="00873B99"/>
    <w:rsid w:val="0087464F"/>
    <w:rsid w:val="00874CDC"/>
    <w:rsid w:val="00874DC2"/>
    <w:rsid w:val="0087522D"/>
    <w:rsid w:val="0087530F"/>
    <w:rsid w:val="008756AC"/>
    <w:rsid w:val="008757DB"/>
    <w:rsid w:val="00875882"/>
    <w:rsid w:val="008767A0"/>
    <w:rsid w:val="00876D93"/>
    <w:rsid w:val="00877257"/>
    <w:rsid w:val="008775DF"/>
    <w:rsid w:val="00877803"/>
    <w:rsid w:val="00877A7B"/>
    <w:rsid w:val="00877F69"/>
    <w:rsid w:val="008808E0"/>
    <w:rsid w:val="0088096F"/>
    <w:rsid w:val="00880AE1"/>
    <w:rsid w:val="00880D13"/>
    <w:rsid w:val="00880D2A"/>
    <w:rsid w:val="00880F26"/>
    <w:rsid w:val="008814B4"/>
    <w:rsid w:val="0088225F"/>
    <w:rsid w:val="0088320E"/>
    <w:rsid w:val="00883553"/>
    <w:rsid w:val="00883770"/>
    <w:rsid w:val="00883C8E"/>
    <w:rsid w:val="00883DCB"/>
    <w:rsid w:val="00884524"/>
    <w:rsid w:val="00884F7F"/>
    <w:rsid w:val="00885455"/>
    <w:rsid w:val="00885DD8"/>
    <w:rsid w:val="00885E7D"/>
    <w:rsid w:val="00885F0B"/>
    <w:rsid w:val="0088613A"/>
    <w:rsid w:val="00886BF6"/>
    <w:rsid w:val="00886E73"/>
    <w:rsid w:val="008871FA"/>
    <w:rsid w:val="008901A5"/>
    <w:rsid w:val="00890572"/>
    <w:rsid w:val="00890CB6"/>
    <w:rsid w:val="0089106F"/>
    <w:rsid w:val="00891880"/>
    <w:rsid w:val="00891F55"/>
    <w:rsid w:val="00892C21"/>
    <w:rsid w:val="0089330F"/>
    <w:rsid w:val="008936DE"/>
    <w:rsid w:val="0089472E"/>
    <w:rsid w:val="00894FA0"/>
    <w:rsid w:val="00895646"/>
    <w:rsid w:val="008958BD"/>
    <w:rsid w:val="00895923"/>
    <w:rsid w:val="008959B9"/>
    <w:rsid w:val="00896904"/>
    <w:rsid w:val="008969CC"/>
    <w:rsid w:val="008975EE"/>
    <w:rsid w:val="00897DE5"/>
    <w:rsid w:val="008A074A"/>
    <w:rsid w:val="008A0F6C"/>
    <w:rsid w:val="008A117A"/>
    <w:rsid w:val="008A1467"/>
    <w:rsid w:val="008A14A0"/>
    <w:rsid w:val="008A28AA"/>
    <w:rsid w:val="008A28E8"/>
    <w:rsid w:val="008A39C7"/>
    <w:rsid w:val="008A3B8E"/>
    <w:rsid w:val="008A3C6E"/>
    <w:rsid w:val="008A3D44"/>
    <w:rsid w:val="008A44F2"/>
    <w:rsid w:val="008A461A"/>
    <w:rsid w:val="008A478D"/>
    <w:rsid w:val="008A4BF6"/>
    <w:rsid w:val="008A599C"/>
    <w:rsid w:val="008A5D13"/>
    <w:rsid w:val="008A611A"/>
    <w:rsid w:val="008A6278"/>
    <w:rsid w:val="008A6709"/>
    <w:rsid w:val="008A6BDD"/>
    <w:rsid w:val="008A75F2"/>
    <w:rsid w:val="008A7CFB"/>
    <w:rsid w:val="008A7EE2"/>
    <w:rsid w:val="008B012C"/>
    <w:rsid w:val="008B0175"/>
    <w:rsid w:val="008B091F"/>
    <w:rsid w:val="008B0ABF"/>
    <w:rsid w:val="008B0C22"/>
    <w:rsid w:val="008B0DF5"/>
    <w:rsid w:val="008B0EF5"/>
    <w:rsid w:val="008B151A"/>
    <w:rsid w:val="008B1649"/>
    <w:rsid w:val="008B2019"/>
    <w:rsid w:val="008B23B1"/>
    <w:rsid w:val="008B2F07"/>
    <w:rsid w:val="008B2F17"/>
    <w:rsid w:val="008B2FA9"/>
    <w:rsid w:val="008B384C"/>
    <w:rsid w:val="008B40FE"/>
    <w:rsid w:val="008B4A32"/>
    <w:rsid w:val="008B4C5B"/>
    <w:rsid w:val="008B5144"/>
    <w:rsid w:val="008B543C"/>
    <w:rsid w:val="008B56B4"/>
    <w:rsid w:val="008B581A"/>
    <w:rsid w:val="008B585B"/>
    <w:rsid w:val="008B5D6E"/>
    <w:rsid w:val="008B6618"/>
    <w:rsid w:val="008B7AC7"/>
    <w:rsid w:val="008C0200"/>
    <w:rsid w:val="008C0D0B"/>
    <w:rsid w:val="008C1BC5"/>
    <w:rsid w:val="008C1D39"/>
    <w:rsid w:val="008C2682"/>
    <w:rsid w:val="008C2E1F"/>
    <w:rsid w:val="008C343E"/>
    <w:rsid w:val="008C348B"/>
    <w:rsid w:val="008C3638"/>
    <w:rsid w:val="008C3E9F"/>
    <w:rsid w:val="008C4C32"/>
    <w:rsid w:val="008C5079"/>
    <w:rsid w:val="008C52EE"/>
    <w:rsid w:val="008C5555"/>
    <w:rsid w:val="008C5674"/>
    <w:rsid w:val="008C5BA6"/>
    <w:rsid w:val="008C5F3C"/>
    <w:rsid w:val="008C60CA"/>
    <w:rsid w:val="008C64FD"/>
    <w:rsid w:val="008C66F1"/>
    <w:rsid w:val="008C6A62"/>
    <w:rsid w:val="008C74C5"/>
    <w:rsid w:val="008D00EE"/>
    <w:rsid w:val="008D044C"/>
    <w:rsid w:val="008D07E5"/>
    <w:rsid w:val="008D083B"/>
    <w:rsid w:val="008D0FC8"/>
    <w:rsid w:val="008D16B0"/>
    <w:rsid w:val="008D1A68"/>
    <w:rsid w:val="008D22E5"/>
    <w:rsid w:val="008D261F"/>
    <w:rsid w:val="008D26DF"/>
    <w:rsid w:val="008D2CFE"/>
    <w:rsid w:val="008D3339"/>
    <w:rsid w:val="008D4EB7"/>
    <w:rsid w:val="008D601A"/>
    <w:rsid w:val="008D6A98"/>
    <w:rsid w:val="008D6CA9"/>
    <w:rsid w:val="008D7660"/>
    <w:rsid w:val="008D783C"/>
    <w:rsid w:val="008D7A0C"/>
    <w:rsid w:val="008E0AD4"/>
    <w:rsid w:val="008E1B3E"/>
    <w:rsid w:val="008E1BFD"/>
    <w:rsid w:val="008E1D92"/>
    <w:rsid w:val="008E1E90"/>
    <w:rsid w:val="008E33B5"/>
    <w:rsid w:val="008E3BF0"/>
    <w:rsid w:val="008E4336"/>
    <w:rsid w:val="008E43DC"/>
    <w:rsid w:val="008E4917"/>
    <w:rsid w:val="008E5915"/>
    <w:rsid w:val="008E5B48"/>
    <w:rsid w:val="008E5E49"/>
    <w:rsid w:val="008E606E"/>
    <w:rsid w:val="008E6699"/>
    <w:rsid w:val="008E698E"/>
    <w:rsid w:val="008E75E4"/>
    <w:rsid w:val="008E792F"/>
    <w:rsid w:val="008E7934"/>
    <w:rsid w:val="008E7BF3"/>
    <w:rsid w:val="008F0B66"/>
    <w:rsid w:val="008F0D98"/>
    <w:rsid w:val="008F11A5"/>
    <w:rsid w:val="008F15C4"/>
    <w:rsid w:val="008F17FB"/>
    <w:rsid w:val="008F1BBE"/>
    <w:rsid w:val="008F1E85"/>
    <w:rsid w:val="008F1E9F"/>
    <w:rsid w:val="008F2459"/>
    <w:rsid w:val="008F2E3C"/>
    <w:rsid w:val="008F35A3"/>
    <w:rsid w:val="008F3916"/>
    <w:rsid w:val="008F3DE2"/>
    <w:rsid w:val="008F43C4"/>
    <w:rsid w:val="008F4869"/>
    <w:rsid w:val="008F4C49"/>
    <w:rsid w:val="008F63A4"/>
    <w:rsid w:val="008F644B"/>
    <w:rsid w:val="008F65FE"/>
    <w:rsid w:val="008F6745"/>
    <w:rsid w:val="009000A4"/>
    <w:rsid w:val="009003C8"/>
    <w:rsid w:val="00900536"/>
    <w:rsid w:val="00900F9A"/>
    <w:rsid w:val="00901480"/>
    <w:rsid w:val="00901A5E"/>
    <w:rsid w:val="00901AA7"/>
    <w:rsid w:val="00902244"/>
    <w:rsid w:val="00902E47"/>
    <w:rsid w:val="00902F43"/>
    <w:rsid w:val="00903325"/>
    <w:rsid w:val="00903878"/>
    <w:rsid w:val="00903E15"/>
    <w:rsid w:val="0090493F"/>
    <w:rsid w:val="00904DE7"/>
    <w:rsid w:val="0090521A"/>
    <w:rsid w:val="00905594"/>
    <w:rsid w:val="009062CB"/>
    <w:rsid w:val="00906A7B"/>
    <w:rsid w:val="00906EA4"/>
    <w:rsid w:val="00907511"/>
    <w:rsid w:val="009076A0"/>
    <w:rsid w:val="009102C5"/>
    <w:rsid w:val="0091064C"/>
    <w:rsid w:val="00910907"/>
    <w:rsid w:val="00910C8B"/>
    <w:rsid w:val="00910F8D"/>
    <w:rsid w:val="0091156F"/>
    <w:rsid w:val="00911B33"/>
    <w:rsid w:val="00911C9E"/>
    <w:rsid w:val="00912199"/>
    <w:rsid w:val="009121B6"/>
    <w:rsid w:val="0091239C"/>
    <w:rsid w:val="0091293C"/>
    <w:rsid w:val="00912E50"/>
    <w:rsid w:val="00913278"/>
    <w:rsid w:val="0091334F"/>
    <w:rsid w:val="009138A8"/>
    <w:rsid w:val="00913E72"/>
    <w:rsid w:val="009140D1"/>
    <w:rsid w:val="009142B1"/>
    <w:rsid w:val="009147DF"/>
    <w:rsid w:val="00914BCA"/>
    <w:rsid w:val="009152A2"/>
    <w:rsid w:val="00916106"/>
    <w:rsid w:val="009164F4"/>
    <w:rsid w:val="00916785"/>
    <w:rsid w:val="009167D3"/>
    <w:rsid w:val="00917081"/>
    <w:rsid w:val="009172FC"/>
    <w:rsid w:val="00917D2B"/>
    <w:rsid w:val="00920546"/>
    <w:rsid w:val="00920A22"/>
    <w:rsid w:val="00921A41"/>
    <w:rsid w:val="00922330"/>
    <w:rsid w:val="009239E4"/>
    <w:rsid w:val="00923A3D"/>
    <w:rsid w:val="00923F42"/>
    <w:rsid w:val="00924D13"/>
    <w:rsid w:val="00925A43"/>
    <w:rsid w:val="009260C7"/>
    <w:rsid w:val="00926217"/>
    <w:rsid w:val="009264F4"/>
    <w:rsid w:val="0092654E"/>
    <w:rsid w:val="00926FC7"/>
    <w:rsid w:val="00927B1F"/>
    <w:rsid w:val="00927EA2"/>
    <w:rsid w:val="0093002C"/>
    <w:rsid w:val="009300F2"/>
    <w:rsid w:val="009304AE"/>
    <w:rsid w:val="009307D7"/>
    <w:rsid w:val="00930CBD"/>
    <w:rsid w:val="0093127C"/>
    <w:rsid w:val="00931C04"/>
    <w:rsid w:val="00931E83"/>
    <w:rsid w:val="009320DB"/>
    <w:rsid w:val="0093211C"/>
    <w:rsid w:val="00932775"/>
    <w:rsid w:val="009334B8"/>
    <w:rsid w:val="00933755"/>
    <w:rsid w:val="00933887"/>
    <w:rsid w:val="00933C7C"/>
    <w:rsid w:val="00934018"/>
    <w:rsid w:val="009340CF"/>
    <w:rsid w:val="0093578B"/>
    <w:rsid w:val="009359CE"/>
    <w:rsid w:val="0093704E"/>
    <w:rsid w:val="0093720E"/>
    <w:rsid w:val="009406C6"/>
    <w:rsid w:val="009407F3"/>
    <w:rsid w:val="0094095A"/>
    <w:rsid w:val="00940B82"/>
    <w:rsid w:val="00941940"/>
    <w:rsid w:val="00943786"/>
    <w:rsid w:val="0094446D"/>
    <w:rsid w:val="009449F1"/>
    <w:rsid w:val="00944C07"/>
    <w:rsid w:val="00945184"/>
    <w:rsid w:val="00945A06"/>
    <w:rsid w:val="00945B8E"/>
    <w:rsid w:val="00945BCE"/>
    <w:rsid w:val="00945E0D"/>
    <w:rsid w:val="00945E1E"/>
    <w:rsid w:val="00946171"/>
    <w:rsid w:val="00946231"/>
    <w:rsid w:val="00946CD5"/>
    <w:rsid w:val="00947B35"/>
    <w:rsid w:val="00947BCE"/>
    <w:rsid w:val="0095144E"/>
    <w:rsid w:val="009518F1"/>
    <w:rsid w:val="00951B96"/>
    <w:rsid w:val="00951F3E"/>
    <w:rsid w:val="0095207C"/>
    <w:rsid w:val="009523EA"/>
    <w:rsid w:val="0095296E"/>
    <w:rsid w:val="009529AE"/>
    <w:rsid w:val="00953158"/>
    <w:rsid w:val="00953B9F"/>
    <w:rsid w:val="00953C95"/>
    <w:rsid w:val="00953EC5"/>
    <w:rsid w:val="00953F93"/>
    <w:rsid w:val="00954297"/>
    <w:rsid w:val="009545A3"/>
    <w:rsid w:val="00956004"/>
    <w:rsid w:val="0095670F"/>
    <w:rsid w:val="00956A6C"/>
    <w:rsid w:val="00956F1E"/>
    <w:rsid w:val="009572CC"/>
    <w:rsid w:val="0095761A"/>
    <w:rsid w:val="00957ECE"/>
    <w:rsid w:val="00960005"/>
    <w:rsid w:val="00960181"/>
    <w:rsid w:val="009602DF"/>
    <w:rsid w:val="00960465"/>
    <w:rsid w:val="009606A7"/>
    <w:rsid w:val="009607A2"/>
    <w:rsid w:val="0096094B"/>
    <w:rsid w:val="00960D9C"/>
    <w:rsid w:val="00962277"/>
    <w:rsid w:val="00962D5C"/>
    <w:rsid w:val="00963224"/>
    <w:rsid w:val="009633BF"/>
    <w:rsid w:val="0096430C"/>
    <w:rsid w:val="00964CC3"/>
    <w:rsid w:val="0096501C"/>
    <w:rsid w:val="00967590"/>
    <w:rsid w:val="00970052"/>
    <w:rsid w:val="009700D6"/>
    <w:rsid w:val="009701AA"/>
    <w:rsid w:val="00970B11"/>
    <w:rsid w:val="00971570"/>
    <w:rsid w:val="009718F0"/>
    <w:rsid w:val="00971C36"/>
    <w:rsid w:val="0097223F"/>
    <w:rsid w:val="00972524"/>
    <w:rsid w:val="0097290B"/>
    <w:rsid w:val="0097409E"/>
    <w:rsid w:val="00974160"/>
    <w:rsid w:val="00974447"/>
    <w:rsid w:val="009744E6"/>
    <w:rsid w:val="00974BC6"/>
    <w:rsid w:val="00974E3D"/>
    <w:rsid w:val="0097522F"/>
    <w:rsid w:val="00975DF2"/>
    <w:rsid w:val="00975EC4"/>
    <w:rsid w:val="00975F99"/>
    <w:rsid w:val="00977A68"/>
    <w:rsid w:val="00977C78"/>
    <w:rsid w:val="00977ED6"/>
    <w:rsid w:val="00980698"/>
    <w:rsid w:val="00981E44"/>
    <w:rsid w:val="009833CA"/>
    <w:rsid w:val="00983C7C"/>
    <w:rsid w:val="00983E67"/>
    <w:rsid w:val="00984770"/>
    <w:rsid w:val="0098480D"/>
    <w:rsid w:val="00984A99"/>
    <w:rsid w:val="00984ABF"/>
    <w:rsid w:val="009857F0"/>
    <w:rsid w:val="00985F43"/>
    <w:rsid w:val="009861EA"/>
    <w:rsid w:val="00986356"/>
    <w:rsid w:val="0098653D"/>
    <w:rsid w:val="00986A80"/>
    <w:rsid w:val="00986AB7"/>
    <w:rsid w:val="00987552"/>
    <w:rsid w:val="00987ADE"/>
    <w:rsid w:val="0099035A"/>
    <w:rsid w:val="00990C44"/>
    <w:rsid w:val="00991B07"/>
    <w:rsid w:val="00992CDA"/>
    <w:rsid w:val="00992FC2"/>
    <w:rsid w:val="009930DC"/>
    <w:rsid w:val="009939DB"/>
    <w:rsid w:val="00993E95"/>
    <w:rsid w:val="00993FA2"/>
    <w:rsid w:val="00994C1B"/>
    <w:rsid w:val="00994CB7"/>
    <w:rsid w:val="00994EF2"/>
    <w:rsid w:val="00994F91"/>
    <w:rsid w:val="00995454"/>
    <w:rsid w:val="0099667B"/>
    <w:rsid w:val="009967CB"/>
    <w:rsid w:val="0099689E"/>
    <w:rsid w:val="0099766C"/>
    <w:rsid w:val="00997C80"/>
    <w:rsid w:val="009A06A4"/>
    <w:rsid w:val="009A0E67"/>
    <w:rsid w:val="009A0EF1"/>
    <w:rsid w:val="009A1B3B"/>
    <w:rsid w:val="009A1EA2"/>
    <w:rsid w:val="009A215A"/>
    <w:rsid w:val="009A23BC"/>
    <w:rsid w:val="009A23CF"/>
    <w:rsid w:val="009A29E1"/>
    <w:rsid w:val="009A2C95"/>
    <w:rsid w:val="009A32BE"/>
    <w:rsid w:val="009A357F"/>
    <w:rsid w:val="009A397A"/>
    <w:rsid w:val="009A4C11"/>
    <w:rsid w:val="009A4D14"/>
    <w:rsid w:val="009A5938"/>
    <w:rsid w:val="009A5B31"/>
    <w:rsid w:val="009A6937"/>
    <w:rsid w:val="009A7334"/>
    <w:rsid w:val="009A76FD"/>
    <w:rsid w:val="009A79FF"/>
    <w:rsid w:val="009B01CE"/>
    <w:rsid w:val="009B0268"/>
    <w:rsid w:val="009B10DE"/>
    <w:rsid w:val="009B15C6"/>
    <w:rsid w:val="009B17B1"/>
    <w:rsid w:val="009B18A1"/>
    <w:rsid w:val="009B1FF3"/>
    <w:rsid w:val="009B2157"/>
    <w:rsid w:val="009B245A"/>
    <w:rsid w:val="009B2EEB"/>
    <w:rsid w:val="009B317A"/>
    <w:rsid w:val="009B3B7D"/>
    <w:rsid w:val="009B43E0"/>
    <w:rsid w:val="009B46C5"/>
    <w:rsid w:val="009B4F33"/>
    <w:rsid w:val="009B594B"/>
    <w:rsid w:val="009B5C0A"/>
    <w:rsid w:val="009B5C9D"/>
    <w:rsid w:val="009B62FC"/>
    <w:rsid w:val="009B6A88"/>
    <w:rsid w:val="009B7376"/>
    <w:rsid w:val="009B7482"/>
    <w:rsid w:val="009B77AA"/>
    <w:rsid w:val="009B7C60"/>
    <w:rsid w:val="009C0415"/>
    <w:rsid w:val="009C0454"/>
    <w:rsid w:val="009C0DCE"/>
    <w:rsid w:val="009C1450"/>
    <w:rsid w:val="009C177C"/>
    <w:rsid w:val="009C1E42"/>
    <w:rsid w:val="009C1FF3"/>
    <w:rsid w:val="009C2577"/>
    <w:rsid w:val="009C2B78"/>
    <w:rsid w:val="009C2DAA"/>
    <w:rsid w:val="009C4580"/>
    <w:rsid w:val="009C47AA"/>
    <w:rsid w:val="009C4952"/>
    <w:rsid w:val="009C4F6B"/>
    <w:rsid w:val="009C5AAC"/>
    <w:rsid w:val="009C5E1F"/>
    <w:rsid w:val="009C602D"/>
    <w:rsid w:val="009C63E9"/>
    <w:rsid w:val="009C659B"/>
    <w:rsid w:val="009C67FE"/>
    <w:rsid w:val="009C71F6"/>
    <w:rsid w:val="009C7301"/>
    <w:rsid w:val="009C736D"/>
    <w:rsid w:val="009C7A90"/>
    <w:rsid w:val="009D0B60"/>
    <w:rsid w:val="009D0CFC"/>
    <w:rsid w:val="009D13B4"/>
    <w:rsid w:val="009D148D"/>
    <w:rsid w:val="009D1877"/>
    <w:rsid w:val="009D23C3"/>
    <w:rsid w:val="009D24D4"/>
    <w:rsid w:val="009D37D4"/>
    <w:rsid w:val="009D4612"/>
    <w:rsid w:val="009D4EF3"/>
    <w:rsid w:val="009D4F9C"/>
    <w:rsid w:val="009D5044"/>
    <w:rsid w:val="009D5A07"/>
    <w:rsid w:val="009D60BB"/>
    <w:rsid w:val="009D687F"/>
    <w:rsid w:val="009D6B44"/>
    <w:rsid w:val="009D6BB9"/>
    <w:rsid w:val="009D6E80"/>
    <w:rsid w:val="009D6F46"/>
    <w:rsid w:val="009D723B"/>
    <w:rsid w:val="009D7270"/>
    <w:rsid w:val="009D72E8"/>
    <w:rsid w:val="009D7865"/>
    <w:rsid w:val="009D7AC7"/>
    <w:rsid w:val="009D7E94"/>
    <w:rsid w:val="009E030D"/>
    <w:rsid w:val="009E0A53"/>
    <w:rsid w:val="009E0B1D"/>
    <w:rsid w:val="009E1014"/>
    <w:rsid w:val="009E1176"/>
    <w:rsid w:val="009E1660"/>
    <w:rsid w:val="009E1B6D"/>
    <w:rsid w:val="009E1C29"/>
    <w:rsid w:val="009E1CDB"/>
    <w:rsid w:val="009E2540"/>
    <w:rsid w:val="009E299E"/>
    <w:rsid w:val="009E2F7A"/>
    <w:rsid w:val="009E308A"/>
    <w:rsid w:val="009E35AF"/>
    <w:rsid w:val="009E362A"/>
    <w:rsid w:val="009E4C57"/>
    <w:rsid w:val="009E52BE"/>
    <w:rsid w:val="009E5429"/>
    <w:rsid w:val="009E5867"/>
    <w:rsid w:val="009E62A2"/>
    <w:rsid w:val="009E6D77"/>
    <w:rsid w:val="009E78D1"/>
    <w:rsid w:val="009E7D23"/>
    <w:rsid w:val="009F047B"/>
    <w:rsid w:val="009F055D"/>
    <w:rsid w:val="009F0B7C"/>
    <w:rsid w:val="009F0EE5"/>
    <w:rsid w:val="009F0FB9"/>
    <w:rsid w:val="009F24FC"/>
    <w:rsid w:val="009F28DB"/>
    <w:rsid w:val="009F2FB3"/>
    <w:rsid w:val="009F3573"/>
    <w:rsid w:val="009F3854"/>
    <w:rsid w:val="009F3989"/>
    <w:rsid w:val="009F3A79"/>
    <w:rsid w:val="009F3B75"/>
    <w:rsid w:val="009F3CB5"/>
    <w:rsid w:val="009F4943"/>
    <w:rsid w:val="009F5ACD"/>
    <w:rsid w:val="009F672B"/>
    <w:rsid w:val="009F6EDC"/>
    <w:rsid w:val="009F73B2"/>
    <w:rsid w:val="00A00167"/>
    <w:rsid w:val="00A00671"/>
    <w:rsid w:val="00A007EC"/>
    <w:rsid w:val="00A00D9F"/>
    <w:rsid w:val="00A0115C"/>
    <w:rsid w:val="00A01D51"/>
    <w:rsid w:val="00A02514"/>
    <w:rsid w:val="00A028F5"/>
    <w:rsid w:val="00A033B9"/>
    <w:rsid w:val="00A0391F"/>
    <w:rsid w:val="00A048CE"/>
    <w:rsid w:val="00A04B8D"/>
    <w:rsid w:val="00A0538C"/>
    <w:rsid w:val="00A05831"/>
    <w:rsid w:val="00A05DF7"/>
    <w:rsid w:val="00A05E65"/>
    <w:rsid w:val="00A066DF"/>
    <w:rsid w:val="00A06F94"/>
    <w:rsid w:val="00A0759E"/>
    <w:rsid w:val="00A075F4"/>
    <w:rsid w:val="00A10096"/>
    <w:rsid w:val="00A10398"/>
    <w:rsid w:val="00A10892"/>
    <w:rsid w:val="00A109BD"/>
    <w:rsid w:val="00A1109C"/>
    <w:rsid w:val="00A11524"/>
    <w:rsid w:val="00A11898"/>
    <w:rsid w:val="00A11AEB"/>
    <w:rsid w:val="00A11FF8"/>
    <w:rsid w:val="00A12629"/>
    <w:rsid w:val="00A133A7"/>
    <w:rsid w:val="00A13780"/>
    <w:rsid w:val="00A14D1D"/>
    <w:rsid w:val="00A14D1E"/>
    <w:rsid w:val="00A14FE7"/>
    <w:rsid w:val="00A14FFF"/>
    <w:rsid w:val="00A154EE"/>
    <w:rsid w:val="00A17013"/>
    <w:rsid w:val="00A171A8"/>
    <w:rsid w:val="00A17CB8"/>
    <w:rsid w:val="00A17E84"/>
    <w:rsid w:val="00A17FEE"/>
    <w:rsid w:val="00A20011"/>
    <w:rsid w:val="00A20453"/>
    <w:rsid w:val="00A20556"/>
    <w:rsid w:val="00A21003"/>
    <w:rsid w:val="00A21831"/>
    <w:rsid w:val="00A21D86"/>
    <w:rsid w:val="00A22ADE"/>
    <w:rsid w:val="00A22D41"/>
    <w:rsid w:val="00A22E60"/>
    <w:rsid w:val="00A23E22"/>
    <w:rsid w:val="00A24528"/>
    <w:rsid w:val="00A24649"/>
    <w:rsid w:val="00A24BE7"/>
    <w:rsid w:val="00A24EA4"/>
    <w:rsid w:val="00A24F38"/>
    <w:rsid w:val="00A24FD2"/>
    <w:rsid w:val="00A256AB"/>
    <w:rsid w:val="00A258F0"/>
    <w:rsid w:val="00A25B30"/>
    <w:rsid w:val="00A2618E"/>
    <w:rsid w:val="00A2692D"/>
    <w:rsid w:val="00A27151"/>
    <w:rsid w:val="00A2766F"/>
    <w:rsid w:val="00A27B3A"/>
    <w:rsid w:val="00A3057D"/>
    <w:rsid w:val="00A30C41"/>
    <w:rsid w:val="00A316DC"/>
    <w:rsid w:val="00A3177D"/>
    <w:rsid w:val="00A319EA"/>
    <w:rsid w:val="00A323C8"/>
    <w:rsid w:val="00A329CE"/>
    <w:rsid w:val="00A32C24"/>
    <w:rsid w:val="00A33D2F"/>
    <w:rsid w:val="00A343E5"/>
    <w:rsid w:val="00A348F2"/>
    <w:rsid w:val="00A34CC2"/>
    <w:rsid w:val="00A35373"/>
    <w:rsid w:val="00A359D8"/>
    <w:rsid w:val="00A35C63"/>
    <w:rsid w:val="00A35FB4"/>
    <w:rsid w:val="00A3613F"/>
    <w:rsid w:val="00A37436"/>
    <w:rsid w:val="00A37662"/>
    <w:rsid w:val="00A376CB"/>
    <w:rsid w:val="00A37F09"/>
    <w:rsid w:val="00A37FBA"/>
    <w:rsid w:val="00A400B1"/>
    <w:rsid w:val="00A409D2"/>
    <w:rsid w:val="00A426ED"/>
    <w:rsid w:val="00A42B54"/>
    <w:rsid w:val="00A42E55"/>
    <w:rsid w:val="00A433A6"/>
    <w:rsid w:val="00A4364B"/>
    <w:rsid w:val="00A4374F"/>
    <w:rsid w:val="00A43FB7"/>
    <w:rsid w:val="00A44414"/>
    <w:rsid w:val="00A4499C"/>
    <w:rsid w:val="00A44E55"/>
    <w:rsid w:val="00A44E90"/>
    <w:rsid w:val="00A456C4"/>
    <w:rsid w:val="00A456C8"/>
    <w:rsid w:val="00A46007"/>
    <w:rsid w:val="00A4627A"/>
    <w:rsid w:val="00A46409"/>
    <w:rsid w:val="00A469A1"/>
    <w:rsid w:val="00A46BA6"/>
    <w:rsid w:val="00A47A3D"/>
    <w:rsid w:val="00A505A7"/>
    <w:rsid w:val="00A50A5D"/>
    <w:rsid w:val="00A511B2"/>
    <w:rsid w:val="00A513EF"/>
    <w:rsid w:val="00A514CD"/>
    <w:rsid w:val="00A514FB"/>
    <w:rsid w:val="00A51B8B"/>
    <w:rsid w:val="00A51FA7"/>
    <w:rsid w:val="00A5249B"/>
    <w:rsid w:val="00A526AE"/>
    <w:rsid w:val="00A5272C"/>
    <w:rsid w:val="00A52A67"/>
    <w:rsid w:val="00A54396"/>
    <w:rsid w:val="00A543C5"/>
    <w:rsid w:val="00A54A48"/>
    <w:rsid w:val="00A5501E"/>
    <w:rsid w:val="00A5559A"/>
    <w:rsid w:val="00A55ABB"/>
    <w:rsid w:val="00A56426"/>
    <w:rsid w:val="00A56CD3"/>
    <w:rsid w:val="00A57D65"/>
    <w:rsid w:val="00A60C2D"/>
    <w:rsid w:val="00A614C3"/>
    <w:rsid w:val="00A6167C"/>
    <w:rsid w:val="00A62074"/>
    <w:rsid w:val="00A6257D"/>
    <w:rsid w:val="00A62C95"/>
    <w:rsid w:val="00A62F72"/>
    <w:rsid w:val="00A63C2B"/>
    <w:rsid w:val="00A63FE8"/>
    <w:rsid w:val="00A646A1"/>
    <w:rsid w:val="00A646DB"/>
    <w:rsid w:val="00A64AAC"/>
    <w:rsid w:val="00A64C22"/>
    <w:rsid w:val="00A650C7"/>
    <w:rsid w:val="00A6534F"/>
    <w:rsid w:val="00A65401"/>
    <w:rsid w:val="00A65698"/>
    <w:rsid w:val="00A65A74"/>
    <w:rsid w:val="00A663ED"/>
    <w:rsid w:val="00A66429"/>
    <w:rsid w:val="00A66489"/>
    <w:rsid w:val="00A66EA8"/>
    <w:rsid w:val="00A67336"/>
    <w:rsid w:val="00A67B79"/>
    <w:rsid w:val="00A67E46"/>
    <w:rsid w:val="00A70FC2"/>
    <w:rsid w:val="00A71159"/>
    <w:rsid w:val="00A71623"/>
    <w:rsid w:val="00A71AC4"/>
    <w:rsid w:val="00A71ED5"/>
    <w:rsid w:val="00A724AA"/>
    <w:rsid w:val="00A72574"/>
    <w:rsid w:val="00A72746"/>
    <w:rsid w:val="00A7308C"/>
    <w:rsid w:val="00A732D0"/>
    <w:rsid w:val="00A74A25"/>
    <w:rsid w:val="00A75209"/>
    <w:rsid w:val="00A752FD"/>
    <w:rsid w:val="00A757DF"/>
    <w:rsid w:val="00A75D9F"/>
    <w:rsid w:val="00A76862"/>
    <w:rsid w:val="00A77990"/>
    <w:rsid w:val="00A77DF8"/>
    <w:rsid w:val="00A800A0"/>
    <w:rsid w:val="00A801D2"/>
    <w:rsid w:val="00A80A66"/>
    <w:rsid w:val="00A80D1A"/>
    <w:rsid w:val="00A8103D"/>
    <w:rsid w:val="00A810F3"/>
    <w:rsid w:val="00A8238E"/>
    <w:rsid w:val="00A828EE"/>
    <w:rsid w:val="00A82BE9"/>
    <w:rsid w:val="00A834C9"/>
    <w:rsid w:val="00A838AD"/>
    <w:rsid w:val="00A84094"/>
    <w:rsid w:val="00A8414F"/>
    <w:rsid w:val="00A85384"/>
    <w:rsid w:val="00A85C1F"/>
    <w:rsid w:val="00A86E13"/>
    <w:rsid w:val="00A86E45"/>
    <w:rsid w:val="00A87409"/>
    <w:rsid w:val="00A877AB"/>
    <w:rsid w:val="00A87A90"/>
    <w:rsid w:val="00A87C6E"/>
    <w:rsid w:val="00A87D66"/>
    <w:rsid w:val="00A900EE"/>
    <w:rsid w:val="00A913C7"/>
    <w:rsid w:val="00A92678"/>
    <w:rsid w:val="00A928D6"/>
    <w:rsid w:val="00A93E3F"/>
    <w:rsid w:val="00A9459B"/>
    <w:rsid w:val="00A94818"/>
    <w:rsid w:val="00A94AD3"/>
    <w:rsid w:val="00A951FC"/>
    <w:rsid w:val="00A9626A"/>
    <w:rsid w:val="00A962FA"/>
    <w:rsid w:val="00A968EA"/>
    <w:rsid w:val="00A96EA0"/>
    <w:rsid w:val="00A971D2"/>
    <w:rsid w:val="00A97424"/>
    <w:rsid w:val="00A97CD9"/>
    <w:rsid w:val="00AA037C"/>
    <w:rsid w:val="00AA0465"/>
    <w:rsid w:val="00AA0789"/>
    <w:rsid w:val="00AA0ED2"/>
    <w:rsid w:val="00AA1459"/>
    <w:rsid w:val="00AA1762"/>
    <w:rsid w:val="00AA2454"/>
    <w:rsid w:val="00AA2498"/>
    <w:rsid w:val="00AA28A1"/>
    <w:rsid w:val="00AA2B93"/>
    <w:rsid w:val="00AA334A"/>
    <w:rsid w:val="00AA35EC"/>
    <w:rsid w:val="00AA40F7"/>
    <w:rsid w:val="00AA421E"/>
    <w:rsid w:val="00AA4293"/>
    <w:rsid w:val="00AA469A"/>
    <w:rsid w:val="00AA5C52"/>
    <w:rsid w:val="00AA5CC2"/>
    <w:rsid w:val="00AA5D45"/>
    <w:rsid w:val="00AA5D5C"/>
    <w:rsid w:val="00AA65FA"/>
    <w:rsid w:val="00AA6704"/>
    <w:rsid w:val="00AA7693"/>
    <w:rsid w:val="00AA786A"/>
    <w:rsid w:val="00AA7A4A"/>
    <w:rsid w:val="00AA7C11"/>
    <w:rsid w:val="00AB01BB"/>
    <w:rsid w:val="00AB01CE"/>
    <w:rsid w:val="00AB0628"/>
    <w:rsid w:val="00AB07CE"/>
    <w:rsid w:val="00AB0D79"/>
    <w:rsid w:val="00AB11E5"/>
    <w:rsid w:val="00AB1337"/>
    <w:rsid w:val="00AB1845"/>
    <w:rsid w:val="00AB2A68"/>
    <w:rsid w:val="00AB3156"/>
    <w:rsid w:val="00AB31B2"/>
    <w:rsid w:val="00AB3631"/>
    <w:rsid w:val="00AB3DA2"/>
    <w:rsid w:val="00AB3F21"/>
    <w:rsid w:val="00AB4D9D"/>
    <w:rsid w:val="00AB516C"/>
    <w:rsid w:val="00AB5200"/>
    <w:rsid w:val="00AB575E"/>
    <w:rsid w:val="00AB5974"/>
    <w:rsid w:val="00AB6769"/>
    <w:rsid w:val="00AB6D88"/>
    <w:rsid w:val="00AB6E29"/>
    <w:rsid w:val="00AB7413"/>
    <w:rsid w:val="00AC02E5"/>
    <w:rsid w:val="00AC0370"/>
    <w:rsid w:val="00AC07C3"/>
    <w:rsid w:val="00AC1343"/>
    <w:rsid w:val="00AC18D4"/>
    <w:rsid w:val="00AC1C8C"/>
    <w:rsid w:val="00AC291A"/>
    <w:rsid w:val="00AC2BA9"/>
    <w:rsid w:val="00AC2BD2"/>
    <w:rsid w:val="00AC3448"/>
    <w:rsid w:val="00AC3A5F"/>
    <w:rsid w:val="00AC3AC1"/>
    <w:rsid w:val="00AC3ECE"/>
    <w:rsid w:val="00AC3EFA"/>
    <w:rsid w:val="00AC4410"/>
    <w:rsid w:val="00AC470C"/>
    <w:rsid w:val="00AC4A10"/>
    <w:rsid w:val="00AC4AB4"/>
    <w:rsid w:val="00AC610A"/>
    <w:rsid w:val="00AC6197"/>
    <w:rsid w:val="00AC6A91"/>
    <w:rsid w:val="00AC7938"/>
    <w:rsid w:val="00AC7ACD"/>
    <w:rsid w:val="00AD03A9"/>
    <w:rsid w:val="00AD0806"/>
    <w:rsid w:val="00AD08F3"/>
    <w:rsid w:val="00AD0E2B"/>
    <w:rsid w:val="00AD13A8"/>
    <w:rsid w:val="00AD1499"/>
    <w:rsid w:val="00AD149B"/>
    <w:rsid w:val="00AD14A6"/>
    <w:rsid w:val="00AD1574"/>
    <w:rsid w:val="00AD15BC"/>
    <w:rsid w:val="00AD1724"/>
    <w:rsid w:val="00AD18A7"/>
    <w:rsid w:val="00AD20AD"/>
    <w:rsid w:val="00AD230A"/>
    <w:rsid w:val="00AD27A0"/>
    <w:rsid w:val="00AD3047"/>
    <w:rsid w:val="00AD3472"/>
    <w:rsid w:val="00AD388D"/>
    <w:rsid w:val="00AD3DD0"/>
    <w:rsid w:val="00AD40D1"/>
    <w:rsid w:val="00AD4159"/>
    <w:rsid w:val="00AD46F0"/>
    <w:rsid w:val="00AD4DBF"/>
    <w:rsid w:val="00AD5206"/>
    <w:rsid w:val="00AD58FA"/>
    <w:rsid w:val="00AD630D"/>
    <w:rsid w:val="00AD6687"/>
    <w:rsid w:val="00AD6C55"/>
    <w:rsid w:val="00AD72DF"/>
    <w:rsid w:val="00AD7BFA"/>
    <w:rsid w:val="00AE0487"/>
    <w:rsid w:val="00AE0806"/>
    <w:rsid w:val="00AE0BED"/>
    <w:rsid w:val="00AE10FF"/>
    <w:rsid w:val="00AE11E4"/>
    <w:rsid w:val="00AE1C02"/>
    <w:rsid w:val="00AE206D"/>
    <w:rsid w:val="00AE234C"/>
    <w:rsid w:val="00AE245A"/>
    <w:rsid w:val="00AE26E3"/>
    <w:rsid w:val="00AE3C40"/>
    <w:rsid w:val="00AE3E44"/>
    <w:rsid w:val="00AE53BF"/>
    <w:rsid w:val="00AE559C"/>
    <w:rsid w:val="00AE5C5A"/>
    <w:rsid w:val="00AE607D"/>
    <w:rsid w:val="00AE61D1"/>
    <w:rsid w:val="00AE61F6"/>
    <w:rsid w:val="00AE6537"/>
    <w:rsid w:val="00AE6D20"/>
    <w:rsid w:val="00AE6F74"/>
    <w:rsid w:val="00AE71FA"/>
    <w:rsid w:val="00AF0878"/>
    <w:rsid w:val="00AF0F5D"/>
    <w:rsid w:val="00AF15B8"/>
    <w:rsid w:val="00AF25DB"/>
    <w:rsid w:val="00AF2926"/>
    <w:rsid w:val="00AF2A35"/>
    <w:rsid w:val="00AF2D0B"/>
    <w:rsid w:val="00AF2E27"/>
    <w:rsid w:val="00AF3175"/>
    <w:rsid w:val="00AF396F"/>
    <w:rsid w:val="00AF3D38"/>
    <w:rsid w:val="00AF4276"/>
    <w:rsid w:val="00AF4A20"/>
    <w:rsid w:val="00AF5243"/>
    <w:rsid w:val="00AF6008"/>
    <w:rsid w:val="00AF61FF"/>
    <w:rsid w:val="00AF625A"/>
    <w:rsid w:val="00AF6A1B"/>
    <w:rsid w:val="00AF72EC"/>
    <w:rsid w:val="00AF75CB"/>
    <w:rsid w:val="00AF7829"/>
    <w:rsid w:val="00AF7CB4"/>
    <w:rsid w:val="00AF7EBF"/>
    <w:rsid w:val="00B007D2"/>
    <w:rsid w:val="00B00993"/>
    <w:rsid w:val="00B011D5"/>
    <w:rsid w:val="00B01381"/>
    <w:rsid w:val="00B017A2"/>
    <w:rsid w:val="00B01CB9"/>
    <w:rsid w:val="00B025EF"/>
    <w:rsid w:val="00B030D6"/>
    <w:rsid w:val="00B035B5"/>
    <w:rsid w:val="00B04880"/>
    <w:rsid w:val="00B0504C"/>
    <w:rsid w:val="00B05BAF"/>
    <w:rsid w:val="00B0602B"/>
    <w:rsid w:val="00B069AB"/>
    <w:rsid w:val="00B06FA4"/>
    <w:rsid w:val="00B070F1"/>
    <w:rsid w:val="00B07AB3"/>
    <w:rsid w:val="00B07B9E"/>
    <w:rsid w:val="00B11117"/>
    <w:rsid w:val="00B111AD"/>
    <w:rsid w:val="00B11340"/>
    <w:rsid w:val="00B1280F"/>
    <w:rsid w:val="00B12E71"/>
    <w:rsid w:val="00B1365B"/>
    <w:rsid w:val="00B13B54"/>
    <w:rsid w:val="00B13CAB"/>
    <w:rsid w:val="00B1420D"/>
    <w:rsid w:val="00B14422"/>
    <w:rsid w:val="00B14566"/>
    <w:rsid w:val="00B1499B"/>
    <w:rsid w:val="00B1509B"/>
    <w:rsid w:val="00B151FC"/>
    <w:rsid w:val="00B15453"/>
    <w:rsid w:val="00B15FC3"/>
    <w:rsid w:val="00B169F5"/>
    <w:rsid w:val="00B1705A"/>
    <w:rsid w:val="00B1767F"/>
    <w:rsid w:val="00B17729"/>
    <w:rsid w:val="00B17B67"/>
    <w:rsid w:val="00B17E48"/>
    <w:rsid w:val="00B20243"/>
    <w:rsid w:val="00B20604"/>
    <w:rsid w:val="00B2062C"/>
    <w:rsid w:val="00B2067B"/>
    <w:rsid w:val="00B20A85"/>
    <w:rsid w:val="00B21758"/>
    <w:rsid w:val="00B237F6"/>
    <w:rsid w:val="00B23857"/>
    <w:rsid w:val="00B24387"/>
    <w:rsid w:val="00B24789"/>
    <w:rsid w:val="00B24A3F"/>
    <w:rsid w:val="00B24F3C"/>
    <w:rsid w:val="00B25037"/>
    <w:rsid w:val="00B25375"/>
    <w:rsid w:val="00B25662"/>
    <w:rsid w:val="00B258A0"/>
    <w:rsid w:val="00B25A5C"/>
    <w:rsid w:val="00B25E90"/>
    <w:rsid w:val="00B261FB"/>
    <w:rsid w:val="00B270F3"/>
    <w:rsid w:val="00B2726D"/>
    <w:rsid w:val="00B272B1"/>
    <w:rsid w:val="00B3057E"/>
    <w:rsid w:val="00B3094C"/>
    <w:rsid w:val="00B31352"/>
    <w:rsid w:val="00B3178A"/>
    <w:rsid w:val="00B31E60"/>
    <w:rsid w:val="00B31EB0"/>
    <w:rsid w:val="00B3204C"/>
    <w:rsid w:val="00B3260C"/>
    <w:rsid w:val="00B332CE"/>
    <w:rsid w:val="00B3352B"/>
    <w:rsid w:val="00B33AE5"/>
    <w:rsid w:val="00B34977"/>
    <w:rsid w:val="00B35688"/>
    <w:rsid w:val="00B35AC9"/>
    <w:rsid w:val="00B35DA6"/>
    <w:rsid w:val="00B3600C"/>
    <w:rsid w:val="00B36223"/>
    <w:rsid w:val="00B36439"/>
    <w:rsid w:val="00B36992"/>
    <w:rsid w:val="00B36C5E"/>
    <w:rsid w:val="00B36FDF"/>
    <w:rsid w:val="00B379F6"/>
    <w:rsid w:val="00B404D4"/>
    <w:rsid w:val="00B4063C"/>
    <w:rsid w:val="00B40693"/>
    <w:rsid w:val="00B419DA"/>
    <w:rsid w:val="00B42099"/>
    <w:rsid w:val="00B4213A"/>
    <w:rsid w:val="00B43298"/>
    <w:rsid w:val="00B43A86"/>
    <w:rsid w:val="00B43ACC"/>
    <w:rsid w:val="00B43D6E"/>
    <w:rsid w:val="00B44124"/>
    <w:rsid w:val="00B44409"/>
    <w:rsid w:val="00B44539"/>
    <w:rsid w:val="00B4517A"/>
    <w:rsid w:val="00B45EA0"/>
    <w:rsid w:val="00B46156"/>
    <w:rsid w:val="00B46411"/>
    <w:rsid w:val="00B46745"/>
    <w:rsid w:val="00B46E2D"/>
    <w:rsid w:val="00B473A1"/>
    <w:rsid w:val="00B4777B"/>
    <w:rsid w:val="00B47CF2"/>
    <w:rsid w:val="00B47D00"/>
    <w:rsid w:val="00B50AA5"/>
    <w:rsid w:val="00B50BE0"/>
    <w:rsid w:val="00B50DCC"/>
    <w:rsid w:val="00B51C7C"/>
    <w:rsid w:val="00B521AB"/>
    <w:rsid w:val="00B522BF"/>
    <w:rsid w:val="00B52314"/>
    <w:rsid w:val="00B526E2"/>
    <w:rsid w:val="00B527B7"/>
    <w:rsid w:val="00B52884"/>
    <w:rsid w:val="00B5292D"/>
    <w:rsid w:val="00B531DB"/>
    <w:rsid w:val="00B534DA"/>
    <w:rsid w:val="00B5394F"/>
    <w:rsid w:val="00B53BCF"/>
    <w:rsid w:val="00B5467C"/>
    <w:rsid w:val="00B54D96"/>
    <w:rsid w:val="00B55573"/>
    <w:rsid w:val="00B55BE0"/>
    <w:rsid w:val="00B55E09"/>
    <w:rsid w:val="00B56121"/>
    <w:rsid w:val="00B578AF"/>
    <w:rsid w:val="00B601B7"/>
    <w:rsid w:val="00B60253"/>
    <w:rsid w:val="00B609C8"/>
    <w:rsid w:val="00B61EE1"/>
    <w:rsid w:val="00B6262D"/>
    <w:rsid w:val="00B627AC"/>
    <w:rsid w:val="00B62EA9"/>
    <w:rsid w:val="00B635A3"/>
    <w:rsid w:val="00B635F7"/>
    <w:rsid w:val="00B6393E"/>
    <w:rsid w:val="00B63E84"/>
    <w:rsid w:val="00B64A3F"/>
    <w:rsid w:val="00B6507B"/>
    <w:rsid w:val="00B652A7"/>
    <w:rsid w:val="00B65570"/>
    <w:rsid w:val="00B6585E"/>
    <w:rsid w:val="00B659B5"/>
    <w:rsid w:val="00B664B5"/>
    <w:rsid w:val="00B668D6"/>
    <w:rsid w:val="00B67369"/>
    <w:rsid w:val="00B67693"/>
    <w:rsid w:val="00B67D70"/>
    <w:rsid w:val="00B70033"/>
    <w:rsid w:val="00B70642"/>
    <w:rsid w:val="00B70AA5"/>
    <w:rsid w:val="00B70BBC"/>
    <w:rsid w:val="00B71977"/>
    <w:rsid w:val="00B727F2"/>
    <w:rsid w:val="00B72B72"/>
    <w:rsid w:val="00B72B7E"/>
    <w:rsid w:val="00B72C26"/>
    <w:rsid w:val="00B7336F"/>
    <w:rsid w:val="00B73C94"/>
    <w:rsid w:val="00B75BFD"/>
    <w:rsid w:val="00B76BA8"/>
    <w:rsid w:val="00B779AE"/>
    <w:rsid w:val="00B77C6D"/>
    <w:rsid w:val="00B77F30"/>
    <w:rsid w:val="00B80013"/>
    <w:rsid w:val="00B80447"/>
    <w:rsid w:val="00B80C3D"/>
    <w:rsid w:val="00B80CFD"/>
    <w:rsid w:val="00B80FB3"/>
    <w:rsid w:val="00B810DA"/>
    <w:rsid w:val="00B8193B"/>
    <w:rsid w:val="00B81B95"/>
    <w:rsid w:val="00B8212C"/>
    <w:rsid w:val="00B825A1"/>
    <w:rsid w:val="00B83186"/>
    <w:rsid w:val="00B832BD"/>
    <w:rsid w:val="00B833DD"/>
    <w:rsid w:val="00B83590"/>
    <w:rsid w:val="00B844DF"/>
    <w:rsid w:val="00B84CF9"/>
    <w:rsid w:val="00B85765"/>
    <w:rsid w:val="00B85EB9"/>
    <w:rsid w:val="00B86846"/>
    <w:rsid w:val="00B86DEB"/>
    <w:rsid w:val="00B87485"/>
    <w:rsid w:val="00B875AB"/>
    <w:rsid w:val="00B87BB3"/>
    <w:rsid w:val="00B90646"/>
    <w:rsid w:val="00B90A38"/>
    <w:rsid w:val="00B90E2B"/>
    <w:rsid w:val="00B92017"/>
    <w:rsid w:val="00B92341"/>
    <w:rsid w:val="00B92956"/>
    <w:rsid w:val="00B93E49"/>
    <w:rsid w:val="00B94998"/>
    <w:rsid w:val="00B94B8A"/>
    <w:rsid w:val="00B95348"/>
    <w:rsid w:val="00B953D8"/>
    <w:rsid w:val="00B954F1"/>
    <w:rsid w:val="00B95D54"/>
    <w:rsid w:val="00B95ECD"/>
    <w:rsid w:val="00B965F7"/>
    <w:rsid w:val="00B96CC9"/>
    <w:rsid w:val="00B96FDA"/>
    <w:rsid w:val="00B97769"/>
    <w:rsid w:val="00B97898"/>
    <w:rsid w:val="00BA1148"/>
    <w:rsid w:val="00BA1597"/>
    <w:rsid w:val="00BA1677"/>
    <w:rsid w:val="00BA2552"/>
    <w:rsid w:val="00BA285A"/>
    <w:rsid w:val="00BA2AAE"/>
    <w:rsid w:val="00BA3379"/>
    <w:rsid w:val="00BA393E"/>
    <w:rsid w:val="00BA406E"/>
    <w:rsid w:val="00BA5F7B"/>
    <w:rsid w:val="00BA60F0"/>
    <w:rsid w:val="00BA61EA"/>
    <w:rsid w:val="00BA627E"/>
    <w:rsid w:val="00BA6721"/>
    <w:rsid w:val="00BA6F06"/>
    <w:rsid w:val="00BA7488"/>
    <w:rsid w:val="00BB00E6"/>
    <w:rsid w:val="00BB030F"/>
    <w:rsid w:val="00BB064C"/>
    <w:rsid w:val="00BB0923"/>
    <w:rsid w:val="00BB0AD6"/>
    <w:rsid w:val="00BB0B72"/>
    <w:rsid w:val="00BB0C89"/>
    <w:rsid w:val="00BB0E40"/>
    <w:rsid w:val="00BB0FA3"/>
    <w:rsid w:val="00BB10A1"/>
    <w:rsid w:val="00BB1976"/>
    <w:rsid w:val="00BB2169"/>
    <w:rsid w:val="00BB2527"/>
    <w:rsid w:val="00BB3C20"/>
    <w:rsid w:val="00BB3D3B"/>
    <w:rsid w:val="00BB3DAA"/>
    <w:rsid w:val="00BB4046"/>
    <w:rsid w:val="00BB417C"/>
    <w:rsid w:val="00BB434E"/>
    <w:rsid w:val="00BB4CD5"/>
    <w:rsid w:val="00BB5C5B"/>
    <w:rsid w:val="00BB5C88"/>
    <w:rsid w:val="00BB6964"/>
    <w:rsid w:val="00BB6C56"/>
    <w:rsid w:val="00BB6E10"/>
    <w:rsid w:val="00BB6E4A"/>
    <w:rsid w:val="00BC00FB"/>
    <w:rsid w:val="00BC1045"/>
    <w:rsid w:val="00BC1185"/>
    <w:rsid w:val="00BC212E"/>
    <w:rsid w:val="00BC2E81"/>
    <w:rsid w:val="00BC2E93"/>
    <w:rsid w:val="00BC2EF0"/>
    <w:rsid w:val="00BC31F4"/>
    <w:rsid w:val="00BC35D6"/>
    <w:rsid w:val="00BC3911"/>
    <w:rsid w:val="00BC3B0B"/>
    <w:rsid w:val="00BC421C"/>
    <w:rsid w:val="00BC4434"/>
    <w:rsid w:val="00BC563D"/>
    <w:rsid w:val="00BC5F32"/>
    <w:rsid w:val="00BC5FEB"/>
    <w:rsid w:val="00BC6616"/>
    <w:rsid w:val="00BC693A"/>
    <w:rsid w:val="00BC6D68"/>
    <w:rsid w:val="00BC7212"/>
    <w:rsid w:val="00BC75E9"/>
    <w:rsid w:val="00BC79C6"/>
    <w:rsid w:val="00BD13EB"/>
    <w:rsid w:val="00BD18B2"/>
    <w:rsid w:val="00BD2A3A"/>
    <w:rsid w:val="00BD2B0E"/>
    <w:rsid w:val="00BD2EB8"/>
    <w:rsid w:val="00BD4017"/>
    <w:rsid w:val="00BD40DD"/>
    <w:rsid w:val="00BD4417"/>
    <w:rsid w:val="00BD4A1F"/>
    <w:rsid w:val="00BD54E7"/>
    <w:rsid w:val="00BD55EB"/>
    <w:rsid w:val="00BD5C0E"/>
    <w:rsid w:val="00BD6733"/>
    <w:rsid w:val="00BD719E"/>
    <w:rsid w:val="00BD78FD"/>
    <w:rsid w:val="00BE007F"/>
    <w:rsid w:val="00BE1590"/>
    <w:rsid w:val="00BE1EBE"/>
    <w:rsid w:val="00BE209B"/>
    <w:rsid w:val="00BE2BBF"/>
    <w:rsid w:val="00BE2BED"/>
    <w:rsid w:val="00BE2C0E"/>
    <w:rsid w:val="00BE2EDB"/>
    <w:rsid w:val="00BE3877"/>
    <w:rsid w:val="00BE390F"/>
    <w:rsid w:val="00BE3C8E"/>
    <w:rsid w:val="00BE43E3"/>
    <w:rsid w:val="00BE45E3"/>
    <w:rsid w:val="00BE4E01"/>
    <w:rsid w:val="00BE4F62"/>
    <w:rsid w:val="00BE518E"/>
    <w:rsid w:val="00BE5AEA"/>
    <w:rsid w:val="00BE5B9B"/>
    <w:rsid w:val="00BE5C05"/>
    <w:rsid w:val="00BE5E92"/>
    <w:rsid w:val="00BE6036"/>
    <w:rsid w:val="00BE6103"/>
    <w:rsid w:val="00BE6370"/>
    <w:rsid w:val="00BE69A9"/>
    <w:rsid w:val="00BE78F0"/>
    <w:rsid w:val="00BE7AA6"/>
    <w:rsid w:val="00BE7BBC"/>
    <w:rsid w:val="00BE7CAD"/>
    <w:rsid w:val="00BE7CBB"/>
    <w:rsid w:val="00BE7DE1"/>
    <w:rsid w:val="00BF030A"/>
    <w:rsid w:val="00BF063E"/>
    <w:rsid w:val="00BF0AB8"/>
    <w:rsid w:val="00BF1094"/>
    <w:rsid w:val="00BF1207"/>
    <w:rsid w:val="00BF1B50"/>
    <w:rsid w:val="00BF1C65"/>
    <w:rsid w:val="00BF2590"/>
    <w:rsid w:val="00BF2D64"/>
    <w:rsid w:val="00BF37EA"/>
    <w:rsid w:val="00BF40EC"/>
    <w:rsid w:val="00BF43A6"/>
    <w:rsid w:val="00BF4808"/>
    <w:rsid w:val="00BF48C4"/>
    <w:rsid w:val="00BF5007"/>
    <w:rsid w:val="00BF56F8"/>
    <w:rsid w:val="00BF5828"/>
    <w:rsid w:val="00BF589E"/>
    <w:rsid w:val="00BF5D0C"/>
    <w:rsid w:val="00BF6AE2"/>
    <w:rsid w:val="00BF6B0E"/>
    <w:rsid w:val="00BF7081"/>
    <w:rsid w:val="00BF7651"/>
    <w:rsid w:val="00BF7A9E"/>
    <w:rsid w:val="00BF7C5E"/>
    <w:rsid w:val="00BF7DB3"/>
    <w:rsid w:val="00BF7DED"/>
    <w:rsid w:val="00C00FAE"/>
    <w:rsid w:val="00C0112C"/>
    <w:rsid w:val="00C01B1D"/>
    <w:rsid w:val="00C02040"/>
    <w:rsid w:val="00C023D3"/>
    <w:rsid w:val="00C02948"/>
    <w:rsid w:val="00C033FD"/>
    <w:rsid w:val="00C036D3"/>
    <w:rsid w:val="00C04355"/>
    <w:rsid w:val="00C0470C"/>
    <w:rsid w:val="00C04BA1"/>
    <w:rsid w:val="00C06747"/>
    <w:rsid w:val="00C067EC"/>
    <w:rsid w:val="00C06A26"/>
    <w:rsid w:val="00C06B61"/>
    <w:rsid w:val="00C06F72"/>
    <w:rsid w:val="00C073F7"/>
    <w:rsid w:val="00C10039"/>
    <w:rsid w:val="00C1018C"/>
    <w:rsid w:val="00C102AA"/>
    <w:rsid w:val="00C1035B"/>
    <w:rsid w:val="00C1050E"/>
    <w:rsid w:val="00C10573"/>
    <w:rsid w:val="00C106F6"/>
    <w:rsid w:val="00C10941"/>
    <w:rsid w:val="00C10D62"/>
    <w:rsid w:val="00C11014"/>
    <w:rsid w:val="00C11F59"/>
    <w:rsid w:val="00C1221E"/>
    <w:rsid w:val="00C12A1B"/>
    <w:rsid w:val="00C12FBD"/>
    <w:rsid w:val="00C137DF"/>
    <w:rsid w:val="00C13B24"/>
    <w:rsid w:val="00C1421F"/>
    <w:rsid w:val="00C14580"/>
    <w:rsid w:val="00C148E4"/>
    <w:rsid w:val="00C14BC0"/>
    <w:rsid w:val="00C157E8"/>
    <w:rsid w:val="00C15C71"/>
    <w:rsid w:val="00C15D96"/>
    <w:rsid w:val="00C16491"/>
    <w:rsid w:val="00C16BF8"/>
    <w:rsid w:val="00C17063"/>
    <w:rsid w:val="00C17351"/>
    <w:rsid w:val="00C17515"/>
    <w:rsid w:val="00C17D0E"/>
    <w:rsid w:val="00C2019E"/>
    <w:rsid w:val="00C205F0"/>
    <w:rsid w:val="00C20A14"/>
    <w:rsid w:val="00C20B3C"/>
    <w:rsid w:val="00C20BF4"/>
    <w:rsid w:val="00C2111A"/>
    <w:rsid w:val="00C2144F"/>
    <w:rsid w:val="00C21969"/>
    <w:rsid w:val="00C22090"/>
    <w:rsid w:val="00C220CC"/>
    <w:rsid w:val="00C22156"/>
    <w:rsid w:val="00C22431"/>
    <w:rsid w:val="00C233CC"/>
    <w:rsid w:val="00C2373D"/>
    <w:rsid w:val="00C239CB"/>
    <w:rsid w:val="00C2401C"/>
    <w:rsid w:val="00C244B3"/>
    <w:rsid w:val="00C24C7C"/>
    <w:rsid w:val="00C24CCC"/>
    <w:rsid w:val="00C24FAD"/>
    <w:rsid w:val="00C25203"/>
    <w:rsid w:val="00C256CC"/>
    <w:rsid w:val="00C2575D"/>
    <w:rsid w:val="00C2606E"/>
    <w:rsid w:val="00C26152"/>
    <w:rsid w:val="00C26187"/>
    <w:rsid w:val="00C261CE"/>
    <w:rsid w:val="00C27B84"/>
    <w:rsid w:val="00C27EFB"/>
    <w:rsid w:val="00C30949"/>
    <w:rsid w:val="00C321CA"/>
    <w:rsid w:val="00C323CD"/>
    <w:rsid w:val="00C324DC"/>
    <w:rsid w:val="00C325AC"/>
    <w:rsid w:val="00C3280D"/>
    <w:rsid w:val="00C335BF"/>
    <w:rsid w:val="00C3379E"/>
    <w:rsid w:val="00C341B9"/>
    <w:rsid w:val="00C35281"/>
    <w:rsid w:val="00C35983"/>
    <w:rsid w:val="00C35B8D"/>
    <w:rsid w:val="00C361EA"/>
    <w:rsid w:val="00C36227"/>
    <w:rsid w:val="00C36BF1"/>
    <w:rsid w:val="00C370D7"/>
    <w:rsid w:val="00C37447"/>
    <w:rsid w:val="00C4013F"/>
    <w:rsid w:val="00C401F1"/>
    <w:rsid w:val="00C40290"/>
    <w:rsid w:val="00C405E5"/>
    <w:rsid w:val="00C406F5"/>
    <w:rsid w:val="00C40E04"/>
    <w:rsid w:val="00C4173C"/>
    <w:rsid w:val="00C41A3F"/>
    <w:rsid w:val="00C41B2D"/>
    <w:rsid w:val="00C41B76"/>
    <w:rsid w:val="00C42711"/>
    <w:rsid w:val="00C42886"/>
    <w:rsid w:val="00C42C2B"/>
    <w:rsid w:val="00C43918"/>
    <w:rsid w:val="00C43C1B"/>
    <w:rsid w:val="00C4407B"/>
    <w:rsid w:val="00C4492D"/>
    <w:rsid w:val="00C4509B"/>
    <w:rsid w:val="00C462EF"/>
    <w:rsid w:val="00C4661F"/>
    <w:rsid w:val="00C46865"/>
    <w:rsid w:val="00C46E6F"/>
    <w:rsid w:val="00C47201"/>
    <w:rsid w:val="00C47422"/>
    <w:rsid w:val="00C5010A"/>
    <w:rsid w:val="00C50367"/>
    <w:rsid w:val="00C5048C"/>
    <w:rsid w:val="00C508C8"/>
    <w:rsid w:val="00C50A78"/>
    <w:rsid w:val="00C5238C"/>
    <w:rsid w:val="00C523AD"/>
    <w:rsid w:val="00C52581"/>
    <w:rsid w:val="00C52AD4"/>
    <w:rsid w:val="00C5382F"/>
    <w:rsid w:val="00C5486C"/>
    <w:rsid w:val="00C54B4A"/>
    <w:rsid w:val="00C54C28"/>
    <w:rsid w:val="00C5514E"/>
    <w:rsid w:val="00C555C1"/>
    <w:rsid w:val="00C55D7C"/>
    <w:rsid w:val="00C56305"/>
    <w:rsid w:val="00C56406"/>
    <w:rsid w:val="00C569AD"/>
    <w:rsid w:val="00C5751C"/>
    <w:rsid w:val="00C57FC1"/>
    <w:rsid w:val="00C60204"/>
    <w:rsid w:val="00C6022F"/>
    <w:rsid w:val="00C621AA"/>
    <w:rsid w:val="00C62315"/>
    <w:rsid w:val="00C623C8"/>
    <w:rsid w:val="00C628AA"/>
    <w:rsid w:val="00C62F6F"/>
    <w:rsid w:val="00C644F6"/>
    <w:rsid w:val="00C65A03"/>
    <w:rsid w:val="00C65E5B"/>
    <w:rsid w:val="00C65E96"/>
    <w:rsid w:val="00C65F43"/>
    <w:rsid w:val="00C66D00"/>
    <w:rsid w:val="00C66E5B"/>
    <w:rsid w:val="00C67532"/>
    <w:rsid w:val="00C6756E"/>
    <w:rsid w:val="00C67922"/>
    <w:rsid w:val="00C67CD2"/>
    <w:rsid w:val="00C67D87"/>
    <w:rsid w:val="00C70090"/>
    <w:rsid w:val="00C7040D"/>
    <w:rsid w:val="00C70ADE"/>
    <w:rsid w:val="00C70B75"/>
    <w:rsid w:val="00C7198B"/>
    <w:rsid w:val="00C71D04"/>
    <w:rsid w:val="00C72140"/>
    <w:rsid w:val="00C72980"/>
    <w:rsid w:val="00C736F1"/>
    <w:rsid w:val="00C74345"/>
    <w:rsid w:val="00C751B8"/>
    <w:rsid w:val="00C75348"/>
    <w:rsid w:val="00C75386"/>
    <w:rsid w:val="00C7595D"/>
    <w:rsid w:val="00C76135"/>
    <w:rsid w:val="00C766E6"/>
    <w:rsid w:val="00C7676F"/>
    <w:rsid w:val="00C76B94"/>
    <w:rsid w:val="00C77736"/>
    <w:rsid w:val="00C77F9F"/>
    <w:rsid w:val="00C810AF"/>
    <w:rsid w:val="00C81C32"/>
    <w:rsid w:val="00C821EF"/>
    <w:rsid w:val="00C82271"/>
    <w:rsid w:val="00C83CFB"/>
    <w:rsid w:val="00C83DD9"/>
    <w:rsid w:val="00C8454F"/>
    <w:rsid w:val="00C848D7"/>
    <w:rsid w:val="00C84923"/>
    <w:rsid w:val="00C84953"/>
    <w:rsid w:val="00C8574E"/>
    <w:rsid w:val="00C86A76"/>
    <w:rsid w:val="00C86D75"/>
    <w:rsid w:val="00C86F6C"/>
    <w:rsid w:val="00C8708E"/>
    <w:rsid w:val="00C876E4"/>
    <w:rsid w:val="00C87D4D"/>
    <w:rsid w:val="00C90022"/>
    <w:rsid w:val="00C90DAD"/>
    <w:rsid w:val="00C91C2E"/>
    <w:rsid w:val="00C91D9B"/>
    <w:rsid w:val="00C9232C"/>
    <w:rsid w:val="00C9257C"/>
    <w:rsid w:val="00C927A6"/>
    <w:rsid w:val="00C92BEB"/>
    <w:rsid w:val="00C92C54"/>
    <w:rsid w:val="00C93364"/>
    <w:rsid w:val="00C94247"/>
    <w:rsid w:val="00C94727"/>
    <w:rsid w:val="00C9478E"/>
    <w:rsid w:val="00C94851"/>
    <w:rsid w:val="00C94A86"/>
    <w:rsid w:val="00C95463"/>
    <w:rsid w:val="00C9554D"/>
    <w:rsid w:val="00C95982"/>
    <w:rsid w:val="00C95C48"/>
    <w:rsid w:val="00C9614A"/>
    <w:rsid w:val="00C96A29"/>
    <w:rsid w:val="00C97D8C"/>
    <w:rsid w:val="00C97F1E"/>
    <w:rsid w:val="00CA0229"/>
    <w:rsid w:val="00CA0A96"/>
    <w:rsid w:val="00CA0F00"/>
    <w:rsid w:val="00CA1052"/>
    <w:rsid w:val="00CA1360"/>
    <w:rsid w:val="00CA1B76"/>
    <w:rsid w:val="00CA1CE7"/>
    <w:rsid w:val="00CA290E"/>
    <w:rsid w:val="00CA2AA8"/>
    <w:rsid w:val="00CA2BF3"/>
    <w:rsid w:val="00CA2D2C"/>
    <w:rsid w:val="00CA2FEF"/>
    <w:rsid w:val="00CA4210"/>
    <w:rsid w:val="00CA43ED"/>
    <w:rsid w:val="00CA4D4A"/>
    <w:rsid w:val="00CA4EA0"/>
    <w:rsid w:val="00CA585A"/>
    <w:rsid w:val="00CA5A1E"/>
    <w:rsid w:val="00CA5D7E"/>
    <w:rsid w:val="00CA5EAD"/>
    <w:rsid w:val="00CA61C0"/>
    <w:rsid w:val="00CA6D4F"/>
    <w:rsid w:val="00CA734B"/>
    <w:rsid w:val="00CA7549"/>
    <w:rsid w:val="00CA75F4"/>
    <w:rsid w:val="00CA798E"/>
    <w:rsid w:val="00CA7BEA"/>
    <w:rsid w:val="00CB0251"/>
    <w:rsid w:val="00CB089C"/>
    <w:rsid w:val="00CB09B9"/>
    <w:rsid w:val="00CB0E4E"/>
    <w:rsid w:val="00CB0F03"/>
    <w:rsid w:val="00CB11F7"/>
    <w:rsid w:val="00CB1905"/>
    <w:rsid w:val="00CB3171"/>
    <w:rsid w:val="00CB39F1"/>
    <w:rsid w:val="00CB3AFC"/>
    <w:rsid w:val="00CB3E6F"/>
    <w:rsid w:val="00CB4EB7"/>
    <w:rsid w:val="00CB52F1"/>
    <w:rsid w:val="00CB530A"/>
    <w:rsid w:val="00CB58AE"/>
    <w:rsid w:val="00CB5C4F"/>
    <w:rsid w:val="00CB5CB7"/>
    <w:rsid w:val="00CB6046"/>
    <w:rsid w:val="00CB632C"/>
    <w:rsid w:val="00CB6634"/>
    <w:rsid w:val="00CB67EB"/>
    <w:rsid w:val="00CB78BA"/>
    <w:rsid w:val="00CB7D78"/>
    <w:rsid w:val="00CC04A9"/>
    <w:rsid w:val="00CC05BD"/>
    <w:rsid w:val="00CC0F5E"/>
    <w:rsid w:val="00CC0F9D"/>
    <w:rsid w:val="00CC107A"/>
    <w:rsid w:val="00CC1A74"/>
    <w:rsid w:val="00CC1F2A"/>
    <w:rsid w:val="00CC1F7A"/>
    <w:rsid w:val="00CC2BFE"/>
    <w:rsid w:val="00CC3013"/>
    <w:rsid w:val="00CC37CB"/>
    <w:rsid w:val="00CC42A5"/>
    <w:rsid w:val="00CC449F"/>
    <w:rsid w:val="00CC547F"/>
    <w:rsid w:val="00CC5B9B"/>
    <w:rsid w:val="00CC5DBE"/>
    <w:rsid w:val="00CC6419"/>
    <w:rsid w:val="00CC6C9D"/>
    <w:rsid w:val="00CC6EE0"/>
    <w:rsid w:val="00CC714F"/>
    <w:rsid w:val="00CC72DA"/>
    <w:rsid w:val="00CC7AD8"/>
    <w:rsid w:val="00CD04EE"/>
    <w:rsid w:val="00CD0C19"/>
    <w:rsid w:val="00CD1085"/>
    <w:rsid w:val="00CD140F"/>
    <w:rsid w:val="00CD19CA"/>
    <w:rsid w:val="00CD1BD9"/>
    <w:rsid w:val="00CD2520"/>
    <w:rsid w:val="00CD25F1"/>
    <w:rsid w:val="00CD260E"/>
    <w:rsid w:val="00CD2665"/>
    <w:rsid w:val="00CD2EEA"/>
    <w:rsid w:val="00CD3260"/>
    <w:rsid w:val="00CD4C9C"/>
    <w:rsid w:val="00CD5471"/>
    <w:rsid w:val="00CD5806"/>
    <w:rsid w:val="00CD5C50"/>
    <w:rsid w:val="00CD6027"/>
    <w:rsid w:val="00CD6A10"/>
    <w:rsid w:val="00CD6E82"/>
    <w:rsid w:val="00CD7140"/>
    <w:rsid w:val="00CD7D55"/>
    <w:rsid w:val="00CE017F"/>
    <w:rsid w:val="00CE0311"/>
    <w:rsid w:val="00CE0AC1"/>
    <w:rsid w:val="00CE1601"/>
    <w:rsid w:val="00CE1921"/>
    <w:rsid w:val="00CE1B30"/>
    <w:rsid w:val="00CE2AFA"/>
    <w:rsid w:val="00CE2D18"/>
    <w:rsid w:val="00CE30B8"/>
    <w:rsid w:val="00CE3360"/>
    <w:rsid w:val="00CE339E"/>
    <w:rsid w:val="00CE348C"/>
    <w:rsid w:val="00CE3B5C"/>
    <w:rsid w:val="00CE3E11"/>
    <w:rsid w:val="00CE4A45"/>
    <w:rsid w:val="00CE4AC3"/>
    <w:rsid w:val="00CE4D53"/>
    <w:rsid w:val="00CE4DB9"/>
    <w:rsid w:val="00CE5588"/>
    <w:rsid w:val="00CE61AB"/>
    <w:rsid w:val="00CE631E"/>
    <w:rsid w:val="00CE6DC1"/>
    <w:rsid w:val="00CE7344"/>
    <w:rsid w:val="00CE7BDD"/>
    <w:rsid w:val="00CF013B"/>
    <w:rsid w:val="00CF04F1"/>
    <w:rsid w:val="00CF069F"/>
    <w:rsid w:val="00CF0D01"/>
    <w:rsid w:val="00CF0E25"/>
    <w:rsid w:val="00CF1322"/>
    <w:rsid w:val="00CF1929"/>
    <w:rsid w:val="00CF1EF6"/>
    <w:rsid w:val="00CF1FC5"/>
    <w:rsid w:val="00CF2839"/>
    <w:rsid w:val="00CF370B"/>
    <w:rsid w:val="00CF4606"/>
    <w:rsid w:val="00CF491D"/>
    <w:rsid w:val="00CF4B0A"/>
    <w:rsid w:val="00CF5A98"/>
    <w:rsid w:val="00CF5FA9"/>
    <w:rsid w:val="00CF614E"/>
    <w:rsid w:val="00CF6E3B"/>
    <w:rsid w:val="00CF74E1"/>
    <w:rsid w:val="00CF77CB"/>
    <w:rsid w:val="00D00560"/>
    <w:rsid w:val="00D00B24"/>
    <w:rsid w:val="00D00C5F"/>
    <w:rsid w:val="00D00CBB"/>
    <w:rsid w:val="00D00D51"/>
    <w:rsid w:val="00D0153C"/>
    <w:rsid w:val="00D01984"/>
    <w:rsid w:val="00D01BF1"/>
    <w:rsid w:val="00D02120"/>
    <w:rsid w:val="00D02227"/>
    <w:rsid w:val="00D031B9"/>
    <w:rsid w:val="00D036AC"/>
    <w:rsid w:val="00D03A2B"/>
    <w:rsid w:val="00D03F34"/>
    <w:rsid w:val="00D04625"/>
    <w:rsid w:val="00D046E0"/>
    <w:rsid w:val="00D04D43"/>
    <w:rsid w:val="00D053BA"/>
    <w:rsid w:val="00D05451"/>
    <w:rsid w:val="00D054C2"/>
    <w:rsid w:val="00D05652"/>
    <w:rsid w:val="00D058E8"/>
    <w:rsid w:val="00D05A81"/>
    <w:rsid w:val="00D06172"/>
    <w:rsid w:val="00D061C2"/>
    <w:rsid w:val="00D06D35"/>
    <w:rsid w:val="00D06EB6"/>
    <w:rsid w:val="00D06EF6"/>
    <w:rsid w:val="00D07223"/>
    <w:rsid w:val="00D07224"/>
    <w:rsid w:val="00D078CB"/>
    <w:rsid w:val="00D10328"/>
    <w:rsid w:val="00D10937"/>
    <w:rsid w:val="00D10A0D"/>
    <w:rsid w:val="00D10E82"/>
    <w:rsid w:val="00D11746"/>
    <w:rsid w:val="00D12875"/>
    <w:rsid w:val="00D12B09"/>
    <w:rsid w:val="00D142B5"/>
    <w:rsid w:val="00D14CF3"/>
    <w:rsid w:val="00D14DC2"/>
    <w:rsid w:val="00D15841"/>
    <w:rsid w:val="00D15D49"/>
    <w:rsid w:val="00D16208"/>
    <w:rsid w:val="00D16B0F"/>
    <w:rsid w:val="00D16EE2"/>
    <w:rsid w:val="00D17E41"/>
    <w:rsid w:val="00D2009F"/>
    <w:rsid w:val="00D20FB4"/>
    <w:rsid w:val="00D21133"/>
    <w:rsid w:val="00D211FA"/>
    <w:rsid w:val="00D2120A"/>
    <w:rsid w:val="00D21478"/>
    <w:rsid w:val="00D21AB8"/>
    <w:rsid w:val="00D228E0"/>
    <w:rsid w:val="00D22A1B"/>
    <w:rsid w:val="00D22DA6"/>
    <w:rsid w:val="00D237A4"/>
    <w:rsid w:val="00D23A07"/>
    <w:rsid w:val="00D24AF4"/>
    <w:rsid w:val="00D2595E"/>
    <w:rsid w:val="00D25F15"/>
    <w:rsid w:val="00D26C5A"/>
    <w:rsid w:val="00D306FA"/>
    <w:rsid w:val="00D30783"/>
    <w:rsid w:val="00D307BF"/>
    <w:rsid w:val="00D30C29"/>
    <w:rsid w:val="00D316C0"/>
    <w:rsid w:val="00D31E7F"/>
    <w:rsid w:val="00D3229D"/>
    <w:rsid w:val="00D3260B"/>
    <w:rsid w:val="00D328B7"/>
    <w:rsid w:val="00D32B54"/>
    <w:rsid w:val="00D32E76"/>
    <w:rsid w:val="00D33297"/>
    <w:rsid w:val="00D335C0"/>
    <w:rsid w:val="00D336A0"/>
    <w:rsid w:val="00D33E17"/>
    <w:rsid w:val="00D34389"/>
    <w:rsid w:val="00D34F14"/>
    <w:rsid w:val="00D353CF"/>
    <w:rsid w:val="00D357DF"/>
    <w:rsid w:val="00D36548"/>
    <w:rsid w:val="00D36594"/>
    <w:rsid w:val="00D36854"/>
    <w:rsid w:val="00D369A7"/>
    <w:rsid w:val="00D3743B"/>
    <w:rsid w:val="00D37B6F"/>
    <w:rsid w:val="00D40225"/>
    <w:rsid w:val="00D40967"/>
    <w:rsid w:val="00D41729"/>
    <w:rsid w:val="00D41D06"/>
    <w:rsid w:val="00D41D51"/>
    <w:rsid w:val="00D421F5"/>
    <w:rsid w:val="00D42E96"/>
    <w:rsid w:val="00D43CD7"/>
    <w:rsid w:val="00D44071"/>
    <w:rsid w:val="00D44431"/>
    <w:rsid w:val="00D447C0"/>
    <w:rsid w:val="00D45619"/>
    <w:rsid w:val="00D45A1D"/>
    <w:rsid w:val="00D47173"/>
    <w:rsid w:val="00D47E2C"/>
    <w:rsid w:val="00D50035"/>
    <w:rsid w:val="00D50AF4"/>
    <w:rsid w:val="00D51016"/>
    <w:rsid w:val="00D510B9"/>
    <w:rsid w:val="00D51398"/>
    <w:rsid w:val="00D518D2"/>
    <w:rsid w:val="00D5193E"/>
    <w:rsid w:val="00D52BF6"/>
    <w:rsid w:val="00D52E64"/>
    <w:rsid w:val="00D52F90"/>
    <w:rsid w:val="00D53117"/>
    <w:rsid w:val="00D53BAD"/>
    <w:rsid w:val="00D53CF6"/>
    <w:rsid w:val="00D5470A"/>
    <w:rsid w:val="00D55AA8"/>
    <w:rsid w:val="00D561CA"/>
    <w:rsid w:val="00D56808"/>
    <w:rsid w:val="00D56A27"/>
    <w:rsid w:val="00D56ACD"/>
    <w:rsid w:val="00D56FED"/>
    <w:rsid w:val="00D571BF"/>
    <w:rsid w:val="00D575D3"/>
    <w:rsid w:val="00D57E55"/>
    <w:rsid w:val="00D600BF"/>
    <w:rsid w:val="00D60225"/>
    <w:rsid w:val="00D604BD"/>
    <w:rsid w:val="00D6062D"/>
    <w:rsid w:val="00D614D5"/>
    <w:rsid w:val="00D61D4F"/>
    <w:rsid w:val="00D62895"/>
    <w:rsid w:val="00D62918"/>
    <w:rsid w:val="00D62FF3"/>
    <w:rsid w:val="00D63075"/>
    <w:rsid w:val="00D638D9"/>
    <w:rsid w:val="00D63965"/>
    <w:rsid w:val="00D63FE5"/>
    <w:rsid w:val="00D64647"/>
    <w:rsid w:val="00D65983"/>
    <w:rsid w:val="00D65F37"/>
    <w:rsid w:val="00D65F98"/>
    <w:rsid w:val="00D662F9"/>
    <w:rsid w:val="00D663EF"/>
    <w:rsid w:val="00D66522"/>
    <w:rsid w:val="00D66F12"/>
    <w:rsid w:val="00D672F8"/>
    <w:rsid w:val="00D6772F"/>
    <w:rsid w:val="00D67B6C"/>
    <w:rsid w:val="00D67D98"/>
    <w:rsid w:val="00D70385"/>
    <w:rsid w:val="00D7100B"/>
    <w:rsid w:val="00D712B9"/>
    <w:rsid w:val="00D71483"/>
    <w:rsid w:val="00D71702"/>
    <w:rsid w:val="00D727CC"/>
    <w:rsid w:val="00D7324E"/>
    <w:rsid w:val="00D73314"/>
    <w:rsid w:val="00D739E7"/>
    <w:rsid w:val="00D73E76"/>
    <w:rsid w:val="00D760E5"/>
    <w:rsid w:val="00D766BE"/>
    <w:rsid w:val="00D767A9"/>
    <w:rsid w:val="00D767C5"/>
    <w:rsid w:val="00D767FD"/>
    <w:rsid w:val="00D76E36"/>
    <w:rsid w:val="00D77111"/>
    <w:rsid w:val="00D80C36"/>
    <w:rsid w:val="00D80FAD"/>
    <w:rsid w:val="00D82B01"/>
    <w:rsid w:val="00D83DB4"/>
    <w:rsid w:val="00D84B75"/>
    <w:rsid w:val="00D84CE0"/>
    <w:rsid w:val="00D860E1"/>
    <w:rsid w:val="00D8625A"/>
    <w:rsid w:val="00D8699F"/>
    <w:rsid w:val="00D875B6"/>
    <w:rsid w:val="00D87C83"/>
    <w:rsid w:val="00D90426"/>
    <w:rsid w:val="00D90C16"/>
    <w:rsid w:val="00D9232F"/>
    <w:rsid w:val="00D92478"/>
    <w:rsid w:val="00D9377F"/>
    <w:rsid w:val="00D939C1"/>
    <w:rsid w:val="00D93C87"/>
    <w:rsid w:val="00D93EF9"/>
    <w:rsid w:val="00D941E7"/>
    <w:rsid w:val="00D9452A"/>
    <w:rsid w:val="00D94800"/>
    <w:rsid w:val="00D94D09"/>
    <w:rsid w:val="00D94DA9"/>
    <w:rsid w:val="00D95289"/>
    <w:rsid w:val="00D9528C"/>
    <w:rsid w:val="00D9538B"/>
    <w:rsid w:val="00D95585"/>
    <w:rsid w:val="00D959C7"/>
    <w:rsid w:val="00D96427"/>
    <w:rsid w:val="00D96E4A"/>
    <w:rsid w:val="00D96EFB"/>
    <w:rsid w:val="00D971EF"/>
    <w:rsid w:val="00D974D3"/>
    <w:rsid w:val="00D976A6"/>
    <w:rsid w:val="00DA02E1"/>
    <w:rsid w:val="00DA1E00"/>
    <w:rsid w:val="00DA2045"/>
    <w:rsid w:val="00DA2800"/>
    <w:rsid w:val="00DA3125"/>
    <w:rsid w:val="00DA3452"/>
    <w:rsid w:val="00DA3690"/>
    <w:rsid w:val="00DA38F9"/>
    <w:rsid w:val="00DA3ECC"/>
    <w:rsid w:val="00DA45CD"/>
    <w:rsid w:val="00DA4683"/>
    <w:rsid w:val="00DA46A1"/>
    <w:rsid w:val="00DA47F4"/>
    <w:rsid w:val="00DA555B"/>
    <w:rsid w:val="00DA58B5"/>
    <w:rsid w:val="00DA5A64"/>
    <w:rsid w:val="00DA5F21"/>
    <w:rsid w:val="00DA6695"/>
    <w:rsid w:val="00DA670F"/>
    <w:rsid w:val="00DA6E37"/>
    <w:rsid w:val="00DA7ACA"/>
    <w:rsid w:val="00DB02B5"/>
    <w:rsid w:val="00DB0B09"/>
    <w:rsid w:val="00DB103A"/>
    <w:rsid w:val="00DB1072"/>
    <w:rsid w:val="00DB1474"/>
    <w:rsid w:val="00DB176C"/>
    <w:rsid w:val="00DB1806"/>
    <w:rsid w:val="00DB1843"/>
    <w:rsid w:val="00DB195C"/>
    <w:rsid w:val="00DB21B4"/>
    <w:rsid w:val="00DB2769"/>
    <w:rsid w:val="00DB2F7B"/>
    <w:rsid w:val="00DB2FF0"/>
    <w:rsid w:val="00DB3980"/>
    <w:rsid w:val="00DB478E"/>
    <w:rsid w:val="00DB47C1"/>
    <w:rsid w:val="00DB4E0A"/>
    <w:rsid w:val="00DB5532"/>
    <w:rsid w:val="00DB5ADD"/>
    <w:rsid w:val="00DB6309"/>
    <w:rsid w:val="00DB6A87"/>
    <w:rsid w:val="00DB6BF3"/>
    <w:rsid w:val="00DB6C1A"/>
    <w:rsid w:val="00DB7391"/>
    <w:rsid w:val="00DB7C52"/>
    <w:rsid w:val="00DB7F79"/>
    <w:rsid w:val="00DC0434"/>
    <w:rsid w:val="00DC083F"/>
    <w:rsid w:val="00DC0ACE"/>
    <w:rsid w:val="00DC0CFA"/>
    <w:rsid w:val="00DC0E21"/>
    <w:rsid w:val="00DC0E41"/>
    <w:rsid w:val="00DC13D1"/>
    <w:rsid w:val="00DC14D3"/>
    <w:rsid w:val="00DC19F4"/>
    <w:rsid w:val="00DC277F"/>
    <w:rsid w:val="00DC3703"/>
    <w:rsid w:val="00DC3C4D"/>
    <w:rsid w:val="00DC405F"/>
    <w:rsid w:val="00DC4C65"/>
    <w:rsid w:val="00DC52B8"/>
    <w:rsid w:val="00DC5995"/>
    <w:rsid w:val="00DC5BDE"/>
    <w:rsid w:val="00DC5FEF"/>
    <w:rsid w:val="00DC6183"/>
    <w:rsid w:val="00DC693A"/>
    <w:rsid w:val="00DC6C85"/>
    <w:rsid w:val="00DC7CC0"/>
    <w:rsid w:val="00DD04D4"/>
    <w:rsid w:val="00DD0C73"/>
    <w:rsid w:val="00DD115B"/>
    <w:rsid w:val="00DD1920"/>
    <w:rsid w:val="00DD2021"/>
    <w:rsid w:val="00DD2865"/>
    <w:rsid w:val="00DD2BA3"/>
    <w:rsid w:val="00DD2BE1"/>
    <w:rsid w:val="00DD2D13"/>
    <w:rsid w:val="00DD307F"/>
    <w:rsid w:val="00DD3368"/>
    <w:rsid w:val="00DD34BE"/>
    <w:rsid w:val="00DD37B9"/>
    <w:rsid w:val="00DD432B"/>
    <w:rsid w:val="00DD4980"/>
    <w:rsid w:val="00DD4AD3"/>
    <w:rsid w:val="00DD4BD1"/>
    <w:rsid w:val="00DD4D64"/>
    <w:rsid w:val="00DD51A1"/>
    <w:rsid w:val="00DD52F2"/>
    <w:rsid w:val="00DD54AE"/>
    <w:rsid w:val="00DD5514"/>
    <w:rsid w:val="00DD5715"/>
    <w:rsid w:val="00DD5E24"/>
    <w:rsid w:val="00DD7346"/>
    <w:rsid w:val="00DD778E"/>
    <w:rsid w:val="00DD7C7E"/>
    <w:rsid w:val="00DE0045"/>
    <w:rsid w:val="00DE0704"/>
    <w:rsid w:val="00DE087B"/>
    <w:rsid w:val="00DE08F9"/>
    <w:rsid w:val="00DE1713"/>
    <w:rsid w:val="00DE1756"/>
    <w:rsid w:val="00DE1A7A"/>
    <w:rsid w:val="00DE1D03"/>
    <w:rsid w:val="00DE1F97"/>
    <w:rsid w:val="00DE223C"/>
    <w:rsid w:val="00DE2382"/>
    <w:rsid w:val="00DE2990"/>
    <w:rsid w:val="00DE2A24"/>
    <w:rsid w:val="00DE32C2"/>
    <w:rsid w:val="00DE3838"/>
    <w:rsid w:val="00DE477D"/>
    <w:rsid w:val="00DE51F6"/>
    <w:rsid w:val="00DE5643"/>
    <w:rsid w:val="00DE56B0"/>
    <w:rsid w:val="00DE5F79"/>
    <w:rsid w:val="00DE6425"/>
    <w:rsid w:val="00DE64FD"/>
    <w:rsid w:val="00DE6966"/>
    <w:rsid w:val="00DE71A6"/>
    <w:rsid w:val="00DE7395"/>
    <w:rsid w:val="00DF0BBB"/>
    <w:rsid w:val="00DF0CE2"/>
    <w:rsid w:val="00DF0EF7"/>
    <w:rsid w:val="00DF102B"/>
    <w:rsid w:val="00DF113E"/>
    <w:rsid w:val="00DF15D1"/>
    <w:rsid w:val="00DF21DD"/>
    <w:rsid w:val="00DF2846"/>
    <w:rsid w:val="00DF3277"/>
    <w:rsid w:val="00DF347C"/>
    <w:rsid w:val="00DF3811"/>
    <w:rsid w:val="00DF3D92"/>
    <w:rsid w:val="00DF3ED7"/>
    <w:rsid w:val="00DF405F"/>
    <w:rsid w:val="00DF45D3"/>
    <w:rsid w:val="00DF54AF"/>
    <w:rsid w:val="00DF5677"/>
    <w:rsid w:val="00DF5A0C"/>
    <w:rsid w:val="00DF5B51"/>
    <w:rsid w:val="00DF5C98"/>
    <w:rsid w:val="00DF5F96"/>
    <w:rsid w:val="00DF6063"/>
    <w:rsid w:val="00DF6994"/>
    <w:rsid w:val="00DF6BCE"/>
    <w:rsid w:val="00DF71E8"/>
    <w:rsid w:val="00DF7AD1"/>
    <w:rsid w:val="00DF7B25"/>
    <w:rsid w:val="00DF7E2B"/>
    <w:rsid w:val="00E00581"/>
    <w:rsid w:val="00E006D0"/>
    <w:rsid w:val="00E00910"/>
    <w:rsid w:val="00E00E09"/>
    <w:rsid w:val="00E01DF1"/>
    <w:rsid w:val="00E01E9B"/>
    <w:rsid w:val="00E0206F"/>
    <w:rsid w:val="00E024D3"/>
    <w:rsid w:val="00E02671"/>
    <w:rsid w:val="00E033D6"/>
    <w:rsid w:val="00E0348F"/>
    <w:rsid w:val="00E04215"/>
    <w:rsid w:val="00E054EC"/>
    <w:rsid w:val="00E057FD"/>
    <w:rsid w:val="00E05B9B"/>
    <w:rsid w:val="00E05FE4"/>
    <w:rsid w:val="00E0644A"/>
    <w:rsid w:val="00E06897"/>
    <w:rsid w:val="00E06FE9"/>
    <w:rsid w:val="00E07D3B"/>
    <w:rsid w:val="00E103BD"/>
    <w:rsid w:val="00E10453"/>
    <w:rsid w:val="00E1065C"/>
    <w:rsid w:val="00E10760"/>
    <w:rsid w:val="00E10982"/>
    <w:rsid w:val="00E10EA3"/>
    <w:rsid w:val="00E12773"/>
    <w:rsid w:val="00E12923"/>
    <w:rsid w:val="00E12BE2"/>
    <w:rsid w:val="00E137CF"/>
    <w:rsid w:val="00E13A3A"/>
    <w:rsid w:val="00E13D98"/>
    <w:rsid w:val="00E146E5"/>
    <w:rsid w:val="00E151A6"/>
    <w:rsid w:val="00E15472"/>
    <w:rsid w:val="00E1585B"/>
    <w:rsid w:val="00E16357"/>
    <w:rsid w:val="00E163C4"/>
    <w:rsid w:val="00E16E67"/>
    <w:rsid w:val="00E174DF"/>
    <w:rsid w:val="00E179B2"/>
    <w:rsid w:val="00E17A2E"/>
    <w:rsid w:val="00E17A9A"/>
    <w:rsid w:val="00E202C3"/>
    <w:rsid w:val="00E203CA"/>
    <w:rsid w:val="00E2177E"/>
    <w:rsid w:val="00E2197A"/>
    <w:rsid w:val="00E21BFC"/>
    <w:rsid w:val="00E2228B"/>
    <w:rsid w:val="00E222F3"/>
    <w:rsid w:val="00E223A9"/>
    <w:rsid w:val="00E22833"/>
    <w:rsid w:val="00E22CF7"/>
    <w:rsid w:val="00E2339A"/>
    <w:rsid w:val="00E237C7"/>
    <w:rsid w:val="00E238BE"/>
    <w:rsid w:val="00E24161"/>
    <w:rsid w:val="00E244BD"/>
    <w:rsid w:val="00E249CA"/>
    <w:rsid w:val="00E24CD6"/>
    <w:rsid w:val="00E25411"/>
    <w:rsid w:val="00E26106"/>
    <w:rsid w:val="00E26A16"/>
    <w:rsid w:val="00E26A95"/>
    <w:rsid w:val="00E26D61"/>
    <w:rsid w:val="00E27162"/>
    <w:rsid w:val="00E27533"/>
    <w:rsid w:val="00E27A3F"/>
    <w:rsid w:val="00E27C71"/>
    <w:rsid w:val="00E3002F"/>
    <w:rsid w:val="00E31180"/>
    <w:rsid w:val="00E31240"/>
    <w:rsid w:val="00E31283"/>
    <w:rsid w:val="00E3173D"/>
    <w:rsid w:val="00E31B42"/>
    <w:rsid w:val="00E323F8"/>
    <w:rsid w:val="00E32917"/>
    <w:rsid w:val="00E32B5D"/>
    <w:rsid w:val="00E33184"/>
    <w:rsid w:val="00E33539"/>
    <w:rsid w:val="00E33D31"/>
    <w:rsid w:val="00E33F56"/>
    <w:rsid w:val="00E34072"/>
    <w:rsid w:val="00E349ED"/>
    <w:rsid w:val="00E34B07"/>
    <w:rsid w:val="00E354BB"/>
    <w:rsid w:val="00E362F1"/>
    <w:rsid w:val="00E367F3"/>
    <w:rsid w:val="00E36C78"/>
    <w:rsid w:val="00E376A6"/>
    <w:rsid w:val="00E37AC5"/>
    <w:rsid w:val="00E4012E"/>
    <w:rsid w:val="00E40191"/>
    <w:rsid w:val="00E40650"/>
    <w:rsid w:val="00E40F31"/>
    <w:rsid w:val="00E415E0"/>
    <w:rsid w:val="00E41C43"/>
    <w:rsid w:val="00E421C8"/>
    <w:rsid w:val="00E42512"/>
    <w:rsid w:val="00E42556"/>
    <w:rsid w:val="00E42827"/>
    <w:rsid w:val="00E4290E"/>
    <w:rsid w:val="00E42DC0"/>
    <w:rsid w:val="00E442A5"/>
    <w:rsid w:val="00E4481A"/>
    <w:rsid w:val="00E449E8"/>
    <w:rsid w:val="00E453A6"/>
    <w:rsid w:val="00E455F9"/>
    <w:rsid w:val="00E45CD2"/>
    <w:rsid w:val="00E45D4F"/>
    <w:rsid w:val="00E46496"/>
    <w:rsid w:val="00E46659"/>
    <w:rsid w:val="00E46A36"/>
    <w:rsid w:val="00E47C9F"/>
    <w:rsid w:val="00E50067"/>
    <w:rsid w:val="00E50131"/>
    <w:rsid w:val="00E50208"/>
    <w:rsid w:val="00E506F6"/>
    <w:rsid w:val="00E5162D"/>
    <w:rsid w:val="00E519F3"/>
    <w:rsid w:val="00E51F47"/>
    <w:rsid w:val="00E525AB"/>
    <w:rsid w:val="00E525E4"/>
    <w:rsid w:val="00E52FF1"/>
    <w:rsid w:val="00E5312B"/>
    <w:rsid w:val="00E537CB"/>
    <w:rsid w:val="00E542DD"/>
    <w:rsid w:val="00E5441C"/>
    <w:rsid w:val="00E54DCE"/>
    <w:rsid w:val="00E55176"/>
    <w:rsid w:val="00E551B1"/>
    <w:rsid w:val="00E551CE"/>
    <w:rsid w:val="00E563F1"/>
    <w:rsid w:val="00E568B9"/>
    <w:rsid w:val="00E56DB8"/>
    <w:rsid w:val="00E57440"/>
    <w:rsid w:val="00E57CF6"/>
    <w:rsid w:val="00E57E02"/>
    <w:rsid w:val="00E600D3"/>
    <w:rsid w:val="00E601BF"/>
    <w:rsid w:val="00E60DF2"/>
    <w:rsid w:val="00E60F44"/>
    <w:rsid w:val="00E61E05"/>
    <w:rsid w:val="00E6274B"/>
    <w:rsid w:val="00E6281A"/>
    <w:rsid w:val="00E63C1A"/>
    <w:rsid w:val="00E63E2F"/>
    <w:rsid w:val="00E645C3"/>
    <w:rsid w:val="00E645CE"/>
    <w:rsid w:val="00E65140"/>
    <w:rsid w:val="00E6523D"/>
    <w:rsid w:val="00E65528"/>
    <w:rsid w:val="00E6613F"/>
    <w:rsid w:val="00E666EC"/>
    <w:rsid w:val="00E66EF9"/>
    <w:rsid w:val="00E6710E"/>
    <w:rsid w:val="00E67951"/>
    <w:rsid w:val="00E67D89"/>
    <w:rsid w:val="00E707AF"/>
    <w:rsid w:val="00E7087F"/>
    <w:rsid w:val="00E70F90"/>
    <w:rsid w:val="00E71157"/>
    <w:rsid w:val="00E71A97"/>
    <w:rsid w:val="00E722E2"/>
    <w:rsid w:val="00E72303"/>
    <w:rsid w:val="00E7238E"/>
    <w:rsid w:val="00E72AA8"/>
    <w:rsid w:val="00E72C3F"/>
    <w:rsid w:val="00E73845"/>
    <w:rsid w:val="00E73E6A"/>
    <w:rsid w:val="00E73F00"/>
    <w:rsid w:val="00E73FF0"/>
    <w:rsid w:val="00E7453D"/>
    <w:rsid w:val="00E7521C"/>
    <w:rsid w:val="00E754BA"/>
    <w:rsid w:val="00E754BF"/>
    <w:rsid w:val="00E756A5"/>
    <w:rsid w:val="00E75D6D"/>
    <w:rsid w:val="00E75FC1"/>
    <w:rsid w:val="00E761AF"/>
    <w:rsid w:val="00E76816"/>
    <w:rsid w:val="00E774A2"/>
    <w:rsid w:val="00E77603"/>
    <w:rsid w:val="00E77A80"/>
    <w:rsid w:val="00E80303"/>
    <w:rsid w:val="00E80494"/>
    <w:rsid w:val="00E807D7"/>
    <w:rsid w:val="00E809E2"/>
    <w:rsid w:val="00E80B57"/>
    <w:rsid w:val="00E80C13"/>
    <w:rsid w:val="00E8137D"/>
    <w:rsid w:val="00E8157D"/>
    <w:rsid w:val="00E816C2"/>
    <w:rsid w:val="00E81F5A"/>
    <w:rsid w:val="00E81FE0"/>
    <w:rsid w:val="00E82D0D"/>
    <w:rsid w:val="00E846D4"/>
    <w:rsid w:val="00E84D1E"/>
    <w:rsid w:val="00E84F00"/>
    <w:rsid w:val="00E84F02"/>
    <w:rsid w:val="00E8580C"/>
    <w:rsid w:val="00E85C03"/>
    <w:rsid w:val="00E86A39"/>
    <w:rsid w:val="00E86EE9"/>
    <w:rsid w:val="00E870F4"/>
    <w:rsid w:val="00E87371"/>
    <w:rsid w:val="00E90140"/>
    <w:rsid w:val="00E906A8"/>
    <w:rsid w:val="00E90BA9"/>
    <w:rsid w:val="00E910F2"/>
    <w:rsid w:val="00E91169"/>
    <w:rsid w:val="00E91436"/>
    <w:rsid w:val="00E9203C"/>
    <w:rsid w:val="00E92566"/>
    <w:rsid w:val="00E9330F"/>
    <w:rsid w:val="00E9343C"/>
    <w:rsid w:val="00E9437B"/>
    <w:rsid w:val="00E944DF"/>
    <w:rsid w:val="00E94BE6"/>
    <w:rsid w:val="00E94E14"/>
    <w:rsid w:val="00E959F5"/>
    <w:rsid w:val="00E9788B"/>
    <w:rsid w:val="00E97B98"/>
    <w:rsid w:val="00EA04CE"/>
    <w:rsid w:val="00EA0B85"/>
    <w:rsid w:val="00EA0BDB"/>
    <w:rsid w:val="00EA1235"/>
    <w:rsid w:val="00EA1853"/>
    <w:rsid w:val="00EA1D8C"/>
    <w:rsid w:val="00EA20A6"/>
    <w:rsid w:val="00EA2871"/>
    <w:rsid w:val="00EA3857"/>
    <w:rsid w:val="00EA3970"/>
    <w:rsid w:val="00EA47F2"/>
    <w:rsid w:val="00EA5803"/>
    <w:rsid w:val="00EA5AFF"/>
    <w:rsid w:val="00EA5D8A"/>
    <w:rsid w:val="00EA5F18"/>
    <w:rsid w:val="00EA6315"/>
    <w:rsid w:val="00EA660A"/>
    <w:rsid w:val="00EA6E85"/>
    <w:rsid w:val="00EA6E9F"/>
    <w:rsid w:val="00EA7CCF"/>
    <w:rsid w:val="00EB025E"/>
    <w:rsid w:val="00EB02D8"/>
    <w:rsid w:val="00EB04D8"/>
    <w:rsid w:val="00EB0B24"/>
    <w:rsid w:val="00EB0DA0"/>
    <w:rsid w:val="00EB13C4"/>
    <w:rsid w:val="00EB1EDB"/>
    <w:rsid w:val="00EB2187"/>
    <w:rsid w:val="00EB2552"/>
    <w:rsid w:val="00EB335C"/>
    <w:rsid w:val="00EB34A5"/>
    <w:rsid w:val="00EB3ADF"/>
    <w:rsid w:val="00EB4017"/>
    <w:rsid w:val="00EB43F6"/>
    <w:rsid w:val="00EB4531"/>
    <w:rsid w:val="00EB4585"/>
    <w:rsid w:val="00EB4BFF"/>
    <w:rsid w:val="00EB5270"/>
    <w:rsid w:val="00EB53FB"/>
    <w:rsid w:val="00EB540B"/>
    <w:rsid w:val="00EB5444"/>
    <w:rsid w:val="00EB5CAE"/>
    <w:rsid w:val="00EB65ED"/>
    <w:rsid w:val="00EB6941"/>
    <w:rsid w:val="00EB6D2F"/>
    <w:rsid w:val="00EB6D57"/>
    <w:rsid w:val="00EB70F5"/>
    <w:rsid w:val="00EB73F5"/>
    <w:rsid w:val="00EB758E"/>
    <w:rsid w:val="00EB7B5B"/>
    <w:rsid w:val="00EC0FAB"/>
    <w:rsid w:val="00EC1CED"/>
    <w:rsid w:val="00EC22EB"/>
    <w:rsid w:val="00EC2662"/>
    <w:rsid w:val="00EC28BE"/>
    <w:rsid w:val="00EC2B52"/>
    <w:rsid w:val="00EC3A50"/>
    <w:rsid w:val="00EC4C27"/>
    <w:rsid w:val="00EC4FC2"/>
    <w:rsid w:val="00EC5A91"/>
    <w:rsid w:val="00EC604F"/>
    <w:rsid w:val="00EC650D"/>
    <w:rsid w:val="00EC688E"/>
    <w:rsid w:val="00EC6C56"/>
    <w:rsid w:val="00EC7156"/>
    <w:rsid w:val="00EC7B5E"/>
    <w:rsid w:val="00EC7D35"/>
    <w:rsid w:val="00ED01A7"/>
    <w:rsid w:val="00ED0388"/>
    <w:rsid w:val="00ED0608"/>
    <w:rsid w:val="00ED0C73"/>
    <w:rsid w:val="00ED0F26"/>
    <w:rsid w:val="00ED1056"/>
    <w:rsid w:val="00ED1802"/>
    <w:rsid w:val="00ED195C"/>
    <w:rsid w:val="00ED2174"/>
    <w:rsid w:val="00ED2D21"/>
    <w:rsid w:val="00ED302A"/>
    <w:rsid w:val="00ED374A"/>
    <w:rsid w:val="00ED3840"/>
    <w:rsid w:val="00ED43EB"/>
    <w:rsid w:val="00ED4658"/>
    <w:rsid w:val="00ED4932"/>
    <w:rsid w:val="00ED4AF9"/>
    <w:rsid w:val="00ED4B63"/>
    <w:rsid w:val="00ED59CC"/>
    <w:rsid w:val="00ED5AFD"/>
    <w:rsid w:val="00ED5CDC"/>
    <w:rsid w:val="00ED5FAB"/>
    <w:rsid w:val="00ED6005"/>
    <w:rsid w:val="00ED6211"/>
    <w:rsid w:val="00ED64B9"/>
    <w:rsid w:val="00ED70B1"/>
    <w:rsid w:val="00ED73E6"/>
    <w:rsid w:val="00ED744E"/>
    <w:rsid w:val="00EE0000"/>
    <w:rsid w:val="00EE0201"/>
    <w:rsid w:val="00EE052B"/>
    <w:rsid w:val="00EE087D"/>
    <w:rsid w:val="00EE09AF"/>
    <w:rsid w:val="00EE105A"/>
    <w:rsid w:val="00EE10F3"/>
    <w:rsid w:val="00EE1F84"/>
    <w:rsid w:val="00EE26EC"/>
    <w:rsid w:val="00EE2737"/>
    <w:rsid w:val="00EE2EAA"/>
    <w:rsid w:val="00EE3BBA"/>
    <w:rsid w:val="00EE3DFE"/>
    <w:rsid w:val="00EE465E"/>
    <w:rsid w:val="00EE4993"/>
    <w:rsid w:val="00EE4F8C"/>
    <w:rsid w:val="00EE516B"/>
    <w:rsid w:val="00EE52D1"/>
    <w:rsid w:val="00EE5424"/>
    <w:rsid w:val="00EE5EF4"/>
    <w:rsid w:val="00EE6025"/>
    <w:rsid w:val="00EE6027"/>
    <w:rsid w:val="00EE6407"/>
    <w:rsid w:val="00EE6A24"/>
    <w:rsid w:val="00EE6C9D"/>
    <w:rsid w:val="00EE6EE0"/>
    <w:rsid w:val="00EE723A"/>
    <w:rsid w:val="00EE745A"/>
    <w:rsid w:val="00EE75EE"/>
    <w:rsid w:val="00EE7BA5"/>
    <w:rsid w:val="00EF0A96"/>
    <w:rsid w:val="00EF0D52"/>
    <w:rsid w:val="00EF0EAD"/>
    <w:rsid w:val="00EF10B7"/>
    <w:rsid w:val="00EF18D3"/>
    <w:rsid w:val="00EF1BCD"/>
    <w:rsid w:val="00EF4709"/>
    <w:rsid w:val="00EF55C7"/>
    <w:rsid w:val="00EF5854"/>
    <w:rsid w:val="00EF6136"/>
    <w:rsid w:val="00EF68E6"/>
    <w:rsid w:val="00EF6FD3"/>
    <w:rsid w:val="00EF7164"/>
    <w:rsid w:val="00EF72D5"/>
    <w:rsid w:val="00EF765B"/>
    <w:rsid w:val="00F006C7"/>
    <w:rsid w:val="00F014D1"/>
    <w:rsid w:val="00F01960"/>
    <w:rsid w:val="00F0196D"/>
    <w:rsid w:val="00F01D4F"/>
    <w:rsid w:val="00F01ECF"/>
    <w:rsid w:val="00F027D9"/>
    <w:rsid w:val="00F02DA9"/>
    <w:rsid w:val="00F03824"/>
    <w:rsid w:val="00F03AC5"/>
    <w:rsid w:val="00F03F6C"/>
    <w:rsid w:val="00F05009"/>
    <w:rsid w:val="00F05026"/>
    <w:rsid w:val="00F055BE"/>
    <w:rsid w:val="00F05C3E"/>
    <w:rsid w:val="00F06896"/>
    <w:rsid w:val="00F071D7"/>
    <w:rsid w:val="00F11721"/>
    <w:rsid w:val="00F12173"/>
    <w:rsid w:val="00F12409"/>
    <w:rsid w:val="00F12D2F"/>
    <w:rsid w:val="00F13457"/>
    <w:rsid w:val="00F13DF6"/>
    <w:rsid w:val="00F14FAD"/>
    <w:rsid w:val="00F154E4"/>
    <w:rsid w:val="00F15557"/>
    <w:rsid w:val="00F1556A"/>
    <w:rsid w:val="00F157C7"/>
    <w:rsid w:val="00F161C6"/>
    <w:rsid w:val="00F16576"/>
    <w:rsid w:val="00F1661D"/>
    <w:rsid w:val="00F16C51"/>
    <w:rsid w:val="00F17249"/>
    <w:rsid w:val="00F17539"/>
    <w:rsid w:val="00F1770A"/>
    <w:rsid w:val="00F177C6"/>
    <w:rsid w:val="00F2044E"/>
    <w:rsid w:val="00F205E2"/>
    <w:rsid w:val="00F2159F"/>
    <w:rsid w:val="00F21730"/>
    <w:rsid w:val="00F21BA1"/>
    <w:rsid w:val="00F21E66"/>
    <w:rsid w:val="00F21E83"/>
    <w:rsid w:val="00F221BC"/>
    <w:rsid w:val="00F22907"/>
    <w:rsid w:val="00F22966"/>
    <w:rsid w:val="00F229CB"/>
    <w:rsid w:val="00F22C21"/>
    <w:rsid w:val="00F23089"/>
    <w:rsid w:val="00F239A6"/>
    <w:rsid w:val="00F24354"/>
    <w:rsid w:val="00F245D5"/>
    <w:rsid w:val="00F246EC"/>
    <w:rsid w:val="00F2477E"/>
    <w:rsid w:val="00F24C6B"/>
    <w:rsid w:val="00F24E3B"/>
    <w:rsid w:val="00F24EB7"/>
    <w:rsid w:val="00F251C5"/>
    <w:rsid w:val="00F255CF"/>
    <w:rsid w:val="00F255E7"/>
    <w:rsid w:val="00F25E16"/>
    <w:rsid w:val="00F2614F"/>
    <w:rsid w:val="00F2678A"/>
    <w:rsid w:val="00F27123"/>
    <w:rsid w:val="00F27936"/>
    <w:rsid w:val="00F305C5"/>
    <w:rsid w:val="00F30C6A"/>
    <w:rsid w:val="00F311C5"/>
    <w:rsid w:val="00F31231"/>
    <w:rsid w:val="00F31332"/>
    <w:rsid w:val="00F31A45"/>
    <w:rsid w:val="00F31D03"/>
    <w:rsid w:val="00F31F2A"/>
    <w:rsid w:val="00F32720"/>
    <w:rsid w:val="00F3286F"/>
    <w:rsid w:val="00F32A51"/>
    <w:rsid w:val="00F3442E"/>
    <w:rsid w:val="00F34C22"/>
    <w:rsid w:val="00F35A91"/>
    <w:rsid w:val="00F35DBC"/>
    <w:rsid w:val="00F360FD"/>
    <w:rsid w:val="00F361F0"/>
    <w:rsid w:val="00F362FE"/>
    <w:rsid w:val="00F366A1"/>
    <w:rsid w:val="00F36827"/>
    <w:rsid w:val="00F36869"/>
    <w:rsid w:val="00F36B0D"/>
    <w:rsid w:val="00F37350"/>
    <w:rsid w:val="00F37611"/>
    <w:rsid w:val="00F37722"/>
    <w:rsid w:val="00F37C65"/>
    <w:rsid w:val="00F408B6"/>
    <w:rsid w:val="00F409CA"/>
    <w:rsid w:val="00F411BB"/>
    <w:rsid w:val="00F4168C"/>
    <w:rsid w:val="00F418DF"/>
    <w:rsid w:val="00F422D6"/>
    <w:rsid w:val="00F436AB"/>
    <w:rsid w:val="00F43973"/>
    <w:rsid w:val="00F44471"/>
    <w:rsid w:val="00F446F6"/>
    <w:rsid w:val="00F45E6E"/>
    <w:rsid w:val="00F45F5F"/>
    <w:rsid w:val="00F4621B"/>
    <w:rsid w:val="00F46630"/>
    <w:rsid w:val="00F46789"/>
    <w:rsid w:val="00F468E7"/>
    <w:rsid w:val="00F46E8B"/>
    <w:rsid w:val="00F470F5"/>
    <w:rsid w:val="00F47697"/>
    <w:rsid w:val="00F50567"/>
    <w:rsid w:val="00F50A42"/>
    <w:rsid w:val="00F50F59"/>
    <w:rsid w:val="00F51740"/>
    <w:rsid w:val="00F51F9A"/>
    <w:rsid w:val="00F524A9"/>
    <w:rsid w:val="00F52B3F"/>
    <w:rsid w:val="00F52BA1"/>
    <w:rsid w:val="00F52C10"/>
    <w:rsid w:val="00F53397"/>
    <w:rsid w:val="00F53E45"/>
    <w:rsid w:val="00F54209"/>
    <w:rsid w:val="00F54435"/>
    <w:rsid w:val="00F54799"/>
    <w:rsid w:val="00F55237"/>
    <w:rsid w:val="00F555A7"/>
    <w:rsid w:val="00F55634"/>
    <w:rsid w:val="00F55921"/>
    <w:rsid w:val="00F55975"/>
    <w:rsid w:val="00F55BCA"/>
    <w:rsid w:val="00F564AF"/>
    <w:rsid w:val="00F565D4"/>
    <w:rsid w:val="00F56B27"/>
    <w:rsid w:val="00F56BB5"/>
    <w:rsid w:val="00F56E6F"/>
    <w:rsid w:val="00F570E0"/>
    <w:rsid w:val="00F57596"/>
    <w:rsid w:val="00F575A4"/>
    <w:rsid w:val="00F6067C"/>
    <w:rsid w:val="00F60A6C"/>
    <w:rsid w:val="00F60AC0"/>
    <w:rsid w:val="00F60D98"/>
    <w:rsid w:val="00F62A39"/>
    <w:rsid w:val="00F631CB"/>
    <w:rsid w:val="00F63275"/>
    <w:rsid w:val="00F637CF"/>
    <w:rsid w:val="00F63D45"/>
    <w:rsid w:val="00F649A0"/>
    <w:rsid w:val="00F64A23"/>
    <w:rsid w:val="00F64B72"/>
    <w:rsid w:val="00F64CEB"/>
    <w:rsid w:val="00F65BAA"/>
    <w:rsid w:val="00F662D0"/>
    <w:rsid w:val="00F666EE"/>
    <w:rsid w:val="00F6678C"/>
    <w:rsid w:val="00F67BD2"/>
    <w:rsid w:val="00F706C7"/>
    <w:rsid w:val="00F706DE"/>
    <w:rsid w:val="00F70B1D"/>
    <w:rsid w:val="00F711E9"/>
    <w:rsid w:val="00F711F0"/>
    <w:rsid w:val="00F719F2"/>
    <w:rsid w:val="00F71F13"/>
    <w:rsid w:val="00F7251A"/>
    <w:rsid w:val="00F7291E"/>
    <w:rsid w:val="00F72AA4"/>
    <w:rsid w:val="00F72CD3"/>
    <w:rsid w:val="00F72F04"/>
    <w:rsid w:val="00F7307E"/>
    <w:rsid w:val="00F73596"/>
    <w:rsid w:val="00F73696"/>
    <w:rsid w:val="00F73A64"/>
    <w:rsid w:val="00F74367"/>
    <w:rsid w:val="00F74E54"/>
    <w:rsid w:val="00F74FD9"/>
    <w:rsid w:val="00F75D28"/>
    <w:rsid w:val="00F75DCC"/>
    <w:rsid w:val="00F76106"/>
    <w:rsid w:val="00F76588"/>
    <w:rsid w:val="00F77DD1"/>
    <w:rsid w:val="00F77F38"/>
    <w:rsid w:val="00F8020B"/>
    <w:rsid w:val="00F81C8B"/>
    <w:rsid w:val="00F81EE8"/>
    <w:rsid w:val="00F82215"/>
    <w:rsid w:val="00F823EC"/>
    <w:rsid w:val="00F82860"/>
    <w:rsid w:val="00F82902"/>
    <w:rsid w:val="00F830C8"/>
    <w:rsid w:val="00F83841"/>
    <w:rsid w:val="00F854A6"/>
    <w:rsid w:val="00F859FC"/>
    <w:rsid w:val="00F85A53"/>
    <w:rsid w:val="00F85F46"/>
    <w:rsid w:val="00F86B10"/>
    <w:rsid w:val="00F86BF6"/>
    <w:rsid w:val="00F86C6F"/>
    <w:rsid w:val="00F86E33"/>
    <w:rsid w:val="00F87E93"/>
    <w:rsid w:val="00F9132D"/>
    <w:rsid w:val="00F91595"/>
    <w:rsid w:val="00F91AE5"/>
    <w:rsid w:val="00F91E82"/>
    <w:rsid w:val="00F91F45"/>
    <w:rsid w:val="00F92A46"/>
    <w:rsid w:val="00F92DF0"/>
    <w:rsid w:val="00F92ED7"/>
    <w:rsid w:val="00F92FD0"/>
    <w:rsid w:val="00F934C4"/>
    <w:rsid w:val="00F93DBD"/>
    <w:rsid w:val="00F94574"/>
    <w:rsid w:val="00F948B3"/>
    <w:rsid w:val="00F95BDC"/>
    <w:rsid w:val="00F95C94"/>
    <w:rsid w:val="00F962D0"/>
    <w:rsid w:val="00F965AB"/>
    <w:rsid w:val="00F96FB6"/>
    <w:rsid w:val="00F9714E"/>
    <w:rsid w:val="00F971ED"/>
    <w:rsid w:val="00F97F04"/>
    <w:rsid w:val="00F97F8A"/>
    <w:rsid w:val="00FA0453"/>
    <w:rsid w:val="00FA052B"/>
    <w:rsid w:val="00FA05B0"/>
    <w:rsid w:val="00FA0621"/>
    <w:rsid w:val="00FA0DB1"/>
    <w:rsid w:val="00FA0EB7"/>
    <w:rsid w:val="00FA0F23"/>
    <w:rsid w:val="00FA1D11"/>
    <w:rsid w:val="00FA2BA8"/>
    <w:rsid w:val="00FA3CB8"/>
    <w:rsid w:val="00FA4BCF"/>
    <w:rsid w:val="00FA50BA"/>
    <w:rsid w:val="00FA525D"/>
    <w:rsid w:val="00FA53A3"/>
    <w:rsid w:val="00FA53D8"/>
    <w:rsid w:val="00FA59A4"/>
    <w:rsid w:val="00FA6F38"/>
    <w:rsid w:val="00FA79F1"/>
    <w:rsid w:val="00FB04D3"/>
    <w:rsid w:val="00FB0713"/>
    <w:rsid w:val="00FB0DA2"/>
    <w:rsid w:val="00FB0ECA"/>
    <w:rsid w:val="00FB16BD"/>
    <w:rsid w:val="00FB1D82"/>
    <w:rsid w:val="00FB2300"/>
    <w:rsid w:val="00FB2394"/>
    <w:rsid w:val="00FB246C"/>
    <w:rsid w:val="00FB24A0"/>
    <w:rsid w:val="00FB322D"/>
    <w:rsid w:val="00FB4A18"/>
    <w:rsid w:val="00FB4BD0"/>
    <w:rsid w:val="00FB4DA4"/>
    <w:rsid w:val="00FB4E95"/>
    <w:rsid w:val="00FB4EDD"/>
    <w:rsid w:val="00FB57A1"/>
    <w:rsid w:val="00FB5B8B"/>
    <w:rsid w:val="00FB5EF3"/>
    <w:rsid w:val="00FB633E"/>
    <w:rsid w:val="00FB6527"/>
    <w:rsid w:val="00FB7C5E"/>
    <w:rsid w:val="00FC098B"/>
    <w:rsid w:val="00FC0B0B"/>
    <w:rsid w:val="00FC0E64"/>
    <w:rsid w:val="00FC15EF"/>
    <w:rsid w:val="00FC246F"/>
    <w:rsid w:val="00FC2B67"/>
    <w:rsid w:val="00FC34BF"/>
    <w:rsid w:val="00FC38E5"/>
    <w:rsid w:val="00FC3B3B"/>
    <w:rsid w:val="00FC4456"/>
    <w:rsid w:val="00FC48CD"/>
    <w:rsid w:val="00FC4C4A"/>
    <w:rsid w:val="00FC4FB6"/>
    <w:rsid w:val="00FC5275"/>
    <w:rsid w:val="00FC5895"/>
    <w:rsid w:val="00FC5E6B"/>
    <w:rsid w:val="00FC60A3"/>
    <w:rsid w:val="00FC61A8"/>
    <w:rsid w:val="00FC6325"/>
    <w:rsid w:val="00FC6BFF"/>
    <w:rsid w:val="00FC6D2A"/>
    <w:rsid w:val="00FC72EF"/>
    <w:rsid w:val="00FC79F9"/>
    <w:rsid w:val="00FD0320"/>
    <w:rsid w:val="00FD084F"/>
    <w:rsid w:val="00FD1835"/>
    <w:rsid w:val="00FD198B"/>
    <w:rsid w:val="00FD1AB1"/>
    <w:rsid w:val="00FD226A"/>
    <w:rsid w:val="00FD2271"/>
    <w:rsid w:val="00FD2F39"/>
    <w:rsid w:val="00FD3C08"/>
    <w:rsid w:val="00FD404B"/>
    <w:rsid w:val="00FD6033"/>
    <w:rsid w:val="00FD6E30"/>
    <w:rsid w:val="00FD76C0"/>
    <w:rsid w:val="00FD7CDD"/>
    <w:rsid w:val="00FD7D29"/>
    <w:rsid w:val="00FE010C"/>
    <w:rsid w:val="00FE059E"/>
    <w:rsid w:val="00FE18D2"/>
    <w:rsid w:val="00FE2AF2"/>
    <w:rsid w:val="00FE2F45"/>
    <w:rsid w:val="00FE30AC"/>
    <w:rsid w:val="00FE30E2"/>
    <w:rsid w:val="00FE31C4"/>
    <w:rsid w:val="00FE3307"/>
    <w:rsid w:val="00FE330C"/>
    <w:rsid w:val="00FE3974"/>
    <w:rsid w:val="00FE51A1"/>
    <w:rsid w:val="00FE51B6"/>
    <w:rsid w:val="00FE6217"/>
    <w:rsid w:val="00FE64EB"/>
    <w:rsid w:val="00FE6552"/>
    <w:rsid w:val="00FE66B7"/>
    <w:rsid w:val="00FE6BB7"/>
    <w:rsid w:val="00FF0AFA"/>
    <w:rsid w:val="00FF27F0"/>
    <w:rsid w:val="00FF3A6D"/>
    <w:rsid w:val="00FF3AB8"/>
    <w:rsid w:val="00FF42CC"/>
    <w:rsid w:val="00FF44E1"/>
    <w:rsid w:val="00FF475A"/>
    <w:rsid w:val="00FF478D"/>
    <w:rsid w:val="00FF57AE"/>
    <w:rsid w:val="00FF5D80"/>
    <w:rsid w:val="00FF5DD8"/>
    <w:rsid w:val="00FF64EF"/>
    <w:rsid w:val="00FF65E0"/>
    <w:rsid w:val="00FF66B3"/>
    <w:rsid w:val="00FF72CC"/>
    <w:rsid w:val="00FF7493"/>
    <w:rsid w:val="00FF7599"/>
    <w:rsid w:val="00FF77B7"/>
    <w:rsid w:val="00FF7AB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0A64E"/>
  <w15:chartTrackingRefBased/>
  <w15:docId w15:val="{0DC3FDF2-76CB-504B-87BB-50E5CCAC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967"/>
    <w:pPr>
      <w:spacing w:before="100" w:after="100" w:line="360" w:lineRule="auto"/>
      <w:contextualSpacing/>
      <w:jc w:val="both"/>
    </w:pPr>
    <w:rPr>
      <w:rFonts w:ascii="Times New Roman" w:eastAsia="Times New Roman" w:hAnsi="Times New Roman" w:cs="Times New Roman"/>
      <w:lang w:eastAsia="en-GB"/>
    </w:rPr>
  </w:style>
  <w:style w:type="paragraph" w:styleId="Heading1">
    <w:name w:val="heading 1"/>
    <w:basedOn w:val="Normal"/>
    <w:link w:val="Heading1Char"/>
    <w:autoRedefine/>
    <w:uiPriority w:val="9"/>
    <w:qFormat/>
    <w:rsid w:val="00CF491D"/>
    <w:pPr>
      <w:keepNext/>
      <w:keepLines/>
      <w:numPr>
        <w:numId w:val="9"/>
      </w:numPr>
      <w:spacing w:before="0" w:after="0"/>
      <w:outlineLvl w:val="0"/>
    </w:pPr>
    <w:rPr>
      <w:rFonts w:ascii="Arial" w:eastAsiaTheme="majorEastAsia" w:hAnsi="Arial" w:cstheme="majorBidi"/>
      <w:b/>
      <w:szCs w:val="32"/>
      <w:lang w:val="en-US"/>
    </w:rPr>
  </w:style>
  <w:style w:type="paragraph" w:styleId="Heading2">
    <w:name w:val="heading 2"/>
    <w:basedOn w:val="Heading1"/>
    <w:link w:val="Heading2Char"/>
    <w:autoRedefine/>
    <w:uiPriority w:val="9"/>
    <w:unhideWhenUsed/>
    <w:qFormat/>
    <w:rsid w:val="00DC52B8"/>
    <w:pPr>
      <w:numPr>
        <w:ilvl w:val="1"/>
      </w:numPr>
      <w:spacing w:before="40"/>
      <w:outlineLvl w:val="1"/>
    </w:pPr>
    <w:rPr>
      <w:szCs w:val="26"/>
    </w:rPr>
  </w:style>
  <w:style w:type="paragraph" w:styleId="Heading3">
    <w:name w:val="heading 3"/>
    <w:basedOn w:val="Heading2"/>
    <w:link w:val="Heading3Char"/>
    <w:autoRedefine/>
    <w:uiPriority w:val="9"/>
    <w:unhideWhenUsed/>
    <w:qFormat/>
    <w:rsid w:val="00DC52B8"/>
    <w:pPr>
      <w:numPr>
        <w:ilvl w:val="2"/>
      </w:numPr>
      <w:outlineLvl w:val="2"/>
    </w:pPr>
  </w:style>
  <w:style w:type="paragraph" w:styleId="Heading4">
    <w:name w:val="heading 4"/>
    <w:basedOn w:val="Heading2"/>
    <w:link w:val="Heading4Char"/>
    <w:autoRedefine/>
    <w:uiPriority w:val="9"/>
    <w:unhideWhenUsed/>
    <w:qFormat/>
    <w:rsid w:val="001D72BB"/>
    <w:pPr>
      <w:numPr>
        <w:ilvl w:val="3"/>
      </w:numPr>
      <w:outlineLvl w:val="3"/>
    </w:pPr>
    <w:rPr>
      <w:iCs/>
    </w:rPr>
  </w:style>
  <w:style w:type="paragraph" w:styleId="Heading5">
    <w:name w:val="heading 5"/>
    <w:basedOn w:val="Heading2"/>
    <w:link w:val="Heading5Char"/>
    <w:uiPriority w:val="9"/>
    <w:unhideWhenUsed/>
    <w:qFormat/>
    <w:rsid w:val="00BF0AB8"/>
    <w:pPr>
      <w:numPr>
        <w:ilvl w:val="4"/>
      </w:numPr>
      <w:ind w:left="1009" w:hanging="1009"/>
      <w:outlineLvl w:val="4"/>
    </w:pPr>
  </w:style>
  <w:style w:type="paragraph" w:styleId="Heading6">
    <w:name w:val="heading 6"/>
    <w:basedOn w:val="Normal"/>
    <w:next w:val="Normal"/>
    <w:link w:val="Heading6Char"/>
    <w:uiPriority w:val="9"/>
    <w:unhideWhenUsed/>
    <w:qFormat/>
    <w:rsid w:val="00C036D3"/>
    <w:pPr>
      <w:keepNext/>
      <w:keepLines/>
      <w:numPr>
        <w:ilvl w:val="5"/>
        <w:numId w:val="20"/>
      </w:numPr>
      <w:spacing w:before="40"/>
      <w:jc w:val="center"/>
      <w:outlineLvl w:val="5"/>
    </w:pPr>
    <w:rPr>
      <w:rFonts w:ascii="Arial" w:eastAsiaTheme="majorEastAsia" w:hAnsi="Arial" w:cstheme="majorBidi"/>
      <w:lang w:val="en-US"/>
    </w:rPr>
  </w:style>
  <w:style w:type="paragraph" w:styleId="Heading7">
    <w:name w:val="heading 7"/>
    <w:basedOn w:val="Heading6"/>
    <w:next w:val="Normal"/>
    <w:link w:val="Heading7Char"/>
    <w:uiPriority w:val="9"/>
    <w:semiHidden/>
    <w:unhideWhenUsed/>
    <w:qFormat/>
    <w:rsid w:val="00195DC7"/>
    <w:pPr>
      <w:numPr>
        <w:ilvl w:val="6"/>
        <w:numId w:val="9"/>
      </w:numPr>
      <w:ind w:left="1298" w:hanging="1298"/>
      <w:jc w:val="both"/>
      <w:outlineLvl w:val="6"/>
    </w:pPr>
    <w:rPr>
      <w:b/>
      <w:iCs/>
    </w:rPr>
  </w:style>
  <w:style w:type="paragraph" w:styleId="Heading8">
    <w:name w:val="heading 8"/>
    <w:basedOn w:val="Normal"/>
    <w:next w:val="Normal"/>
    <w:link w:val="Heading8Char"/>
    <w:uiPriority w:val="9"/>
    <w:semiHidden/>
    <w:unhideWhenUsed/>
    <w:qFormat/>
    <w:rsid w:val="00634C5E"/>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4C5E"/>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966"/>
    <w:pPr>
      <w:ind w:left="720"/>
    </w:pPr>
  </w:style>
  <w:style w:type="paragraph" w:styleId="NormalWeb">
    <w:name w:val="Normal (Web)"/>
    <w:basedOn w:val="Normal"/>
    <w:uiPriority w:val="99"/>
    <w:unhideWhenUsed/>
    <w:rsid w:val="00445354"/>
    <w:pPr>
      <w:spacing w:beforeAutospacing="1" w:afterAutospacing="1"/>
    </w:pPr>
  </w:style>
  <w:style w:type="character" w:styleId="Hyperlink">
    <w:name w:val="Hyperlink"/>
    <w:basedOn w:val="DefaultParagraphFont"/>
    <w:uiPriority w:val="99"/>
    <w:unhideWhenUsed/>
    <w:rsid w:val="0037278D"/>
    <w:rPr>
      <w:color w:val="0563C1" w:themeColor="hyperlink"/>
      <w:u w:val="single"/>
    </w:rPr>
  </w:style>
  <w:style w:type="character" w:styleId="UnresolvedMention">
    <w:name w:val="Unresolved Mention"/>
    <w:basedOn w:val="DefaultParagraphFont"/>
    <w:uiPriority w:val="99"/>
    <w:semiHidden/>
    <w:unhideWhenUsed/>
    <w:rsid w:val="0037278D"/>
    <w:rPr>
      <w:color w:val="605E5C"/>
      <w:shd w:val="clear" w:color="auto" w:fill="E1DFDD"/>
    </w:rPr>
  </w:style>
  <w:style w:type="paragraph" w:styleId="Header">
    <w:name w:val="header"/>
    <w:basedOn w:val="Normal"/>
    <w:link w:val="HeaderChar"/>
    <w:uiPriority w:val="99"/>
    <w:unhideWhenUsed/>
    <w:rsid w:val="000729E5"/>
    <w:pPr>
      <w:tabs>
        <w:tab w:val="center" w:pos="4513"/>
        <w:tab w:val="right" w:pos="9026"/>
      </w:tabs>
    </w:pPr>
  </w:style>
  <w:style w:type="character" w:customStyle="1" w:styleId="HeaderChar">
    <w:name w:val="Header Char"/>
    <w:basedOn w:val="DefaultParagraphFont"/>
    <w:link w:val="Header"/>
    <w:uiPriority w:val="99"/>
    <w:rsid w:val="000729E5"/>
  </w:style>
  <w:style w:type="paragraph" w:styleId="Footer">
    <w:name w:val="footer"/>
    <w:basedOn w:val="Normal"/>
    <w:link w:val="FooterChar"/>
    <w:uiPriority w:val="99"/>
    <w:unhideWhenUsed/>
    <w:rsid w:val="000729E5"/>
    <w:pPr>
      <w:tabs>
        <w:tab w:val="center" w:pos="4513"/>
        <w:tab w:val="right" w:pos="9026"/>
      </w:tabs>
    </w:pPr>
  </w:style>
  <w:style w:type="character" w:customStyle="1" w:styleId="FooterChar">
    <w:name w:val="Footer Char"/>
    <w:basedOn w:val="DefaultParagraphFont"/>
    <w:link w:val="Footer"/>
    <w:uiPriority w:val="99"/>
    <w:rsid w:val="000729E5"/>
  </w:style>
  <w:style w:type="character" w:customStyle="1" w:styleId="Heading1Char">
    <w:name w:val="Heading 1 Char"/>
    <w:basedOn w:val="DefaultParagraphFont"/>
    <w:link w:val="Heading1"/>
    <w:uiPriority w:val="9"/>
    <w:rsid w:val="00CF491D"/>
    <w:rPr>
      <w:rFonts w:ascii="Arial" w:eastAsiaTheme="majorEastAsia" w:hAnsi="Arial" w:cstheme="majorBidi"/>
      <w:b/>
      <w:szCs w:val="32"/>
      <w:lang w:val="en-US" w:eastAsia="en-GB"/>
    </w:rPr>
  </w:style>
  <w:style w:type="character" w:customStyle="1" w:styleId="Heading2Char">
    <w:name w:val="Heading 2 Char"/>
    <w:basedOn w:val="DefaultParagraphFont"/>
    <w:link w:val="Heading2"/>
    <w:uiPriority w:val="9"/>
    <w:rsid w:val="00DC52B8"/>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DC52B8"/>
    <w:rPr>
      <w:rFonts w:ascii="Arial" w:eastAsiaTheme="majorEastAsia" w:hAnsi="Arial" w:cstheme="majorBidi"/>
      <w:b/>
      <w:color w:val="000000" w:themeColor="text1"/>
      <w:szCs w:val="26"/>
    </w:rPr>
  </w:style>
  <w:style w:type="character" w:customStyle="1" w:styleId="Heading4Char">
    <w:name w:val="Heading 4 Char"/>
    <w:basedOn w:val="DefaultParagraphFont"/>
    <w:link w:val="Heading4"/>
    <w:uiPriority w:val="9"/>
    <w:rsid w:val="001D72BB"/>
    <w:rPr>
      <w:rFonts w:ascii="Arial" w:eastAsiaTheme="majorEastAsia" w:hAnsi="Arial" w:cstheme="majorBidi"/>
      <w:b/>
      <w:iCs/>
      <w:szCs w:val="26"/>
      <w:lang w:val="en-US" w:eastAsia="en-GB"/>
    </w:rPr>
  </w:style>
  <w:style w:type="character" w:customStyle="1" w:styleId="Heading5Char">
    <w:name w:val="Heading 5 Char"/>
    <w:basedOn w:val="DefaultParagraphFont"/>
    <w:link w:val="Heading5"/>
    <w:uiPriority w:val="9"/>
    <w:rsid w:val="00BF0AB8"/>
    <w:rPr>
      <w:rFonts w:ascii="Arial" w:eastAsiaTheme="majorEastAsia" w:hAnsi="Arial" w:cstheme="majorBidi"/>
      <w:b/>
      <w:color w:val="000000" w:themeColor="text1"/>
      <w:szCs w:val="26"/>
    </w:rPr>
  </w:style>
  <w:style w:type="character" w:customStyle="1" w:styleId="Heading6Char">
    <w:name w:val="Heading 6 Char"/>
    <w:basedOn w:val="DefaultParagraphFont"/>
    <w:link w:val="Heading6"/>
    <w:uiPriority w:val="9"/>
    <w:rsid w:val="00C036D3"/>
    <w:rPr>
      <w:rFonts w:ascii="Arial" w:eastAsiaTheme="majorEastAsia" w:hAnsi="Arial" w:cstheme="majorBidi"/>
      <w:lang w:val="en-US" w:eastAsia="en-GB"/>
    </w:rPr>
  </w:style>
  <w:style w:type="character" w:customStyle="1" w:styleId="Heading7Char">
    <w:name w:val="Heading 7 Char"/>
    <w:basedOn w:val="DefaultParagraphFont"/>
    <w:link w:val="Heading7"/>
    <w:uiPriority w:val="9"/>
    <w:semiHidden/>
    <w:rsid w:val="00195DC7"/>
    <w:rPr>
      <w:rFonts w:ascii="Arial" w:eastAsiaTheme="majorEastAsia" w:hAnsi="Arial" w:cstheme="majorBidi"/>
      <w:b/>
      <w:iCs/>
      <w:lang w:eastAsia="en-GB"/>
    </w:rPr>
  </w:style>
  <w:style w:type="character" w:customStyle="1" w:styleId="Heading8Char">
    <w:name w:val="Heading 8 Char"/>
    <w:basedOn w:val="DefaultParagraphFont"/>
    <w:link w:val="Heading8"/>
    <w:uiPriority w:val="9"/>
    <w:semiHidden/>
    <w:rsid w:val="00634C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4C5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A3D44"/>
    <w:pPr>
      <w:spacing w:before="220" w:after="320"/>
    </w:pPr>
    <w:rPr>
      <w:b/>
      <w:iCs/>
      <w:szCs w:val="18"/>
    </w:rPr>
  </w:style>
  <w:style w:type="table" w:styleId="TableGrid">
    <w:name w:val="Table Grid"/>
    <w:basedOn w:val="TableNormal"/>
    <w:uiPriority w:val="39"/>
    <w:rsid w:val="004B4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1834"/>
    <w:rPr>
      <w:sz w:val="16"/>
      <w:szCs w:val="16"/>
    </w:rPr>
  </w:style>
  <w:style w:type="paragraph" w:styleId="CommentText">
    <w:name w:val="annotation text"/>
    <w:basedOn w:val="Normal"/>
    <w:link w:val="CommentTextChar"/>
    <w:uiPriority w:val="99"/>
    <w:semiHidden/>
    <w:unhideWhenUsed/>
    <w:rsid w:val="00561834"/>
    <w:pPr>
      <w:spacing w:line="240" w:lineRule="auto"/>
    </w:pPr>
    <w:rPr>
      <w:sz w:val="20"/>
      <w:szCs w:val="20"/>
    </w:rPr>
  </w:style>
  <w:style w:type="character" w:customStyle="1" w:styleId="CommentTextChar">
    <w:name w:val="Comment Text Char"/>
    <w:basedOn w:val="DefaultParagraphFont"/>
    <w:link w:val="CommentText"/>
    <w:uiPriority w:val="99"/>
    <w:semiHidden/>
    <w:rsid w:val="00561834"/>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61834"/>
    <w:rPr>
      <w:b/>
      <w:bCs/>
    </w:rPr>
  </w:style>
  <w:style w:type="character" w:customStyle="1" w:styleId="CommentSubjectChar">
    <w:name w:val="Comment Subject Char"/>
    <w:basedOn w:val="CommentTextChar"/>
    <w:link w:val="CommentSubject"/>
    <w:uiPriority w:val="99"/>
    <w:semiHidden/>
    <w:rsid w:val="00561834"/>
    <w:rPr>
      <w:rFonts w:ascii="Times New Roman" w:hAnsi="Times New Roman"/>
      <w:b/>
      <w:bCs/>
      <w:color w:val="000000" w:themeColor="text1"/>
      <w:sz w:val="20"/>
      <w:szCs w:val="20"/>
    </w:rPr>
  </w:style>
  <w:style w:type="numbering" w:customStyle="1" w:styleId="Appendix">
    <w:name w:val="Appendix"/>
    <w:uiPriority w:val="99"/>
    <w:rsid w:val="00243217"/>
    <w:pPr>
      <w:numPr>
        <w:numId w:val="17"/>
      </w:numPr>
    </w:pPr>
  </w:style>
  <w:style w:type="paragraph" w:styleId="TOCHeading">
    <w:name w:val="TOC Heading"/>
    <w:basedOn w:val="Heading1"/>
    <w:next w:val="Normal"/>
    <w:uiPriority w:val="39"/>
    <w:unhideWhenUsed/>
    <w:qFormat/>
    <w:rsid w:val="002145CB"/>
    <w:pPr>
      <w:numPr>
        <w:numId w:val="0"/>
      </w:numPr>
      <w:spacing w:before="480" w:line="276" w:lineRule="auto"/>
      <w:contextualSpacing w:val="0"/>
      <w:jc w:val="left"/>
      <w:outlineLvl w:val="9"/>
    </w:pPr>
    <w:rPr>
      <w:rFonts w:asciiTheme="majorHAnsi" w:hAnsiTheme="majorHAnsi"/>
      <w:bCs/>
      <w:color w:val="2F5496" w:themeColor="accent1" w:themeShade="BF"/>
      <w:sz w:val="28"/>
      <w:szCs w:val="28"/>
      <w:lang w:eastAsia="en-US"/>
    </w:rPr>
  </w:style>
  <w:style w:type="paragraph" w:styleId="TOC1">
    <w:name w:val="toc 1"/>
    <w:basedOn w:val="Normal"/>
    <w:next w:val="Normal"/>
    <w:autoRedefine/>
    <w:uiPriority w:val="39"/>
    <w:unhideWhenUsed/>
    <w:rsid w:val="00DB4E0A"/>
    <w:rPr>
      <w:rFonts w:ascii="Arial" w:hAnsi="Arial"/>
      <w:b/>
      <w:bCs/>
      <w:sz w:val="20"/>
      <w:szCs w:val="20"/>
    </w:rPr>
  </w:style>
  <w:style w:type="paragraph" w:styleId="TOC2">
    <w:name w:val="toc 2"/>
    <w:basedOn w:val="Normal"/>
    <w:next w:val="Normal"/>
    <w:autoRedefine/>
    <w:uiPriority w:val="39"/>
    <w:unhideWhenUsed/>
    <w:rsid w:val="00DB4E0A"/>
    <w:rPr>
      <w:rFonts w:ascii="Arial" w:hAnsi="Arial"/>
      <w:b/>
      <w:sz w:val="20"/>
      <w:szCs w:val="20"/>
    </w:rPr>
  </w:style>
  <w:style w:type="paragraph" w:styleId="TOC3">
    <w:name w:val="toc 3"/>
    <w:basedOn w:val="Normal"/>
    <w:next w:val="Normal"/>
    <w:autoRedefine/>
    <w:uiPriority w:val="39"/>
    <w:unhideWhenUsed/>
    <w:rsid w:val="00DB4E0A"/>
    <w:pPr>
      <w:ind w:left="482"/>
    </w:pPr>
    <w:rPr>
      <w:rFonts w:ascii="Arial" w:hAnsi="Arial"/>
      <w:b/>
      <w:iCs/>
      <w:sz w:val="20"/>
      <w:szCs w:val="20"/>
    </w:rPr>
  </w:style>
  <w:style w:type="paragraph" w:styleId="TOC4">
    <w:name w:val="toc 4"/>
    <w:basedOn w:val="Normal"/>
    <w:next w:val="Normal"/>
    <w:autoRedefine/>
    <w:uiPriority w:val="39"/>
    <w:unhideWhenUsed/>
    <w:rsid w:val="00DB4E0A"/>
    <w:pPr>
      <w:ind w:left="720"/>
    </w:pPr>
    <w:rPr>
      <w:rFonts w:ascii="Arial" w:hAnsi="Arial"/>
      <w:b/>
      <w:sz w:val="20"/>
      <w:szCs w:val="18"/>
    </w:rPr>
  </w:style>
  <w:style w:type="paragraph" w:styleId="TOC5">
    <w:name w:val="toc 5"/>
    <w:basedOn w:val="Normal"/>
    <w:next w:val="Normal"/>
    <w:autoRedefine/>
    <w:uiPriority w:val="39"/>
    <w:unhideWhenUsed/>
    <w:rsid w:val="00DB4E0A"/>
    <w:pPr>
      <w:ind w:left="958"/>
    </w:pPr>
    <w:rPr>
      <w:rFonts w:ascii="Arial" w:hAnsi="Arial"/>
      <w:b/>
      <w:sz w:val="20"/>
      <w:szCs w:val="18"/>
    </w:rPr>
  </w:style>
  <w:style w:type="paragraph" w:styleId="TOC6">
    <w:name w:val="toc 6"/>
    <w:basedOn w:val="Normal"/>
    <w:next w:val="Normal"/>
    <w:autoRedefine/>
    <w:uiPriority w:val="39"/>
    <w:unhideWhenUsed/>
    <w:rsid w:val="00DB4E0A"/>
    <w:pPr>
      <w:ind w:left="1196"/>
    </w:pPr>
    <w:rPr>
      <w:rFonts w:ascii="Arial" w:hAnsi="Arial"/>
      <w:b/>
      <w:sz w:val="20"/>
      <w:szCs w:val="18"/>
    </w:rPr>
  </w:style>
  <w:style w:type="paragraph" w:styleId="TOC7">
    <w:name w:val="toc 7"/>
    <w:basedOn w:val="Normal"/>
    <w:next w:val="Normal"/>
    <w:autoRedefine/>
    <w:uiPriority w:val="39"/>
    <w:unhideWhenUsed/>
    <w:rsid w:val="00DB4E0A"/>
    <w:pPr>
      <w:jc w:val="left"/>
    </w:pPr>
    <w:rPr>
      <w:rFonts w:ascii="Arial" w:hAnsi="Arial"/>
      <w:b/>
      <w:sz w:val="20"/>
      <w:szCs w:val="18"/>
    </w:rPr>
  </w:style>
  <w:style w:type="paragraph" w:styleId="TOC8">
    <w:name w:val="toc 8"/>
    <w:basedOn w:val="Normal"/>
    <w:next w:val="Normal"/>
    <w:autoRedefine/>
    <w:uiPriority w:val="39"/>
    <w:unhideWhenUsed/>
    <w:rsid w:val="002145CB"/>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2145CB"/>
    <w:pPr>
      <w:spacing w:before="0" w:after="0"/>
      <w:ind w:left="1920"/>
      <w:jc w:val="left"/>
    </w:pPr>
    <w:rPr>
      <w:rFonts w:asciiTheme="minorHAnsi" w:hAnsiTheme="minorHAnsi"/>
      <w:sz w:val="18"/>
      <w:szCs w:val="18"/>
    </w:rPr>
  </w:style>
  <w:style w:type="paragraph" w:styleId="TableofFigures">
    <w:name w:val="table of figures"/>
    <w:basedOn w:val="Normal"/>
    <w:next w:val="Normal"/>
    <w:uiPriority w:val="99"/>
    <w:unhideWhenUsed/>
    <w:rsid w:val="00F662D0"/>
    <w:pPr>
      <w:spacing w:after="0"/>
    </w:pPr>
  </w:style>
  <w:style w:type="paragraph" w:styleId="Title">
    <w:name w:val="Title"/>
    <w:basedOn w:val="Normal"/>
    <w:next w:val="Normal"/>
    <w:link w:val="TitleChar"/>
    <w:uiPriority w:val="10"/>
    <w:qFormat/>
    <w:rsid w:val="00DC0E21"/>
    <w:pPr>
      <w:spacing w:before="0" w:after="0"/>
    </w:pPr>
    <w:rPr>
      <w:rFonts w:ascii="Arial" w:eastAsiaTheme="majorEastAsia" w:hAnsi="Arial" w:cstheme="majorBidi"/>
      <w:b/>
      <w:spacing w:val="-10"/>
      <w:kern w:val="28"/>
      <w:szCs w:val="56"/>
    </w:rPr>
  </w:style>
  <w:style w:type="character" w:customStyle="1" w:styleId="TitleChar">
    <w:name w:val="Title Char"/>
    <w:basedOn w:val="DefaultParagraphFont"/>
    <w:link w:val="Title"/>
    <w:uiPriority w:val="10"/>
    <w:rsid w:val="00DC0E21"/>
    <w:rPr>
      <w:rFonts w:ascii="Arial" w:eastAsiaTheme="majorEastAsia" w:hAnsi="Arial" w:cstheme="majorBidi"/>
      <w:b/>
      <w:spacing w:val="-10"/>
      <w:kern w:val="28"/>
      <w:szCs w:val="56"/>
      <w:lang w:eastAsia="en-GB"/>
    </w:rPr>
  </w:style>
  <w:style w:type="character" w:styleId="PageNumber">
    <w:name w:val="page number"/>
    <w:basedOn w:val="DefaultParagraphFont"/>
    <w:uiPriority w:val="99"/>
    <w:semiHidden/>
    <w:unhideWhenUsed/>
    <w:rsid w:val="004B432C"/>
  </w:style>
  <w:style w:type="character" w:styleId="SubtleReference">
    <w:name w:val="Subtle Reference"/>
    <w:basedOn w:val="DefaultParagraphFont"/>
    <w:uiPriority w:val="31"/>
    <w:qFormat/>
    <w:rsid w:val="0003012C"/>
    <w:rPr>
      <w:smallCaps/>
      <w:color w:val="5A5A5A" w:themeColor="text1" w:themeTint="A5"/>
    </w:rPr>
  </w:style>
  <w:style w:type="paragraph" w:styleId="Subtitle">
    <w:name w:val="Subtitle"/>
    <w:basedOn w:val="Normal"/>
    <w:next w:val="Normal"/>
    <w:link w:val="SubtitleChar"/>
    <w:uiPriority w:val="11"/>
    <w:qFormat/>
    <w:rsid w:val="0003012C"/>
    <w:pPr>
      <w:numPr>
        <w:ilvl w:val="1"/>
      </w:numPr>
      <w:spacing w:before="0" w:line="240" w:lineRule="auto"/>
    </w:pPr>
    <w:rPr>
      <w:rFonts w:ascii="Arial" w:eastAsiaTheme="minorEastAsia" w:hAnsi="Arial" w:cstheme="minorBidi"/>
      <w:spacing w:val="15"/>
      <w:sz w:val="48"/>
      <w:szCs w:val="22"/>
    </w:rPr>
  </w:style>
  <w:style w:type="character" w:customStyle="1" w:styleId="SubtitleChar">
    <w:name w:val="Subtitle Char"/>
    <w:basedOn w:val="DefaultParagraphFont"/>
    <w:link w:val="Subtitle"/>
    <w:uiPriority w:val="11"/>
    <w:rsid w:val="0003012C"/>
    <w:rPr>
      <w:rFonts w:ascii="Arial" w:eastAsiaTheme="minorEastAsia" w:hAnsi="Arial"/>
      <w:spacing w:val="15"/>
      <w:sz w:val="48"/>
      <w:szCs w:val="22"/>
      <w:lang w:eastAsia="en-GB"/>
    </w:rPr>
  </w:style>
  <w:style w:type="character" w:styleId="FollowedHyperlink">
    <w:name w:val="FollowedHyperlink"/>
    <w:basedOn w:val="DefaultParagraphFont"/>
    <w:uiPriority w:val="99"/>
    <w:semiHidden/>
    <w:unhideWhenUsed/>
    <w:rsid w:val="00CA75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8772">
      <w:bodyDiv w:val="1"/>
      <w:marLeft w:val="0"/>
      <w:marRight w:val="0"/>
      <w:marTop w:val="0"/>
      <w:marBottom w:val="0"/>
      <w:divBdr>
        <w:top w:val="none" w:sz="0" w:space="0" w:color="auto"/>
        <w:left w:val="none" w:sz="0" w:space="0" w:color="auto"/>
        <w:bottom w:val="none" w:sz="0" w:space="0" w:color="auto"/>
        <w:right w:val="none" w:sz="0" w:space="0" w:color="auto"/>
      </w:divBdr>
    </w:div>
    <w:div w:id="39330029">
      <w:bodyDiv w:val="1"/>
      <w:marLeft w:val="0"/>
      <w:marRight w:val="0"/>
      <w:marTop w:val="0"/>
      <w:marBottom w:val="0"/>
      <w:divBdr>
        <w:top w:val="none" w:sz="0" w:space="0" w:color="auto"/>
        <w:left w:val="none" w:sz="0" w:space="0" w:color="auto"/>
        <w:bottom w:val="none" w:sz="0" w:space="0" w:color="auto"/>
        <w:right w:val="none" w:sz="0" w:space="0" w:color="auto"/>
      </w:divBdr>
      <w:divsChild>
        <w:div w:id="1678533802">
          <w:marLeft w:val="0"/>
          <w:marRight w:val="0"/>
          <w:marTop w:val="0"/>
          <w:marBottom w:val="0"/>
          <w:divBdr>
            <w:top w:val="none" w:sz="0" w:space="0" w:color="auto"/>
            <w:left w:val="none" w:sz="0" w:space="0" w:color="auto"/>
            <w:bottom w:val="none" w:sz="0" w:space="0" w:color="auto"/>
            <w:right w:val="none" w:sz="0" w:space="0" w:color="auto"/>
          </w:divBdr>
          <w:divsChild>
            <w:div w:id="1926065222">
              <w:marLeft w:val="0"/>
              <w:marRight w:val="0"/>
              <w:marTop w:val="0"/>
              <w:marBottom w:val="0"/>
              <w:divBdr>
                <w:top w:val="none" w:sz="0" w:space="0" w:color="auto"/>
                <w:left w:val="none" w:sz="0" w:space="0" w:color="auto"/>
                <w:bottom w:val="none" w:sz="0" w:space="0" w:color="auto"/>
                <w:right w:val="none" w:sz="0" w:space="0" w:color="auto"/>
              </w:divBdr>
              <w:divsChild>
                <w:div w:id="21155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2195">
      <w:bodyDiv w:val="1"/>
      <w:marLeft w:val="0"/>
      <w:marRight w:val="0"/>
      <w:marTop w:val="0"/>
      <w:marBottom w:val="0"/>
      <w:divBdr>
        <w:top w:val="none" w:sz="0" w:space="0" w:color="auto"/>
        <w:left w:val="none" w:sz="0" w:space="0" w:color="auto"/>
        <w:bottom w:val="none" w:sz="0" w:space="0" w:color="auto"/>
        <w:right w:val="none" w:sz="0" w:space="0" w:color="auto"/>
      </w:divBdr>
      <w:divsChild>
        <w:div w:id="804390636">
          <w:marLeft w:val="0"/>
          <w:marRight w:val="0"/>
          <w:marTop w:val="0"/>
          <w:marBottom w:val="0"/>
          <w:divBdr>
            <w:top w:val="none" w:sz="0" w:space="0" w:color="auto"/>
            <w:left w:val="none" w:sz="0" w:space="0" w:color="auto"/>
            <w:bottom w:val="none" w:sz="0" w:space="0" w:color="auto"/>
            <w:right w:val="none" w:sz="0" w:space="0" w:color="auto"/>
          </w:divBdr>
          <w:divsChild>
            <w:div w:id="323316494">
              <w:marLeft w:val="0"/>
              <w:marRight w:val="0"/>
              <w:marTop w:val="0"/>
              <w:marBottom w:val="0"/>
              <w:divBdr>
                <w:top w:val="none" w:sz="0" w:space="0" w:color="auto"/>
                <w:left w:val="none" w:sz="0" w:space="0" w:color="auto"/>
                <w:bottom w:val="none" w:sz="0" w:space="0" w:color="auto"/>
                <w:right w:val="none" w:sz="0" w:space="0" w:color="auto"/>
              </w:divBdr>
              <w:divsChild>
                <w:div w:id="175539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0564">
      <w:bodyDiv w:val="1"/>
      <w:marLeft w:val="0"/>
      <w:marRight w:val="0"/>
      <w:marTop w:val="0"/>
      <w:marBottom w:val="0"/>
      <w:divBdr>
        <w:top w:val="none" w:sz="0" w:space="0" w:color="auto"/>
        <w:left w:val="none" w:sz="0" w:space="0" w:color="auto"/>
        <w:bottom w:val="none" w:sz="0" w:space="0" w:color="auto"/>
        <w:right w:val="none" w:sz="0" w:space="0" w:color="auto"/>
      </w:divBdr>
      <w:divsChild>
        <w:div w:id="1197549094">
          <w:marLeft w:val="0"/>
          <w:marRight w:val="0"/>
          <w:marTop w:val="0"/>
          <w:marBottom w:val="0"/>
          <w:divBdr>
            <w:top w:val="none" w:sz="0" w:space="0" w:color="auto"/>
            <w:left w:val="none" w:sz="0" w:space="0" w:color="auto"/>
            <w:bottom w:val="none" w:sz="0" w:space="0" w:color="auto"/>
            <w:right w:val="none" w:sz="0" w:space="0" w:color="auto"/>
          </w:divBdr>
          <w:divsChild>
            <w:div w:id="1939950122">
              <w:marLeft w:val="0"/>
              <w:marRight w:val="0"/>
              <w:marTop w:val="0"/>
              <w:marBottom w:val="0"/>
              <w:divBdr>
                <w:top w:val="none" w:sz="0" w:space="0" w:color="auto"/>
                <w:left w:val="none" w:sz="0" w:space="0" w:color="auto"/>
                <w:bottom w:val="none" w:sz="0" w:space="0" w:color="auto"/>
                <w:right w:val="none" w:sz="0" w:space="0" w:color="auto"/>
              </w:divBdr>
              <w:divsChild>
                <w:div w:id="1253589326">
                  <w:marLeft w:val="0"/>
                  <w:marRight w:val="0"/>
                  <w:marTop w:val="0"/>
                  <w:marBottom w:val="0"/>
                  <w:divBdr>
                    <w:top w:val="none" w:sz="0" w:space="0" w:color="auto"/>
                    <w:left w:val="none" w:sz="0" w:space="0" w:color="auto"/>
                    <w:bottom w:val="none" w:sz="0" w:space="0" w:color="auto"/>
                    <w:right w:val="none" w:sz="0" w:space="0" w:color="auto"/>
                  </w:divBdr>
                  <w:divsChild>
                    <w:div w:id="21001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3891">
      <w:bodyDiv w:val="1"/>
      <w:marLeft w:val="0"/>
      <w:marRight w:val="0"/>
      <w:marTop w:val="0"/>
      <w:marBottom w:val="0"/>
      <w:divBdr>
        <w:top w:val="none" w:sz="0" w:space="0" w:color="auto"/>
        <w:left w:val="none" w:sz="0" w:space="0" w:color="auto"/>
        <w:bottom w:val="none" w:sz="0" w:space="0" w:color="auto"/>
        <w:right w:val="none" w:sz="0" w:space="0" w:color="auto"/>
      </w:divBdr>
    </w:div>
    <w:div w:id="101455917">
      <w:bodyDiv w:val="1"/>
      <w:marLeft w:val="0"/>
      <w:marRight w:val="0"/>
      <w:marTop w:val="0"/>
      <w:marBottom w:val="0"/>
      <w:divBdr>
        <w:top w:val="none" w:sz="0" w:space="0" w:color="auto"/>
        <w:left w:val="none" w:sz="0" w:space="0" w:color="auto"/>
        <w:bottom w:val="none" w:sz="0" w:space="0" w:color="auto"/>
        <w:right w:val="none" w:sz="0" w:space="0" w:color="auto"/>
      </w:divBdr>
    </w:div>
    <w:div w:id="103156950">
      <w:bodyDiv w:val="1"/>
      <w:marLeft w:val="0"/>
      <w:marRight w:val="0"/>
      <w:marTop w:val="0"/>
      <w:marBottom w:val="0"/>
      <w:divBdr>
        <w:top w:val="none" w:sz="0" w:space="0" w:color="auto"/>
        <w:left w:val="none" w:sz="0" w:space="0" w:color="auto"/>
        <w:bottom w:val="none" w:sz="0" w:space="0" w:color="auto"/>
        <w:right w:val="none" w:sz="0" w:space="0" w:color="auto"/>
      </w:divBdr>
      <w:divsChild>
        <w:div w:id="1362123546">
          <w:marLeft w:val="0"/>
          <w:marRight w:val="0"/>
          <w:marTop w:val="0"/>
          <w:marBottom w:val="0"/>
          <w:divBdr>
            <w:top w:val="none" w:sz="0" w:space="0" w:color="auto"/>
            <w:left w:val="none" w:sz="0" w:space="0" w:color="auto"/>
            <w:bottom w:val="none" w:sz="0" w:space="0" w:color="auto"/>
            <w:right w:val="none" w:sz="0" w:space="0" w:color="auto"/>
          </w:divBdr>
          <w:divsChild>
            <w:div w:id="547182303">
              <w:marLeft w:val="0"/>
              <w:marRight w:val="0"/>
              <w:marTop w:val="0"/>
              <w:marBottom w:val="0"/>
              <w:divBdr>
                <w:top w:val="none" w:sz="0" w:space="0" w:color="auto"/>
                <w:left w:val="none" w:sz="0" w:space="0" w:color="auto"/>
                <w:bottom w:val="none" w:sz="0" w:space="0" w:color="auto"/>
                <w:right w:val="none" w:sz="0" w:space="0" w:color="auto"/>
              </w:divBdr>
              <w:divsChild>
                <w:div w:id="1280717826">
                  <w:marLeft w:val="0"/>
                  <w:marRight w:val="0"/>
                  <w:marTop w:val="0"/>
                  <w:marBottom w:val="0"/>
                  <w:divBdr>
                    <w:top w:val="none" w:sz="0" w:space="0" w:color="auto"/>
                    <w:left w:val="none" w:sz="0" w:space="0" w:color="auto"/>
                    <w:bottom w:val="none" w:sz="0" w:space="0" w:color="auto"/>
                    <w:right w:val="none" w:sz="0" w:space="0" w:color="auto"/>
                  </w:divBdr>
                  <w:divsChild>
                    <w:div w:id="869729867">
                      <w:marLeft w:val="0"/>
                      <w:marRight w:val="0"/>
                      <w:marTop w:val="0"/>
                      <w:marBottom w:val="0"/>
                      <w:divBdr>
                        <w:top w:val="none" w:sz="0" w:space="0" w:color="auto"/>
                        <w:left w:val="none" w:sz="0" w:space="0" w:color="auto"/>
                        <w:bottom w:val="none" w:sz="0" w:space="0" w:color="auto"/>
                        <w:right w:val="none" w:sz="0" w:space="0" w:color="auto"/>
                      </w:divBdr>
                    </w:div>
                    <w:div w:id="1919095827">
                      <w:marLeft w:val="0"/>
                      <w:marRight w:val="0"/>
                      <w:marTop w:val="0"/>
                      <w:marBottom w:val="0"/>
                      <w:divBdr>
                        <w:top w:val="none" w:sz="0" w:space="0" w:color="auto"/>
                        <w:left w:val="none" w:sz="0" w:space="0" w:color="auto"/>
                        <w:bottom w:val="none" w:sz="0" w:space="0" w:color="auto"/>
                        <w:right w:val="none" w:sz="0" w:space="0" w:color="auto"/>
                      </w:divBdr>
                    </w:div>
                    <w:div w:id="983043191">
                      <w:marLeft w:val="0"/>
                      <w:marRight w:val="0"/>
                      <w:marTop w:val="0"/>
                      <w:marBottom w:val="0"/>
                      <w:divBdr>
                        <w:top w:val="none" w:sz="0" w:space="0" w:color="auto"/>
                        <w:left w:val="none" w:sz="0" w:space="0" w:color="auto"/>
                        <w:bottom w:val="none" w:sz="0" w:space="0" w:color="auto"/>
                        <w:right w:val="none" w:sz="0" w:space="0" w:color="auto"/>
                      </w:divBdr>
                    </w:div>
                  </w:divsChild>
                </w:div>
                <w:div w:id="291907678">
                  <w:marLeft w:val="0"/>
                  <w:marRight w:val="0"/>
                  <w:marTop w:val="0"/>
                  <w:marBottom w:val="0"/>
                  <w:divBdr>
                    <w:top w:val="none" w:sz="0" w:space="0" w:color="auto"/>
                    <w:left w:val="none" w:sz="0" w:space="0" w:color="auto"/>
                    <w:bottom w:val="none" w:sz="0" w:space="0" w:color="auto"/>
                    <w:right w:val="none" w:sz="0" w:space="0" w:color="auto"/>
                  </w:divBdr>
                  <w:divsChild>
                    <w:div w:id="14591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1785">
      <w:bodyDiv w:val="1"/>
      <w:marLeft w:val="0"/>
      <w:marRight w:val="0"/>
      <w:marTop w:val="0"/>
      <w:marBottom w:val="0"/>
      <w:divBdr>
        <w:top w:val="none" w:sz="0" w:space="0" w:color="auto"/>
        <w:left w:val="none" w:sz="0" w:space="0" w:color="auto"/>
        <w:bottom w:val="none" w:sz="0" w:space="0" w:color="auto"/>
        <w:right w:val="none" w:sz="0" w:space="0" w:color="auto"/>
      </w:divBdr>
      <w:divsChild>
        <w:div w:id="266666631">
          <w:marLeft w:val="0"/>
          <w:marRight w:val="0"/>
          <w:marTop w:val="0"/>
          <w:marBottom w:val="0"/>
          <w:divBdr>
            <w:top w:val="none" w:sz="0" w:space="0" w:color="auto"/>
            <w:left w:val="none" w:sz="0" w:space="0" w:color="auto"/>
            <w:bottom w:val="none" w:sz="0" w:space="0" w:color="auto"/>
            <w:right w:val="none" w:sz="0" w:space="0" w:color="auto"/>
          </w:divBdr>
          <w:divsChild>
            <w:div w:id="374308837">
              <w:marLeft w:val="0"/>
              <w:marRight w:val="0"/>
              <w:marTop w:val="0"/>
              <w:marBottom w:val="0"/>
              <w:divBdr>
                <w:top w:val="none" w:sz="0" w:space="0" w:color="auto"/>
                <w:left w:val="none" w:sz="0" w:space="0" w:color="auto"/>
                <w:bottom w:val="none" w:sz="0" w:space="0" w:color="auto"/>
                <w:right w:val="none" w:sz="0" w:space="0" w:color="auto"/>
              </w:divBdr>
              <w:divsChild>
                <w:div w:id="1614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0402">
      <w:bodyDiv w:val="1"/>
      <w:marLeft w:val="0"/>
      <w:marRight w:val="0"/>
      <w:marTop w:val="0"/>
      <w:marBottom w:val="0"/>
      <w:divBdr>
        <w:top w:val="none" w:sz="0" w:space="0" w:color="auto"/>
        <w:left w:val="none" w:sz="0" w:space="0" w:color="auto"/>
        <w:bottom w:val="none" w:sz="0" w:space="0" w:color="auto"/>
        <w:right w:val="none" w:sz="0" w:space="0" w:color="auto"/>
      </w:divBdr>
      <w:divsChild>
        <w:div w:id="1882936236">
          <w:marLeft w:val="0"/>
          <w:marRight w:val="0"/>
          <w:marTop w:val="0"/>
          <w:marBottom w:val="0"/>
          <w:divBdr>
            <w:top w:val="none" w:sz="0" w:space="0" w:color="auto"/>
            <w:left w:val="none" w:sz="0" w:space="0" w:color="auto"/>
            <w:bottom w:val="none" w:sz="0" w:space="0" w:color="auto"/>
            <w:right w:val="none" w:sz="0" w:space="0" w:color="auto"/>
          </w:divBdr>
          <w:divsChild>
            <w:div w:id="2032492567">
              <w:marLeft w:val="0"/>
              <w:marRight w:val="0"/>
              <w:marTop w:val="0"/>
              <w:marBottom w:val="0"/>
              <w:divBdr>
                <w:top w:val="none" w:sz="0" w:space="0" w:color="auto"/>
                <w:left w:val="none" w:sz="0" w:space="0" w:color="auto"/>
                <w:bottom w:val="none" w:sz="0" w:space="0" w:color="auto"/>
                <w:right w:val="none" w:sz="0" w:space="0" w:color="auto"/>
              </w:divBdr>
              <w:divsChild>
                <w:div w:id="13662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6444">
      <w:bodyDiv w:val="1"/>
      <w:marLeft w:val="0"/>
      <w:marRight w:val="0"/>
      <w:marTop w:val="0"/>
      <w:marBottom w:val="0"/>
      <w:divBdr>
        <w:top w:val="none" w:sz="0" w:space="0" w:color="auto"/>
        <w:left w:val="none" w:sz="0" w:space="0" w:color="auto"/>
        <w:bottom w:val="none" w:sz="0" w:space="0" w:color="auto"/>
        <w:right w:val="none" w:sz="0" w:space="0" w:color="auto"/>
      </w:divBdr>
      <w:divsChild>
        <w:div w:id="436021224">
          <w:marLeft w:val="0"/>
          <w:marRight w:val="0"/>
          <w:marTop w:val="0"/>
          <w:marBottom w:val="0"/>
          <w:divBdr>
            <w:top w:val="none" w:sz="0" w:space="0" w:color="auto"/>
            <w:left w:val="none" w:sz="0" w:space="0" w:color="auto"/>
            <w:bottom w:val="none" w:sz="0" w:space="0" w:color="auto"/>
            <w:right w:val="none" w:sz="0" w:space="0" w:color="auto"/>
          </w:divBdr>
          <w:divsChild>
            <w:div w:id="150602422">
              <w:marLeft w:val="0"/>
              <w:marRight w:val="0"/>
              <w:marTop w:val="0"/>
              <w:marBottom w:val="0"/>
              <w:divBdr>
                <w:top w:val="none" w:sz="0" w:space="0" w:color="auto"/>
                <w:left w:val="none" w:sz="0" w:space="0" w:color="auto"/>
                <w:bottom w:val="none" w:sz="0" w:space="0" w:color="auto"/>
                <w:right w:val="none" w:sz="0" w:space="0" w:color="auto"/>
              </w:divBdr>
              <w:divsChild>
                <w:div w:id="21285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55">
      <w:bodyDiv w:val="1"/>
      <w:marLeft w:val="0"/>
      <w:marRight w:val="0"/>
      <w:marTop w:val="0"/>
      <w:marBottom w:val="0"/>
      <w:divBdr>
        <w:top w:val="none" w:sz="0" w:space="0" w:color="auto"/>
        <w:left w:val="none" w:sz="0" w:space="0" w:color="auto"/>
        <w:bottom w:val="none" w:sz="0" w:space="0" w:color="auto"/>
        <w:right w:val="none" w:sz="0" w:space="0" w:color="auto"/>
      </w:divBdr>
      <w:divsChild>
        <w:div w:id="1852377526">
          <w:marLeft w:val="0"/>
          <w:marRight w:val="0"/>
          <w:marTop w:val="0"/>
          <w:marBottom w:val="0"/>
          <w:divBdr>
            <w:top w:val="none" w:sz="0" w:space="0" w:color="auto"/>
            <w:left w:val="none" w:sz="0" w:space="0" w:color="auto"/>
            <w:bottom w:val="none" w:sz="0" w:space="0" w:color="auto"/>
            <w:right w:val="none" w:sz="0" w:space="0" w:color="auto"/>
          </w:divBdr>
          <w:divsChild>
            <w:div w:id="1598752644">
              <w:marLeft w:val="0"/>
              <w:marRight w:val="0"/>
              <w:marTop w:val="0"/>
              <w:marBottom w:val="0"/>
              <w:divBdr>
                <w:top w:val="none" w:sz="0" w:space="0" w:color="auto"/>
                <w:left w:val="none" w:sz="0" w:space="0" w:color="auto"/>
                <w:bottom w:val="none" w:sz="0" w:space="0" w:color="auto"/>
                <w:right w:val="none" w:sz="0" w:space="0" w:color="auto"/>
              </w:divBdr>
              <w:divsChild>
                <w:div w:id="1581064136">
                  <w:marLeft w:val="0"/>
                  <w:marRight w:val="0"/>
                  <w:marTop w:val="0"/>
                  <w:marBottom w:val="0"/>
                  <w:divBdr>
                    <w:top w:val="none" w:sz="0" w:space="0" w:color="auto"/>
                    <w:left w:val="none" w:sz="0" w:space="0" w:color="auto"/>
                    <w:bottom w:val="none" w:sz="0" w:space="0" w:color="auto"/>
                    <w:right w:val="none" w:sz="0" w:space="0" w:color="auto"/>
                  </w:divBdr>
                  <w:divsChild>
                    <w:div w:id="7192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9447">
      <w:bodyDiv w:val="1"/>
      <w:marLeft w:val="0"/>
      <w:marRight w:val="0"/>
      <w:marTop w:val="0"/>
      <w:marBottom w:val="0"/>
      <w:divBdr>
        <w:top w:val="none" w:sz="0" w:space="0" w:color="auto"/>
        <w:left w:val="none" w:sz="0" w:space="0" w:color="auto"/>
        <w:bottom w:val="none" w:sz="0" w:space="0" w:color="auto"/>
        <w:right w:val="none" w:sz="0" w:space="0" w:color="auto"/>
      </w:divBdr>
    </w:div>
    <w:div w:id="171186483">
      <w:bodyDiv w:val="1"/>
      <w:marLeft w:val="0"/>
      <w:marRight w:val="0"/>
      <w:marTop w:val="0"/>
      <w:marBottom w:val="0"/>
      <w:divBdr>
        <w:top w:val="none" w:sz="0" w:space="0" w:color="auto"/>
        <w:left w:val="none" w:sz="0" w:space="0" w:color="auto"/>
        <w:bottom w:val="none" w:sz="0" w:space="0" w:color="auto"/>
        <w:right w:val="none" w:sz="0" w:space="0" w:color="auto"/>
      </w:divBdr>
    </w:div>
    <w:div w:id="177087878">
      <w:bodyDiv w:val="1"/>
      <w:marLeft w:val="0"/>
      <w:marRight w:val="0"/>
      <w:marTop w:val="0"/>
      <w:marBottom w:val="0"/>
      <w:divBdr>
        <w:top w:val="none" w:sz="0" w:space="0" w:color="auto"/>
        <w:left w:val="none" w:sz="0" w:space="0" w:color="auto"/>
        <w:bottom w:val="none" w:sz="0" w:space="0" w:color="auto"/>
        <w:right w:val="none" w:sz="0" w:space="0" w:color="auto"/>
      </w:divBdr>
    </w:div>
    <w:div w:id="179777119">
      <w:bodyDiv w:val="1"/>
      <w:marLeft w:val="0"/>
      <w:marRight w:val="0"/>
      <w:marTop w:val="0"/>
      <w:marBottom w:val="0"/>
      <w:divBdr>
        <w:top w:val="none" w:sz="0" w:space="0" w:color="auto"/>
        <w:left w:val="none" w:sz="0" w:space="0" w:color="auto"/>
        <w:bottom w:val="none" w:sz="0" w:space="0" w:color="auto"/>
        <w:right w:val="none" w:sz="0" w:space="0" w:color="auto"/>
      </w:divBdr>
    </w:div>
    <w:div w:id="179971195">
      <w:bodyDiv w:val="1"/>
      <w:marLeft w:val="0"/>
      <w:marRight w:val="0"/>
      <w:marTop w:val="0"/>
      <w:marBottom w:val="0"/>
      <w:divBdr>
        <w:top w:val="none" w:sz="0" w:space="0" w:color="auto"/>
        <w:left w:val="none" w:sz="0" w:space="0" w:color="auto"/>
        <w:bottom w:val="none" w:sz="0" w:space="0" w:color="auto"/>
        <w:right w:val="none" w:sz="0" w:space="0" w:color="auto"/>
      </w:divBdr>
      <w:divsChild>
        <w:div w:id="1495300445">
          <w:marLeft w:val="0"/>
          <w:marRight w:val="0"/>
          <w:marTop w:val="0"/>
          <w:marBottom w:val="0"/>
          <w:divBdr>
            <w:top w:val="none" w:sz="0" w:space="0" w:color="auto"/>
            <w:left w:val="none" w:sz="0" w:space="0" w:color="auto"/>
            <w:bottom w:val="none" w:sz="0" w:space="0" w:color="auto"/>
            <w:right w:val="none" w:sz="0" w:space="0" w:color="auto"/>
          </w:divBdr>
          <w:divsChild>
            <w:div w:id="1617524370">
              <w:marLeft w:val="0"/>
              <w:marRight w:val="0"/>
              <w:marTop w:val="0"/>
              <w:marBottom w:val="0"/>
              <w:divBdr>
                <w:top w:val="none" w:sz="0" w:space="0" w:color="auto"/>
                <w:left w:val="none" w:sz="0" w:space="0" w:color="auto"/>
                <w:bottom w:val="none" w:sz="0" w:space="0" w:color="auto"/>
                <w:right w:val="none" w:sz="0" w:space="0" w:color="auto"/>
              </w:divBdr>
              <w:divsChild>
                <w:div w:id="6715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3067">
      <w:bodyDiv w:val="1"/>
      <w:marLeft w:val="0"/>
      <w:marRight w:val="0"/>
      <w:marTop w:val="0"/>
      <w:marBottom w:val="0"/>
      <w:divBdr>
        <w:top w:val="none" w:sz="0" w:space="0" w:color="auto"/>
        <w:left w:val="none" w:sz="0" w:space="0" w:color="auto"/>
        <w:bottom w:val="none" w:sz="0" w:space="0" w:color="auto"/>
        <w:right w:val="none" w:sz="0" w:space="0" w:color="auto"/>
      </w:divBdr>
      <w:divsChild>
        <w:div w:id="1025181627">
          <w:marLeft w:val="0"/>
          <w:marRight w:val="0"/>
          <w:marTop w:val="0"/>
          <w:marBottom w:val="0"/>
          <w:divBdr>
            <w:top w:val="none" w:sz="0" w:space="0" w:color="auto"/>
            <w:left w:val="none" w:sz="0" w:space="0" w:color="auto"/>
            <w:bottom w:val="none" w:sz="0" w:space="0" w:color="auto"/>
            <w:right w:val="none" w:sz="0" w:space="0" w:color="auto"/>
          </w:divBdr>
          <w:divsChild>
            <w:div w:id="2036803465">
              <w:marLeft w:val="0"/>
              <w:marRight w:val="0"/>
              <w:marTop w:val="0"/>
              <w:marBottom w:val="0"/>
              <w:divBdr>
                <w:top w:val="none" w:sz="0" w:space="0" w:color="auto"/>
                <w:left w:val="none" w:sz="0" w:space="0" w:color="auto"/>
                <w:bottom w:val="none" w:sz="0" w:space="0" w:color="auto"/>
                <w:right w:val="none" w:sz="0" w:space="0" w:color="auto"/>
              </w:divBdr>
              <w:divsChild>
                <w:div w:id="906303219">
                  <w:marLeft w:val="0"/>
                  <w:marRight w:val="0"/>
                  <w:marTop w:val="0"/>
                  <w:marBottom w:val="0"/>
                  <w:divBdr>
                    <w:top w:val="none" w:sz="0" w:space="0" w:color="auto"/>
                    <w:left w:val="none" w:sz="0" w:space="0" w:color="auto"/>
                    <w:bottom w:val="none" w:sz="0" w:space="0" w:color="auto"/>
                    <w:right w:val="none" w:sz="0" w:space="0" w:color="auto"/>
                  </w:divBdr>
                  <w:divsChild>
                    <w:div w:id="5426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2504">
      <w:bodyDiv w:val="1"/>
      <w:marLeft w:val="0"/>
      <w:marRight w:val="0"/>
      <w:marTop w:val="0"/>
      <w:marBottom w:val="0"/>
      <w:divBdr>
        <w:top w:val="none" w:sz="0" w:space="0" w:color="auto"/>
        <w:left w:val="none" w:sz="0" w:space="0" w:color="auto"/>
        <w:bottom w:val="none" w:sz="0" w:space="0" w:color="auto"/>
        <w:right w:val="none" w:sz="0" w:space="0" w:color="auto"/>
      </w:divBdr>
      <w:divsChild>
        <w:div w:id="13313203">
          <w:marLeft w:val="0"/>
          <w:marRight w:val="0"/>
          <w:marTop w:val="0"/>
          <w:marBottom w:val="0"/>
          <w:divBdr>
            <w:top w:val="none" w:sz="0" w:space="0" w:color="auto"/>
            <w:left w:val="none" w:sz="0" w:space="0" w:color="auto"/>
            <w:bottom w:val="none" w:sz="0" w:space="0" w:color="auto"/>
            <w:right w:val="none" w:sz="0" w:space="0" w:color="auto"/>
          </w:divBdr>
          <w:divsChild>
            <w:div w:id="794057618">
              <w:marLeft w:val="0"/>
              <w:marRight w:val="0"/>
              <w:marTop w:val="0"/>
              <w:marBottom w:val="0"/>
              <w:divBdr>
                <w:top w:val="none" w:sz="0" w:space="0" w:color="auto"/>
                <w:left w:val="none" w:sz="0" w:space="0" w:color="auto"/>
                <w:bottom w:val="none" w:sz="0" w:space="0" w:color="auto"/>
                <w:right w:val="none" w:sz="0" w:space="0" w:color="auto"/>
              </w:divBdr>
              <w:divsChild>
                <w:div w:id="16313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6693">
      <w:bodyDiv w:val="1"/>
      <w:marLeft w:val="0"/>
      <w:marRight w:val="0"/>
      <w:marTop w:val="0"/>
      <w:marBottom w:val="0"/>
      <w:divBdr>
        <w:top w:val="none" w:sz="0" w:space="0" w:color="auto"/>
        <w:left w:val="none" w:sz="0" w:space="0" w:color="auto"/>
        <w:bottom w:val="none" w:sz="0" w:space="0" w:color="auto"/>
        <w:right w:val="none" w:sz="0" w:space="0" w:color="auto"/>
      </w:divBdr>
      <w:divsChild>
        <w:div w:id="859853323">
          <w:marLeft w:val="0"/>
          <w:marRight w:val="0"/>
          <w:marTop w:val="0"/>
          <w:marBottom w:val="0"/>
          <w:divBdr>
            <w:top w:val="none" w:sz="0" w:space="0" w:color="auto"/>
            <w:left w:val="none" w:sz="0" w:space="0" w:color="auto"/>
            <w:bottom w:val="none" w:sz="0" w:space="0" w:color="auto"/>
            <w:right w:val="none" w:sz="0" w:space="0" w:color="auto"/>
          </w:divBdr>
          <w:divsChild>
            <w:div w:id="1885872175">
              <w:marLeft w:val="0"/>
              <w:marRight w:val="0"/>
              <w:marTop w:val="0"/>
              <w:marBottom w:val="0"/>
              <w:divBdr>
                <w:top w:val="none" w:sz="0" w:space="0" w:color="auto"/>
                <w:left w:val="none" w:sz="0" w:space="0" w:color="auto"/>
                <w:bottom w:val="none" w:sz="0" w:space="0" w:color="auto"/>
                <w:right w:val="none" w:sz="0" w:space="0" w:color="auto"/>
              </w:divBdr>
              <w:divsChild>
                <w:div w:id="13977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1224">
      <w:bodyDiv w:val="1"/>
      <w:marLeft w:val="0"/>
      <w:marRight w:val="0"/>
      <w:marTop w:val="0"/>
      <w:marBottom w:val="0"/>
      <w:divBdr>
        <w:top w:val="none" w:sz="0" w:space="0" w:color="auto"/>
        <w:left w:val="none" w:sz="0" w:space="0" w:color="auto"/>
        <w:bottom w:val="none" w:sz="0" w:space="0" w:color="auto"/>
        <w:right w:val="none" w:sz="0" w:space="0" w:color="auto"/>
      </w:divBdr>
      <w:divsChild>
        <w:div w:id="316957373">
          <w:marLeft w:val="0"/>
          <w:marRight w:val="0"/>
          <w:marTop w:val="0"/>
          <w:marBottom w:val="0"/>
          <w:divBdr>
            <w:top w:val="none" w:sz="0" w:space="0" w:color="auto"/>
            <w:left w:val="none" w:sz="0" w:space="0" w:color="auto"/>
            <w:bottom w:val="none" w:sz="0" w:space="0" w:color="auto"/>
            <w:right w:val="none" w:sz="0" w:space="0" w:color="auto"/>
          </w:divBdr>
          <w:divsChild>
            <w:div w:id="2115906430">
              <w:marLeft w:val="0"/>
              <w:marRight w:val="0"/>
              <w:marTop w:val="0"/>
              <w:marBottom w:val="0"/>
              <w:divBdr>
                <w:top w:val="none" w:sz="0" w:space="0" w:color="auto"/>
                <w:left w:val="none" w:sz="0" w:space="0" w:color="auto"/>
                <w:bottom w:val="none" w:sz="0" w:space="0" w:color="auto"/>
                <w:right w:val="none" w:sz="0" w:space="0" w:color="auto"/>
              </w:divBdr>
              <w:divsChild>
                <w:div w:id="13197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4793">
      <w:bodyDiv w:val="1"/>
      <w:marLeft w:val="0"/>
      <w:marRight w:val="0"/>
      <w:marTop w:val="0"/>
      <w:marBottom w:val="0"/>
      <w:divBdr>
        <w:top w:val="none" w:sz="0" w:space="0" w:color="auto"/>
        <w:left w:val="none" w:sz="0" w:space="0" w:color="auto"/>
        <w:bottom w:val="none" w:sz="0" w:space="0" w:color="auto"/>
        <w:right w:val="none" w:sz="0" w:space="0" w:color="auto"/>
      </w:divBdr>
    </w:div>
    <w:div w:id="208538274">
      <w:bodyDiv w:val="1"/>
      <w:marLeft w:val="0"/>
      <w:marRight w:val="0"/>
      <w:marTop w:val="0"/>
      <w:marBottom w:val="0"/>
      <w:divBdr>
        <w:top w:val="none" w:sz="0" w:space="0" w:color="auto"/>
        <w:left w:val="none" w:sz="0" w:space="0" w:color="auto"/>
        <w:bottom w:val="none" w:sz="0" w:space="0" w:color="auto"/>
        <w:right w:val="none" w:sz="0" w:space="0" w:color="auto"/>
      </w:divBdr>
    </w:div>
    <w:div w:id="212037830">
      <w:bodyDiv w:val="1"/>
      <w:marLeft w:val="0"/>
      <w:marRight w:val="0"/>
      <w:marTop w:val="0"/>
      <w:marBottom w:val="0"/>
      <w:divBdr>
        <w:top w:val="none" w:sz="0" w:space="0" w:color="auto"/>
        <w:left w:val="none" w:sz="0" w:space="0" w:color="auto"/>
        <w:bottom w:val="none" w:sz="0" w:space="0" w:color="auto"/>
        <w:right w:val="none" w:sz="0" w:space="0" w:color="auto"/>
      </w:divBdr>
      <w:divsChild>
        <w:div w:id="562371149">
          <w:marLeft w:val="0"/>
          <w:marRight w:val="0"/>
          <w:marTop w:val="0"/>
          <w:marBottom w:val="0"/>
          <w:divBdr>
            <w:top w:val="none" w:sz="0" w:space="0" w:color="auto"/>
            <w:left w:val="none" w:sz="0" w:space="0" w:color="auto"/>
            <w:bottom w:val="none" w:sz="0" w:space="0" w:color="auto"/>
            <w:right w:val="none" w:sz="0" w:space="0" w:color="auto"/>
          </w:divBdr>
          <w:divsChild>
            <w:div w:id="764299954">
              <w:marLeft w:val="0"/>
              <w:marRight w:val="0"/>
              <w:marTop w:val="0"/>
              <w:marBottom w:val="0"/>
              <w:divBdr>
                <w:top w:val="none" w:sz="0" w:space="0" w:color="auto"/>
                <w:left w:val="none" w:sz="0" w:space="0" w:color="auto"/>
                <w:bottom w:val="none" w:sz="0" w:space="0" w:color="auto"/>
                <w:right w:val="none" w:sz="0" w:space="0" w:color="auto"/>
              </w:divBdr>
              <w:divsChild>
                <w:div w:id="17643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8378">
      <w:bodyDiv w:val="1"/>
      <w:marLeft w:val="0"/>
      <w:marRight w:val="0"/>
      <w:marTop w:val="0"/>
      <w:marBottom w:val="0"/>
      <w:divBdr>
        <w:top w:val="none" w:sz="0" w:space="0" w:color="auto"/>
        <w:left w:val="none" w:sz="0" w:space="0" w:color="auto"/>
        <w:bottom w:val="none" w:sz="0" w:space="0" w:color="auto"/>
        <w:right w:val="none" w:sz="0" w:space="0" w:color="auto"/>
      </w:divBdr>
      <w:divsChild>
        <w:div w:id="12540447">
          <w:marLeft w:val="0"/>
          <w:marRight w:val="0"/>
          <w:marTop w:val="0"/>
          <w:marBottom w:val="0"/>
          <w:divBdr>
            <w:top w:val="none" w:sz="0" w:space="0" w:color="auto"/>
            <w:left w:val="none" w:sz="0" w:space="0" w:color="auto"/>
            <w:bottom w:val="none" w:sz="0" w:space="0" w:color="auto"/>
            <w:right w:val="none" w:sz="0" w:space="0" w:color="auto"/>
          </w:divBdr>
          <w:divsChild>
            <w:div w:id="1959675832">
              <w:marLeft w:val="0"/>
              <w:marRight w:val="0"/>
              <w:marTop w:val="0"/>
              <w:marBottom w:val="0"/>
              <w:divBdr>
                <w:top w:val="none" w:sz="0" w:space="0" w:color="auto"/>
                <w:left w:val="none" w:sz="0" w:space="0" w:color="auto"/>
                <w:bottom w:val="none" w:sz="0" w:space="0" w:color="auto"/>
                <w:right w:val="none" w:sz="0" w:space="0" w:color="auto"/>
              </w:divBdr>
              <w:divsChild>
                <w:div w:id="955064876">
                  <w:marLeft w:val="0"/>
                  <w:marRight w:val="0"/>
                  <w:marTop w:val="0"/>
                  <w:marBottom w:val="0"/>
                  <w:divBdr>
                    <w:top w:val="none" w:sz="0" w:space="0" w:color="auto"/>
                    <w:left w:val="none" w:sz="0" w:space="0" w:color="auto"/>
                    <w:bottom w:val="none" w:sz="0" w:space="0" w:color="auto"/>
                    <w:right w:val="none" w:sz="0" w:space="0" w:color="auto"/>
                  </w:divBdr>
                  <w:divsChild>
                    <w:div w:id="18729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09960">
      <w:bodyDiv w:val="1"/>
      <w:marLeft w:val="0"/>
      <w:marRight w:val="0"/>
      <w:marTop w:val="0"/>
      <w:marBottom w:val="0"/>
      <w:divBdr>
        <w:top w:val="none" w:sz="0" w:space="0" w:color="auto"/>
        <w:left w:val="none" w:sz="0" w:space="0" w:color="auto"/>
        <w:bottom w:val="none" w:sz="0" w:space="0" w:color="auto"/>
        <w:right w:val="none" w:sz="0" w:space="0" w:color="auto"/>
      </w:divBdr>
      <w:divsChild>
        <w:div w:id="1284267545">
          <w:marLeft w:val="0"/>
          <w:marRight w:val="0"/>
          <w:marTop w:val="0"/>
          <w:marBottom w:val="0"/>
          <w:divBdr>
            <w:top w:val="none" w:sz="0" w:space="0" w:color="auto"/>
            <w:left w:val="none" w:sz="0" w:space="0" w:color="auto"/>
            <w:bottom w:val="none" w:sz="0" w:space="0" w:color="auto"/>
            <w:right w:val="none" w:sz="0" w:space="0" w:color="auto"/>
          </w:divBdr>
          <w:divsChild>
            <w:div w:id="815413567">
              <w:marLeft w:val="0"/>
              <w:marRight w:val="0"/>
              <w:marTop w:val="0"/>
              <w:marBottom w:val="0"/>
              <w:divBdr>
                <w:top w:val="none" w:sz="0" w:space="0" w:color="auto"/>
                <w:left w:val="none" w:sz="0" w:space="0" w:color="auto"/>
                <w:bottom w:val="none" w:sz="0" w:space="0" w:color="auto"/>
                <w:right w:val="none" w:sz="0" w:space="0" w:color="auto"/>
              </w:divBdr>
              <w:divsChild>
                <w:div w:id="12829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1375">
      <w:bodyDiv w:val="1"/>
      <w:marLeft w:val="0"/>
      <w:marRight w:val="0"/>
      <w:marTop w:val="0"/>
      <w:marBottom w:val="0"/>
      <w:divBdr>
        <w:top w:val="none" w:sz="0" w:space="0" w:color="auto"/>
        <w:left w:val="none" w:sz="0" w:space="0" w:color="auto"/>
        <w:bottom w:val="none" w:sz="0" w:space="0" w:color="auto"/>
        <w:right w:val="none" w:sz="0" w:space="0" w:color="auto"/>
      </w:divBdr>
    </w:div>
    <w:div w:id="257518536">
      <w:bodyDiv w:val="1"/>
      <w:marLeft w:val="0"/>
      <w:marRight w:val="0"/>
      <w:marTop w:val="0"/>
      <w:marBottom w:val="0"/>
      <w:divBdr>
        <w:top w:val="none" w:sz="0" w:space="0" w:color="auto"/>
        <w:left w:val="none" w:sz="0" w:space="0" w:color="auto"/>
        <w:bottom w:val="none" w:sz="0" w:space="0" w:color="auto"/>
        <w:right w:val="none" w:sz="0" w:space="0" w:color="auto"/>
      </w:divBdr>
      <w:divsChild>
        <w:div w:id="1522671715">
          <w:marLeft w:val="0"/>
          <w:marRight w:val="0"/>
          <w:marTop w:val="0"/>
          <w:marBottom w:val="0"/>
          <w:divBdr>
            <w:top w:val="none" w:sz="0" w:space="0" w:color="auto"/>
            <w:left w:val="none" w:sz="0" w:space="0" w:color="auto"/>
            <w:bottom w:val="none" w:sz="0" w:space="0" w:color="auto"/>
            <w:right w:val="none" w:sz="0" w:space="0" w:color="auto"/>
          </w:divBdr>
          <w:divsChild>
            <w:div w:id="437649440">
              <w:marLeft w:val="0"/>
              <w:marRight w:val="0"/>
              <w:marTop w:val="0"/>
              <w:marBottom w:val="0"/>
              <w:divBdr>
                <w:top w:val="none" w:sz="0" w:space="0" w:color="auto"/>
                <w:left w:val="none" w:sz="0" w:space="0" w:color="auto"/>
                <w:bottom w:val="none" w:sz="0" w:space="0" w:color="auto"/>
                <w:right w:val="none" w:sz="0" w:space="0" w:color="auto"/>
              </w:divBdr>
              <w:divsChild>
                <w:div w:id="21288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92306">
      <w:bodyDiv w:val="1"/>
      <w:marLeft w:val="0"/>
      <w:marRight w:val="0"/>
      <w:marTop w:val="0"/>
      <w:marBottom w:val="0"/>
      <w:divBdr>
        <w:top w:val="none" w:sz="0" w:space="0" w:color="auto"/>
        <w:left w:val="none" w:sz="0" w:space="0" w:color="auto"/>
        <w:bottom w:val="none" w:sz="0" w:space="0" w:color="auto"/>
        <w:right w:val="none" w:sz="0" w:space="0" w:color="auto"/>
      </w:divBdr>
      <w:divsChild>
        <w:div w:id="455217677">
          <w:marLeft w:val="0"/>
          <w:marRight w:val="0"/>
          <w:marTop w:val="0"/>
          <w:marBottom w:val="0"/>
          <w:divBdr>
            <w:top w:val="none" w:sz="0" w:space="0" w:color="auto"/>
            <w:left w:val="none" w:sz="0" w:space="0" w:color="auto"/>
            <w:bottom w:val="none" w:sz="0" w:space="0" w:color="auto"/>
            <w:right w:val="none" w:sz="0" w:space="0" w:color="auto"/>
          </w:divBdr>
          <w:divsChild>
            <w:div w:id="1314135913">
              <w:marLeft w:val="0"/>
              <w:marRight w:val="0"/>
              <w:marTop w:val="0"/>
              <w:marBottom w:val="0"/>
              <w:divBdr>
                <w:top w:val="none" w:sz="0" w:space="0" w:color="auto"/>
                <w:left w:val="none" w:sz="0" w:space="0" w:color="auto"/>
                <w:bottom w:val="none" w:sz="0" w:space="0" w:color="auto"/>
                <w:right w:val="none" w:sz="0" w:space="0" w:color="auto"/>
              </w:divBdr>
              <w:divsChild>
                <w:div w:id="886837201">
                  <w:marLeft w:val="0"/>
                  <w:marRight w:val="0"/>
                  <w:marTop w:val="0"/>
                  <w:marBottom w:val="0"/>
                  <w:divBdr>
                    <w:top w:val="none" w:sz="0" w:space="0" w:color="auto"/>
                    <w:left w:val="none" w:sz="0" w:space="0" w:color="auto"/>
                    <w:bottom w:val="none" w:sz="0" w:space="0" w:color="auto"/>
                    <w:right w:val="none" w:sz="0" w:space="0" w:color="auto"/>
                  </w:divBdr>
                  <w:divsChild>
                    <w:div w:id="10153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670050">
      <w:bodyDiv w:val="1"/>
      <w:marLeft w:val="0"/>
      <w:marRight w:val="0"/>
      <w:marTop w:val="0"/>
      <w:marBottom w:val="0"/>
      <w:divBdr>
        <w:top w:val="none" w:sz="0" w:space="0" w:color="auto"/>
        <w:left w:val="none" w:sz="0" w:space="0" w:color="auto"/>
        <w:bottom w:val="none" w:sz="0" w:space="0" w:color="auto"/>
        <w:right w:val="none" w:sz="0" w:space="0" w:color="auto"/>
      </w:divBdr>
      <w:divsChild>
        <w:div w:id="515191872">
          <w:marLeft w:val="0"/>
          <w:marRight w:val="0"/>
          <w:marTop w:val="0"/>
          <w:marBottom w:val="0"/>
          <w:divBdr>
            <w:top w:val="none" w:sz="0" w:space="0" w:color="auto"/>
            <w:left w:val="none" w:sz="0" w:space="0" w:color="auto"/>
            <w:bottom w:val="none" w:sz="0" w:space="0" w:color="auto"/>
            <w:right w:val="none" w:sz="0" w:space="0" w:color="auto"/>
          </w:divBdr>
          <w:divsChild>
            <w:div w:id="1570923838">
              <w:marLeft w:val="0"/>
              <w:marRight w:val="0"/>
              <w:marTop w:val="0"/>
              <w:marBottom w:val="0"/>
              <w:divBdr>
                <w:top w:val="none" w:sz="0" w:space="0" w:color="auto"/>
                <w:left w:val="none" w:sz="0" w:space="0" w:color="auto"/>
                <w:bottom w:val="none" w:sz="0" w:space="0" w:color="auto"/>
                <w:right w:val="none" w:sz="0" w:space="0" w:color="auto"/>
              </w:divBdr>
              <w:divsChild>
                <w:div w:id="1479152867">
                  <w:marLeft w:val="0"/>
                  <w:marRight w:val="0"/>
                  <w:marTop w:val="0"/>
                  <w:marBottom w:val="0"/>
                  <w:divBdr>
                    <w:top w:val="none" w:sz="0" w:space="0" w:color="auto"/>
                    <w:left w:val="none" w:sz="0" w:space="0" w:color="auto"/>
                    <w:bottom w:val="none" w:sz="0" w:space="0" w:color="auto"/>
                    <w:right w:val="none" w:sz="0" w:space="0" w:color="auto"/>
                  </w:divBdr>
                  <w:divsChild>
                    <w:div w:id="10425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53305">
      <w:bodyDiv w:val="1"/>
      <w:marLeft w:val="0"/>
      <w:marRight w:val="0"/>
      <w:marTop w:val="0"/>
      <w:marBottom w:val="0"/>
      <w:divBdr>
        <w:top w:val="none" w:sz="0" w:space="0" w:color="auto"/>
        <w:left w:val="none" w:sz="0" w:space="0" w:color="auto"/>
        <w:bottom w:val="none" w:sz="0" w:space="0" w:color="auto"/>
        <w:right w:val="none" w:sz="0" w:space="0" w:color="auto"/>
      </w:divBdr>
      <w:divsChild>
        <w:div w:id="1838765059">
          <w:marLeft w:val="0"/>
          <w:marRight w:val="0"/>
          <w:marTop w:val="0"/>
          <w:marBottom w:val="0"/>
          <w:divBdr>
            <w:top w:val="none" w:sz="0" w:space="0" w:color="auto"/>
            <w:left w:val="none" w:sz="0" w:space="0" w:color="auto"/>
            <w:bottom w:val="none" w:sz="0" w:space="0" w:color="auto"/>
            <w:right w:val="none" w:sz="0" w:space="0" w:color="auto"/>
          </w:divBdr>
          <w:divsChild>
            <w:div w:id="877815878">
              <w:marLeft w:val="0"/>
              <w:marRight w:val="0"/>
              <w:marTop w:val="0"/>
              <w:marBottom w:val="0"/>
              <w:divBdr>
                <w:top w:val="none" w:sz="0" w:space="0" w:color="auto"/>
                <w:left w:val="none" w:sz="0" w:space="0" w:color="auto"/>
                <w:bottom w:val="none" w:sz="0" w:space="0" w:color="auto"/>
                <w:right w:val="none" w:sz="0" w:space="0" w:color="auto"/>
              </w:divBdr>
              <w:divsChild>
                <w:div w:id="162208114">
                  <w:marLeft w:val="0"/>
                  <w:marRight w:val="0"/>
                  <w:marTop w:val="0"/>
                  <w:marBottom w:val="0"/>
                  <w:divBdr>
                    <w:top w:val="none" w:sz="0" w:space="0" w:color="auto"/>
                    <w:left w:val="none" w:sz="0" w:space="0" w:color="auto"/>
                    <w:bottom w:val="none" w:sz="0" w:space="0" w:color="auto"/>
                    <w:right w:val="none" w:sz="0" w:space="0" w:color="auto"/>
                  </w:divBdr>
                  <w:divsChild>
                    <w:div w:id="1015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08065">
      <w:bodyDiv w:val="1"/>
      <w:marLeft w:val="0"/>
      <w:marRight w:val="0"/>
      <w:marTop w:val="0"/>
      <w:marBottom w:val="0"/>
      <w:divBdr>
        <w:top w:val="none" w:sz="0" w:space="0" w:color="auto"/>
        <w:left w:val="none" w:sz="0" w:space="0" w:color="auto"/>
        <w:bottom w:val="none" w:sz="0" w:space="0" w:color="auto"/>
        <w:right w:val="none" w:sz="0" w:space="0" w:color="auto"/>
      </w:divBdr>
      <w:divsChild>
        <w:div w:id="1640457767">
          <w:marLeft w:val="0"/>
          <w:marRight w:val="0"/>
          <w:marTop w:val="0"/>
          <w:marBottom w:val="0"/>
          <w:divBdr>
            <w:top w:val="none" w:sz="0" w:space="0" w:color="auto"/>
            <w:left w:val="none" w:sz="0" w:space="0" w:color="auto"/>
            <w:bottom w:val="none" w:sz="0" w:space="0" w:color="auto"/>
            <w:right w:val="none" w:sz="0" w:space="0" w:color="auto"/>
          </w:divBdr>
          <w:divsChild>
            <w:div w:id="250163506">
              <w:marLeft w:val="0"/>
              <w:marRight w:val="0"/>
              <w:marTop w:val="0"/>
              <w:marBottom w:val="0"/>
              <w:divBdr>
                <w:top w:val="none" w:sz="0" w:space="0" w:color="auto"/>
                <w:left w:val="none" w:sz="0" w:space="0" w:color="auto"/>
                <w:bottom w:val="none" w:sz="0" w:space="0" w:color="auto"/>
                <w:right w:val="none" w:sz="0" w:space="0" w:color="auto"/>
              </w:divBdr>
              <w:divsChild>
                <w:div w:id="19596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7391">
      <w:bodyDiv w:val="1"/>
      <w:marLeft w:val="0"/>
      <w:marRight w:val="0"/>
      <w:marTop w:val="0"/>
      <w:marBottom w:val="0"/>
      <w:divBdr>
        <w:top w:val="none" w:sz="0" w:space="0" w:color="auto"/>
        <w:left w:val="none" w:sz="0" w:space="0" w:color="auto"/>
        <w:bottom w:val="none" w:sz="0" w:space="0" w:color="auto"/>
        <w:right w:val="none" w:sz="0" w:space="0" w:color="auto"/>
      </w:divBdr>
      <w:divsChild>
        <w:div w:id="12919737">
          <w:marLeft w:val="0"/>
          <w:marRight w:val="0"/>
          <w:marTop w:val="0"/>
          <w:marBottom w:val="0"/>
          <w:divBdr>
            <w:top w:val="none" w:sz="0" w:space="0" w:color="auto"/>
            <w:left w:val="none" w:sz="0" w:space="0" w:color="auto"/>
            <w:bottom w:val="none" w:sz="0" w:space="0" w:color="auto"/>
            <w:right w:val="none" w:sz="0" w:space="0" w:color="auto"/>
          </w:divBdr>
          <w:divsChild>
            <w:div w:id="431556392">
              <w:marLeft w:val="0"/>
              <w:marRight w:val="0"/>
              <w:marTop w:val="0"/>
              <w:marBottom w:val="0"/>
              <w:divBdr>
                <w:top w:val="none" w:sz="0" w:space="0" w:color="auto"/>
                <w:left w:val="none" w:sz="0" w:space="0" w:color="auto"/>
                <w:bottom w:val="none" w:sz="0" w:space="0" w:color="auto"/>
                <w:right w:val="none" w:sz="0" w:space="0" w:color="auto"/>
              </w:divBdr>
              <w:divsChild>
                <w:div w:id="1802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43799">
      <w:bodyDiv w:val="1"/>
      <w:marLeft w:val="0"/>
      <w:marRight w:val="0"/>
      <w:marTop w:val="0"/>
      <w:marBottom w:val="0"/>
      <w:divBdr>
        <w:top w:val="none" w:sz="0" w:space="0" w:color="auto"/>
        <w:left w:val="none" w:sz="0" w:space="0" w:color="auto"/>
        <w:bottom w:val="none" w:sz="0" w:space="0" w:color="auto"/>
        <w:right w:val="none" w:sz="0" w:space="0" w:color="auto"/>
      </w:divBdr>
      <w:divsChild>
        <w:div w:id="304967498">
          <w:marLeft w:val="0"/>
          <w:marRight w:val="0"/>
          <w:marTop w:val="0"/>
          <w:marBottom w:val="0"/>
          <w:divBdr>
            <w:top w:val="none" w:sz="0" w:space="0" w:color="auto"/>
            <w:left w:val="none" w:sz="0" w:space="0" w:color="auto"/>
            <w:bottom w:val="none" w:sz="0" w:space="0" w:color="auto"/>
            <w:right w:val="none" w:sz="0" w:space="0" w:color="auto"/>
          </w:divBdr>
          <w:divsChild>
            <w:div w:id="1205171345">
              <w:marLeft w:val="0"/>
              <w:marRight w:val="0"/>
              <w:marTop w:val="0"/>
              <w:marBottom w:val="0"/>
              <w:divBdr>
                <w:top w:val="none" w:sz="0" w:space="0" w:color="auto"/>
                <w:left w:val="none" w:sz="0" w:space="0" w:color="auto"/>
                <w:bottom w:val="none" w:sz="0" w:space="0" w:color="auto"/>
                <w:right w:val="none" w:sz="0" w:space="0" w:color="auto"/>
              </w:divBdr>
              <w:divsChild>
                <w:div w:id="20271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7219">
      <w:bodyDiv w:val="1"/>
      <w:marLeft w:val="0"/>
      <w:marRight w:val="0"/>
      <w:marTop w:val="0"/>
      <w:marBottom w:val="0"/>
      <w:divBdr>
        <w:top w:val="none" w:sz="0" w:space="0" w:color="auto"/>
        <w:left w:val="none" w:sz="0" w:space="0" w:color="auto"/>
        <w:bottom w:val="none" w:sz="0" w:space="0" w:color="auto"/>
        <w:right w:val="none" w:sz="0" w:space="0" w:color="auto"/>
      </w:divBdr>
      <w:divsChild>
        <w:div w:id="794326502">
          <w:marLeft w:val="0"/>
          <w:marRight w:val="0"/>
          <w:marTop w:val="0"/>
          <w:marBottom w:val="0"/>
          <w:divBdr>
            <w:top w:val="none" w:sz="0" w:space="0" w:color="auto"/>
            <w:left w:val="none" w:sz="0" w:space="0" w:color="auto"/>
            <w:bottom w:val="none" w:sz="0" w:space="0" w:color="auto"/>
            <w:right w:val="none" w:sz="0" w:space="0" w:color="auto"/>
          </w:divBdr>
          <w:divsChild>
            <w:div w:id="1045102807">
              <w:marLeft w:val="0"/>
              <w:marRight w:val="0"/>
              <w:marTop w:val="0"/>
              <w:marBottom w:val="0"/>
              <w:divBdr>
                <w:top w:val="none" w:sz="0" w:space="0" w:color="auto"/>
                <w:left w:val="none" w:sz="0" w:space="0" w:color="auto"/>
                <w:bottom w:val="none" w:sz="0" w:space="0" w:color="auto"/>
                <w:right w:val="none" w:sz="0" w:space="0" w:color="auto"/>
              </w:divBdr>
              <w:divsChild>
                <w:div w:id="700395828">
                  <w:marLeft w:val="0"/>
                  <w:marRight w:val="0"/>
                  <w:marTop w:val="0"/>
                  <w:marBottom w:val="0"/>
                  <w:divBdr>
                    <w:top w:val="none" w:sz="0" w:space="0" w:color="auto"/>
                    <w:left w:val="none" w:sz="0" w:space="0" w:color="auto"/>
                    <w:bottom w:val="none" w:sz="0" w:space="0" w:color="auto"/>
                    <w:right w:val="none" w:sz="0" w:space="0" w:color="auto"/>
                  </w:divBdr>
                  <w:divsChild>
                    <w:div w:id="2628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75560">
      <w:bodyDiv w:val="1"/>
      <w:marLeft w:val="0"/>
      <w:marRight w:val="0"/>
      <w:marTop w:val="0"/>
      <w:marBottom w:val="0"/>
      <w:divBdr>
        <w:top w:val="none" w:sz="0" w:space="0" w:color="auto"/>
        <w:left w:val="none" w:sz="0" w:space="0" w:color="auto"/>
        <w:bottom w:val="none" w:sz="0" w:space="0" w:color="auto"/>
        <w:right w:val="none" w:sz="0" w:space="0" w:color="auto"/>
      </w:divBdr>
    </w:div>
    <w:div w:id="323053088">
      <w:bodyDiv w:val="1"/>
      <w:marLeft w:val="0"/>
      <w:marRight w:val="0"/>
      <w:marTop w:val="0"/>
      <w:marBottom w:val="0"/>
      <w:divBdr>
        <w:top w:val="none" w:sz="0" w:space="0" w:color="auto"/>
        <w:left w:val="none" w:sz="0" w:space="0" w:color="auto"/>
        <w:bottom w:val="none" w:sz="0" w:space="0" w:color="auto"/>
        <w:right w:val="none" w:sz="0" w:space="0" w:color="auto"/>
      </w:divBdr>
      <w:divsChild>
        <w:div w:id="481656658">
          <w:marLeft w:val="0"/>
          <w:marRight w:val="0"/>
          <w:marTop w:val="0"/>
          <w:marBottom w:val="0"/>
          <w:divBdr>
            <w:top w:val="none" w:sz="0" w:space="0" w:color="auto"/>
            <w:left w:val="none" w:sz="0" w:space="0" w:color="auto"/>
            <w:bottom w:val="none" w:sz="0" w:space="0" w:color="auto"/>
            <w:right w:val="none" w:sz="0" w:space="0" w:color="auto"/>
          </w:divBdr>
          <w:divsChild>
            <w:div w:id="782921720">
              <w:marLeft w:val="0"/>
              <w:marRight w:val="0"/>
              <w:marTop w:val="0"/>
              <w:marBottom w:val="0"/>
              <w:divBdr>
                <w:top w:val="none" w:sz="0" w:space="0" w:color="auto"/>
                <w:left w:val="none" w:sz="0" w:space="0" w:color="auto"/>
                <w:bottom w:val="none" w:sz="0" w:space="0" w:color="auto"/>
                <w:right w:val="none" w:sz="0" w:space="0" w:color="auto"/>
              </w:divBdr>
              <w:divsChild>
                <w:div w:id="18220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3549">
      <w:bodyDiv w:val="1"/>
      <w:marLeft w:val="0"/>
      <w:marRight w:val="0"/>
      <w:marTop w:val="0"/>
      <w:marBottom w:val="0"/>
      <w:divBdr>
        <w:top w:val="none" w:sz="0" w:space="0" w:color="auto"/>
        <w:left w:val="none" w:sz="0" w:space="0" w:color="auto"/>
        <w:bottom w:val="none" w:sz="0" w:space="0" w:color="auto"/>
        <w:right w:val="none" w:sz="0" w:space="0" w:color="auto"/>
      </w:divBdr>
    </w:div>
    <w:div w:id="362559108">
      <w:bodyDiv w:val="1"/>
      <w:marLeft w:val="0"/>
      <w:marRight w:val="0"/>
      <w:marTop w:val="0"/>
      <w:marBottom w:val="0"/>
      <w:divBdr>
        <w:top w:val="none" w:sz="0" w:space="0" w:color="auto"/>
        <w:left w:val="none" w:sz="0" w:space="0" w:color="auto"/>
        <w:bottom w:val="none" w:sz="0" w:space="0" w:color="auto"/>
        <w:right w:val="none" w:sz="0" w:space="0" w:color="auto"/>
      </w:divBdr>
      <w:divsChild>
        <w:div w:id="1508131875">
          <w:marLeft w:val="0"/>
          <w:marRight w:val="0"/>
          <w:marTop w:val="0"/>
          <w:marBottom w:val="0"/>
          <w:divBdr>
            <w:top w:val="none" w:sz="0" w:space="0" w:color="auto"/>
            <w:left w:val="none" w:sz="0" w:space="0" w:color="auto"/>
            <w:bottom w:val="none" w:sz="0" w:space="0" w:color="auto"/>
            <w:right w:val="none" w:sz="0" w:space="0" w:color="auto"/>
          </w:divBdr>
          <w:divsChild>
            <w:div w:id="1110781894">
              <w:marLeft w:val="0"/>
              <w:marRight w:val="0"/>
              <w:marTop w:val="0"/>
              <w:marBottom w:val="0"/>
              <w:divBdr>
                <w:top w:val="none" w:sz="0" w:space="0" w:color="auto"/>
                <w:left w:val="none" w:sz="0" w:space="0" w:color="auto"/>
                <w:bottom w:val="none" w:sz="0" w:space="0" w:color="auto"/>
                <w:right w:val="none" w:sz="0" w:space="0" w:color="auto"/>
              </w:divBdr>
              <w:divsChild>
                <w:div w:id="1010834199">
                  <w:marLeft w:val="0"/>
                  <w:marRight w:val="0"/>
                  <w:marTop w:val="0"/>
                  <w:marBottom w:val="0"/>
                  <w:divBdr>
                    <w:top w:val="none" w:sz="0" w:space="0" w:color="auto"/>
                    <w:left w:val="none" w:sz="0" w:space="0" w:color="auto"/>
                    <w:bottom w:val="none" w:sz="0" w:space="0" w:color="auto"/>
                    <w:right w:val="none" w:sz="0" w:space="0" w:color="auto"/>
                  </w:divBdr>
                  <w:divsChild>
                    <w:div w:id="526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7441">
      <w:bodyDiv w:val="1"/>
      <w:marLeft w:val="0"/>
      <w:marRight w:val="0"/>
      <w:marTop w:val="0"/>
      <w:marBottom w:val="0"/>
      <w:divBdr>
        <w:top w:val="none" w:sz="0" w:space="0" w:color="auto"/>
        <w:left w:val="none" w:sz="0" w:space="0" w:color="auto"/>
        <w:bottom w:val="none" w:sz="0" w:space="0" w:color="auto"/>
        <w:right w:val="none" w:sz="0" w:space="0" w:color="auto"/>
      </w:divBdr>
    </w:div>
    <w:div w:id="377710014">
      <w:bodyDiv w:val="1"/>
      <w:marLeft w:val="0"/>
      <w:marRight w:val="0"/>
      <w:marTop w:val="0"/>
      <w:marBottom w:val="0"/>
      <w:divBdr>
        <w:top w:val="none" w:sz="0" w:space="0" w:color="auto"/>
        <w:left w:val="none" w:sz="0" w:space="0" w:color="auto"/>
        <w:bottom w:val="none" w:sz="0" w:space="0" w:color="auto"/>
        <w:right w:val="none" w:sz="0" w:space="0" w:color="auto"/>
      </w:divBdr>
    </w:div>
    <w:div w:id="393621947">
      <w:bodyDiv w:val="1"/>
      <w:marLeft w:val="0"/>
      <w:marRight w:val="0"/>
      <w:marTop w:val="0"/>
      <w:marBottom w:val="0"/>
      <w:divBdr>
        <w:top w:val="none" w:sz="0" w:space="0" w:color="auto"/>
        <w:left w:val="none" w:sz="0" w:space="0" w:color="auto"/>
        <w:bottom w:val="none" w:sz="0" w:space="0" w:color="auto"/>
        <w:right w:val="none" w:sz="0" w:space="0" w:color="auto"/>
      </w:divBdr>
      <w:divsChild>
        <w:div w:id="1712487857">
          <w:marLeft w:val="0"/>
          <w:marRight w:val="0"/>
          <w:marTop w:val="0"/>
          <w:marBottom w:val="0"/>
          <w:divBdr>
            <w:top w:val="none" w:sz="0" w:space="0" w:color="auto"/>
            <w:left w:val="none" w:sz="0" w:space="0" w:color="auto"/>
            <w:bottom w:val="none" w:sz="0" w:space="0" w:color="auto"/>
            <w:right w:val="none" w:sz="0" w:space="0" w:color="auto"/>
          </w:divBdr>
          <w:divsChild>
            <w:div w:id="1760829091">
              <w:marLeft w:val="0"/>
              <w:marRight w:val="0"/>
              <w:marTop w:val="0"/>
              <w:marBottom w:val="0"/>
              <w:divBdr>
                <w:top w:val="none" w:sz="0" w:space="0" w:color="auto"/>
                <w:left w:val="none" w:sz="0" w:space="0" w:color="auto"/>
                <w:bottom w:val="none" w:sz="0" w:space="0" w:color="auto"/>
                <w:right w:val="none" w:sz="0" w:space="0" w:color="auto"/>
              </w:divBdr>
              <w:divsChild>
                <w:div w:id="1078360826">
                  <w:marLeft w:val="0"/>
                  <w:marRight w:val="0"/>
                  <w:marTop w:val="0"/>
                  <w:marBottom w:val="0"/>
                  <w:divBdr>
                    <w:top w:val="none" w:sz="0" w:space="0" w:color="auto"/>
                    <w:left w:val="none" w:sz="0" w:space="0" w:color="auto"/>
                    <w:bottom w:val="none" w:sz="0" w:space="0" w:color="auto"/>
                    <w:right w:val="none" w:sz="0" w:space="0" w:color="auto"/>
                  </w:divBdr>
                  <w:divsChild>
                    <w:div w:id="102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612">
      <w:bodyDiv w:val="1"/>
      <w:marLeft w:val="0"/>
      <w:marRight w:val="0"/>
      <w:marTop w:val="0"/>
      <w:marBottom w:val="0"/>
      <w:divBdr>
        <w:top w:val="none" w:sz="0" w:space="0" w:color="auto"/>
        <w:left w:val="none" w:sz="0" w:space="0" w:color="auto"/>
        <w:bottom w:val="none" w:sz="0" w:space="0" w:color="auto"/>
        <w:right w:val="none" w:sz="0" w:space="0" w:color="auto"/>
      </w:divBdr>
    </w:div>
    <w:div w:id="439759981">
      <w:bodyDiv w:val="1"/>
      <w:marLeft w:val="0"/>
      <w:marRight w:val="0"/>
      <w:marTop w:val="0"/>
      <w:marBottom w:val="0"/>
      <w:divBdr>
        <w:top w:val="none" w:sz="0" w:space="0" w:color="auto"/>
        <w:left w:val="none" w:sz="0" w:space="0" w:color="auto"/>
        <w:bottom w:val="none" w:sz="0" w:space="0" w:color="auto"/>
        <w:right w:val="none" w:sz="0" w:space="0" w:color="auto"/>
      </w:divBdr>
    </w:div>
    <w:div w:id="491290072">
      <w:bodyDiv w:val="1"/>
      <w:marLeft w:val="0"/>
      <w:marRight w:val="0"/>
      <w:marTop w:val="0"/>
      <w:marBottom w:val="0"/>
      <w:divBdr>
        <w:top w:val="none" w:sz="0" w:space="0" w:color="auto"/>
        <w:left w:val="none" w:sz="0" w:space="0" w:color="auto"/>
        <w:bottom w:val="none" w:sz="0" w:space="0" w:color="auto"/>
        <w:right w:val="none" w:sz="0" w:space="0" w:color="auto"/>
      </w:divBdr>
    </w:div>
    <w:div w:id="510223462">
      <w:bodyDiv w:val="1"/>
      <w:marLeft w:val="0"/>
      <w:marRight w:val="0"/>
      <w:marTop w:val="0"/>
      <w:marBottom w:val="0"/>
      <w:divBdr>
        <w:top w:val="none" w:sz="0" w:space="0" w:color="auto"/>
        <w:left w:val="none" w:sz="0" w:space="0" w:color="auto"/>
        <w:bottom w:val="none" w:sz="0" w:space="0" w:color="auto"/>
        <w:right w:val="none" w:sz="0" w:space="0" w:color="auto"/>
      </w:divBdr>
    </w:div>
    <w:div w:id="511262972">
      <w:bodyDiv w:val="1"/>
      <w:marLeft w:val="0"/>
      <w:marRight w:val="0"/>
      <w:marTop w:val="0"/>
      <w:marBottom w:val="0"/>
      <w:divBdr>
        <w:top w:val="none" w:sz="0" w:space="0" w:color="auto"/>
        <w:left w:val="none" w:sz="0" w:space="0" w:color="auto"/>
        <w:bottom w:val="none" w:sz="0" w:space="0" w:color="auto"/>
        <w:right w:val="none" w:sz="0" w:space="0" w:color="auto"/>
      </w:divBdr>
    </w:div>
    <w:div w:id="522674721">
      <w:bodyDiv w:val="1"/>
      <w:marLeft w:val="0"/>
      <w:marRight w:val="0"/>
      <w:marTop w:val="0"/>
      <w:marBottom w:val="0"/>
      <w:divBdr>
        <w:top w:val="none" w:sz="0" w:space="0" w:color="auto"/>
        <w:left w:val="none" w:sz="0" w:space="0" w:color="auto"/>
        <w:bottom w:val="none" w:sz="0" w:space="0" w:color="auto"/>
        <w:right w:val="none" w:sz="0" w:space="0" w:color="auto"/>
      </w:divBdr>
      <w:divsChild>
        <w:div w:id="751783375">
          <w:marLeft w:val="0"/>
          <w:marRight w:val="0"/>
          <w:marTop w:val="0"/>
          <w:marBottom w:val="0"/>
          <w:divBdr>
            <w:top w:val="none" w:sz="0" w:space="0" w:color="auto"/>
            <w:left w:val="none" w:sz="0" w:space="0" w:color="auto"/>
            <w:bottom w:val="none" w:sz="0" w:space="0" w:color="auto"/>
            <w:right w:val="none" w:sz="0" w:space="0" w:color="auto"/>
          </w:divBdr>
          <w:divsChild>
            <w:div w:id="946888768">
              <w:marLeft w:val="0"/>
              <w:marRight w:val="0"/>
              <w:marTop w:val="0"/>
              <w:marBottom w:val="0"/>
              <w:divBdr>
                <w:top w:val="none" w:sz="0" w:space="0" w:color="auto"/>
                <w:left w:val="none" w:sz="0" w:space="0" w:color="auto"/>
                <w:bottom w:val="none" w:sz="0" w:space="0" w:color="auto"/>
                <w:right w:val="none" w:sz="0" w:space="0" w:color="auto"/>
              </w:divBdr>
              <w:divsChild>
                <w:div w:id="1767575097">
                  <w:marLeft w:val="0"/>
                  <w:marRight w:val="0"/>
                  <w:marTop w:val="0"/>
                  <w:marBottom w:val="0"/>
                  <w:divBdr>
                    <w:top w:val="none" w:sz="0" w:space="0" w:color="auto"/>
                    <w:left w:val="none" w:sz="0" w:space="0" w:color="auto"/>
                    <w:bottom w:val="none" w:sz="0" w:space="0" w:color="auto"/>
                    <w:right w:val="none" w:sz="0" w:space="0" w:color="auto"/>
                  </w:divBdr>
                  <w:divsChild>
                    <w:div w:id="12419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692653922">
          <w:marLeft w:val="0"/>
          <w:marRight w:val="0"/>
          <w:marTop w:val="0"/>
          <w:marBottom w:val="0"/>
          <w:divBdr>
            <w:top w:val="none" w:sz="0" w:space="0" w:color="auto"/>
            <w:left w:val="none" w:sz="0" w:space="0" w:color="auto"/>
            <w:bottom w:val="none" w:sz="0" w:space="0" w:color="auto"/>
            <w:right w:val="none" w:sz="0" w:space="0" w:color="auto"/>
          </w:divBdr>
          <w:divsChild>
            <w:div w:id="1815369118">
              <w:marLeft w:val="0"/>
              <w:marRight w:val="0"/>
              <w:marTop w:val="0"/>
              <w:marBottom w:val="0"/>
              <w:divBdr>
                <w:top w:val="none" w:sz="0" w:space="0" w:color="auto"/>
                <w:left w:val="none" w:sz="0" w:space="0" w:color="auto"/>
                <w:bottom w:val="none" w:sz="0" w:space="0" w:color="auto"/>
                <w:right w:val="none" w:sz="0" w:space="0" w:color="auto"/>
              </w:divBdr>
              <w:divsChild>
                <w:div w:id="1257834539">
                  <w:marLeft w:val="0"/>
                  <w:marRight w:val="0"/>
                  <w:marTop w:val="0"/>
                  <w:marBottom w:val="0"/>
                  <w:divBdr>
                    <w:top w:val="none" w:sz="0" w:space="0" w:color="auto"/>
                    <w:left w:val="none" w:sz="0" w:space="0" w:color="auto"/>
                    <w:bottom w:val="none" w:sz="0" w:space="0" w:color="auto"/>
                    <w:right w:val="none" w:sz="0" w:space="0" w:color="auto"/>
                  </w:divBdr>
                  <w:divsChild>
                    <w:div w:id="398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76977">
      <w:bodyDiv w:val="1"/>
      <w:marLeft w:val="0"/>
      <w:marRight w:val="0"/>
      <w:marTop w:val="0"/>
      <w:marBottom w:val="0"/>
      <w:divBdr>
        <w:top w:val="none" w:sz="0" w:space="0" w:color="auto"/>
        <w:left w:val="none" w:sz="0" w:space="0" w:color="auto"/>
        <w:bottom w:val="none" w:sz="0" w:space="0" w:color="auto"/>
        <w:right w:val="none" w:sz="0" w:space="0" w:color="auto"/>
      </w:divBdr>
      <w:divsChild>
        <w:div w:id="1104886355">
          <w:marLeft w:val="0"/>
          <w:marRight w:val="0"/>
          <w:marTop w:val="0"/>
          <w:marBottom w:val="0"/>
          <w:divBdr>
            <w:top w:val="none" w:sz="0" w:space="0" w:color="auto"/>
            <w:left w:val="none" w:sz="0" w:space="0" w:color="auto"/>
            <w:bottom w:val="none" w:sz="0" w:space="0" w:color="auto"/>
            <w:right w:val="none" w:sz="0" w:space="0" w:color="auto"/>
          </w:divBdr>
          <w:divsChild>
            <w:div w:id="1520316354">
              <w:marLeft w:val="0"/>
              <w:marRight w:val="0"/>
              <w:marTop w:val="0"/>
              <w:marBottom w:val="0"/>
              <w:divBdr>
                <w:top w:val="none" w:sz="0" w:space="0" w:color="auto"/>
                <w:left w:val="none" w:sz="0" w:space="0" w:color="auto"/>
                <w:bottom w:val="none" w:sz="0" w:space="0" w:color="auto"/>
                <w:right w:val="none" w:sz="0" w:space="0" w:color="auto"/>
              </w:divBdr>
              <w:divsChild>
                <w:div w:id="1301107490">
                  <w:marLeft w:val="0"/>
                  <w:marRight w:val="0"/>
                  <w:marTop w:val="0"/>
                  <w:marBottom w:val="0"/>
                  <w:divBdr>
                    <w:top w:val="none" w:sz="0" w:space="0" w:color="auto"/>
                    <w:left w:val="none" w:sz="0" w:space="0" w:color="auto"/>
                    <w:bottom w:val="none" w:sz="0" w:space="0" w:color="auto"/>
                    <w:right w:val="none" w:sz="0" w:space="0" w:color="auto"/>
                  </w:divBdr>
                  <w:divsChild>
                    <w:div w:id="16522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91312">
      <w:bodyDiv w:val="1"/>
      <w:marLeft w:val="0"/>
      <w:marRight w:val="0"/>
      <w:marTop w:val="0"/>
      <w:marBottom w:val="0"/>
      <w:divBdr>
        <w:top w:val="none" w:sz="0" w:space="0" w:color="auto"/>
        <w:left w:val="none" w:sz="0" w:space="0" w:color="auto"/>
        <w:bottom w:val="none" w:sz="0" w:space="0" w:color="auto"/>
        <w:right w:val="none" w:sz="0" w:space="0" w:color="auto"/>
      </w:divBdr>
    </w:div>
    <w:div w:id="603345518">
      <w:bodyDiv w:val="1"/>
      <w:marLeft w:val="0"/>
      <w:marRight w:val="0"/>
      <w:marTop w:val="0"/>
      <w:marBottom w:val="0"/>
      <w:divBdr>
        <w:top w:val="none" w:sz="0" w:space="0" w:color="auto"/>
        <w:left w:val="none" w:sz="0" w:space="0" w:color="auto"/>
        <w:bottom w:val="none" w:sz="0" w:space="0" w:color="auto"/>
        <w:right w:val="none" w:sz="0" w:space="0" w:color="auto"/>
      </w:divBdr>
      <w:divsChild>
        <w:div w:id="1010066079">
          <w:marLeft w:val="0"/>
          <w:marRight w:val="0"/>
          <w:marTop w:val="0"/>
          <w:marBottom w:val="0"/>
          <w:divBdr>
            <w:top w:val="none" w:sz="0" w:space="0" w:color="auto"/>
            <w:left w:val="none" w:sz="0" w:space="0" w:color="auto"/>
            <w:bottom w:val="none" w:sz="0" w:space="0" w:color="auto"/>
            <w:right w:val="none" w:sz="0" w:space="0" w:color="auto"/>
          </w:divBdr>
          <w:divsChild>
            <w:div w:id="861551111">
              <w:marLeft w:val="0"/>
              <w:marRight w:val="0"/>
              <w:marTop w:val="0"/>
              <w:marBottom w:val="0"/>
              <w:divBdr>
                <w:top w:val="none" w:sz="0" w:space="0" w:color="auto"/>
                <w:left w:val="none" w:sz="0" w:space="0" w:color="auto"/>
                <w:bottom w:val="none" w:sz="0" w:space="0" w:color="auto"/>
                <w:right w:val="none" w:sz="0" w:space="0" w:color="auto"/>
              </w:divBdr>
              <w:divsChild>
                <w:div w:id="11079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4494">
      <w:bodyDiv w:val="1"/>
      <w:marLeft w:val="0"/>
      <w:marRight w:val="0"/>
      <w:marTop w:val="0"/>
      <w:marBottom w:val="0"/>
      <w:divBdr>
        <w:top w:val="none" w:sz="0" w:space="0" w:color="auto"/>
        <w:left w:val="none" w:sz="0" w:space="0" w:color="auto"/>
        <w:bottom w:val="none" w:sz="0" w:space="0" w:color="auto"/>
        <w:right w:val="none" w:sz="0" w:space="0" w:color="auto"/>
      </w:divBdr>
      <w:divsChild>
        <w:div w:id="1328316062">
          <w:marLeft w:val="0"/>
          <w:marRight w:val="0"/>
          <w:marTop w:val="0"/>
          <w:marBottom w:val="0"/>
          <w:divBdr>
            <w:top w:val="none" w:sz="0" w:space="0" w:color="auto"/>
            <w:left w:val="none" w:sz="0" w:space="0" w:color="auto"/>
            <w:bottom w:val="none" w:sz="0" w:space="0" w:color="auto"/>
            <w:right w:val="none" w:sz="0" w:space="0" w:color="auto"/>
          </w:divBdr>
          <w:divsChild>
            <w:div w:id="1604147161">
              <w:marLeft w:val="0"/>
              <w:marRight w:val="0"/>
              <w:marTop w:val="0"/>
              <w:marBottom w:val="0"/>
              <w:divBdr>
                <w:top w:val="none" w:sz="0" w:space="0" w:color="auto"/>
                <w:left w:val="none" w:sz="0" w:space="0" w:color="auto"/>
                <w:bottom w:val="none" w:sz="0" w:space="0" w:color="auto"/>
                <w:right w:val="none" w:sz="0" w:space="0" w:color="auto"/>
              </w:divBdr>
              <w:divsChild>
                <w:div w:id="177547379">
                  <w:marLeft w:val="0"/>
                  <w:marRight w:val="0"/>
                  <w:marTop w:val="0"/>
                  <w:marBottom w:val="0"/>
                  <w:divBdr>
                    <w:top w:val="none" w:sz="0" w:space="0" w:color="auto"/>
                    <w:left w:val="none" w:sz="0" w:space="0" w:color="auto"/>
                    <w:bottom w:val="none" w:sz="0" w:space="0" w:color="auto"/>
                    <w:right w:val="none" w:sz="0" w:space="0" w:color="auto"/>
                  </w:divBdr>
                  <w:divsChild>
                    <w:div w:id="9773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7454">
      <w:bodyDiv w:val="1"/>
      <w:marLeft w:val="0"/>
      <w:marRight w:val="0"/>
      <w:marTop w:val="0"/>
      <w:marBottom w:val="0"/>
      <w:divBdr>
        <w:top w:val="none" w:sz="0" w:space="0" w:color="auto"/>
        <w:left w:val="none" w:sz="0" w:space="0" w:color="auto"/>
        <w:bottom w:val="none" w:sz="0" w:space="0" w:color="auto"/>
        <w:right w:val="none" w:sz="0" w:space="0" w:color="auto"/>
      </w:divBdr>
    </w:div>
    <w:div w:id="652220499">
      <w:bodyDiv w:val="1"/>
      <w:marLeft w:val="0"/>
      <w:marRight w:val="0"/>
      <w:marTop w:val="0"/>
      <w:marBottom w:val="0"/>
      <w:divBdr>
        <w:top w:val="none" w:sz="0" w:space="0" w:color="auto"/>
        <w:left w:val="none" w:sz="0" w:space="0" w:color="auto"/>
        <w:bottom w:val="none" w:sz="0" w:space="0" w:color="auto"/>
        <w:right w:val="none" w:sz="0" w:space="0" w:color="auto"/>
      </w:divBdr>
      <w:divsChild>
        <w:div w:id="1780249">
          <w:marLeft w:val="0"/>
          <w:marRight w:val="0"/>
          <w:marTop w:val="0"/>
          <w:marBottom w:val="0"/>
          <w:divBdr>
            <w:top w:val="none" w:sz="0" w:space="0" w:color="auto"/>
            <w:left w:val="none" w:sz="0" w:space="0" w:color="auto"/>
            <w:bottom w:val="none" w:sz="0" w:space="0" w:color="auto"/>
            <w:right w:val="none" w:sz="0" w:space="0" w:color="auto"/>
          </w:divBdr>
          <w:divsChild>
            <w:div w:id="763720312">
              <w:marLeft w:val="0"/>
              <w:marRight w:val="0"/>
              <w:marTop w:val="0"/>
              <w:marBottom w:val="0"/>
              <w:divBdr>
                <w:top w:val="none" w:sz="0" w:space="0" w:color="auto"/>
                <w:left w:val="none" w:sz="0" w:space="0" w:color="auto"/>
                <w:bottom w:val="none" w:sz="0" w:space="0" w:color="auto"/>
                <w:right w:val="none" w:sz="0" w:space="0" w:color="auto"/>
              </w:divBdr>
              <w:divsChild>
                <w:div w:id="208540441">
                  <w:marLeft w:val="0"/>
                  <w:marRight w:val="0"/>
                  <w:marTop w:val="0"/>
                  <w:marBottom w:val="0"/>
                  <w:divBdr>
                    <w:top w:val="none" w:sz="0" w:space="0" w:color="auto"/>
                    <w:left w:val="none" w:sz="0" w:space="0" w:color="auto"/>
                    <w:bottom w:val="none" w:sz="0" w:space="0" w:color="auto"/>
                    <w:right w:val="none" w:sz="0" w:space="0" w:color="auto"/>
                  </w:divBdr>
                  <w:divsChild>
                    <w:div w:id="6009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436021">
      <w:bodyDiv w:val="1"/>
      <w:marLeft w:val="0"/>
      <w:marRight w:val="0"/>
      <w:marTop w:val="0"/>
      <w:marBottom w:val="0"/>
      <w:divBdr>
        <w:top w:val="none" w:sz="0" w:space="0" w:color="auto"/>
        <w:left w:val="none" w:sz="0" w:space="0" w:color="auto"/>
        <w:bottom w:val="none" w:sz="0" w:space="0" w:color="auto"/>
        <w:right w:val="none" w:sz="0" w:space="0" w:color="auto"/>
      </w:divBdr>
    </w:div>
    <w:div w:id="679939811">
      <w:bodyDiv w:val="1"/>
      <w:marLeft w:val="0"/>
      <w:marRight w:val="0"/>
      <w:marTop w:val="0"/>
      <w:marBottom w:val="0"/>
      <w:divBdr>
        <w:top w:val="none" w:sz="0" w:space="0" w:color="auto"/>
        <w:left w:val="none" w:sz="0" w:space="0" w:color="auto"/>
        <w:bottom w:val="none" w:sz="0" w:space="0" w:color="auto"/>
        <w:right w:val="none" w:sz="0" w:space="0" w:color="auto"/>
      </w:divBdr>
      <w:divsChild>
        <w:div w:id="489179362">
          <w:marLeft w:val="0"/>
          <w:marRight w:val="0"/>
          <w:marTop w:val="0"/>
          <w:marBottom w:val="0"/>
          <w:divBdr>
            <w:top w:val="none" w:sz="0" w:space="0" w:color="auto"/>
            <w:left w:val="none" w:sz="0" w:space="0" w:color="auto"/>
            <w:bottom w:val="none" w:sz="0" w:space="0" w:color="auto"/>
            <w:right w:val="none" w:sz="0" w:space="0" w:color="auto"/>
          </w:divBdr>
          <w:divsChild>
            <w:div w:id="1994068453">
              <w:marLeft w:val="0"/>
              <w:marRight w:val="0"/>
              <w:marTop w:val="0"/>
              <w:marBottom w:val="0"/>
              <w:divBdr>
                <w:top w:val="none" w:sz="0" w:space="0" w:color="auto"/>
                <w:left w:val="none" w:sz="0" w:space="0" w:color="auto"/>
                <w:bottom w:val="none" w:sz="0" w:space="0" w:color="auto"/>
                <w:right w:val="none" w:sz="0" w:space="0" w:color="auto"/>
              </w:divBdr>
              <w:divsChild>
                <w:div w:id="4180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349">
      <w:bodyDiv w:val="1"/>
      <w:marLeft w:val="0"/>
      <w:marRight w:val="0"/>
      <w:marTop w:val="0"/>
      <w:marBottom w:val="0"/>
      <w:divBdr>
        <w:top w:val="none" w:sz="0" w:space="0" w:color="auto"/>
        <w:left w:val="none" w:sz="0" w:space="0" w:color="auto"/>
        <w:bottom w:val="none" w:sz="0" w:space="0" w:color="auto"/>
        <w:right w:val="none" w:sz="0" w:space="0" w:color="auto"/>
      </w:divBdr>
    </w:div>
    <w:div w:id="687564146">
      <w:bodyDiv w:val="1"/>
      <w:marLeft w:val="0"/>
      <w:marRight w:val="0"/>
      <w:marTop w:val="0"/>
      <w:marBottom w:val="0"/>
      <w:divBdr>
        <w:top w:val="none" w:sz="0" w:space="0" w:color="auto"/>
        <w:left w:val="none" w:sz="0" w:space="0" w:color="auto"/>
        <w:bottom w:val="none" w:sz="0" w:space="0" w:color="auto"/>
        <w:right w:val="none" w:sz="0" w:space="0" w:color="auto"/>
      </w:divBdr>
    </w:div>
    <w:div w:id="688723804">
      <w:bodyDiv w:val="1"/>
      <w:marLeft w:val="0"/>
      <w:marRight w:val="0"/>
      <w:marTop w:val="0"/>
      <w:marBottom w:val="0"/>
      <w:divBdr>
        <w:top w:val="none" w:sz="0" w:space="0" w:color="auto"/>
        <w:left w:val="none" w:sz="0" w:space="0" w:color="auto"/>
        <w:bottom w:val="none" w:sz="0" w:space="0" w:color="auto"/>
        <w:right w:val="none" w:sz="0" w:space="0" w:color="auto"/>
      </w:divBdr>
      <w:divsChild>
        <w:div w:id="701976963">
          <w:marLeft w:val="0"/>
          <w:marRight w:val="0"/>
          <w:marTop w:val="0"/>
          <w:marBottom w:val="0"/>
          <w:divBdr>
            <w:top w:val="none" w:sz="0" w:space="0" w:color="auto"/>
            <w:left w:val="none" w:sz="0" w:space="0" w:color="auto"/>
            <w:bottom w:val="none" w:sz="0" w:space="0" w:color="auto"/>
            <w:right w:val="none" w:sz="0" w:space="0" w:color="auto"/>
          </w:divBdr>
          <w:divsChild>
            <w:div w:id="1913617081">
              <w:marLeft w:val="0"/>
              <w:marRight w:val="0"/>
              <w:marTop w:val="0"/>
              <w:marBottom w:val="0"/>
              <w:divBdr>
                <w:top w:val="none" w:sz="0" w:space="0" w:color="auto"/>
                <w:left w:val="none" w:sz="0" w:space="0" w:color="auto"/>
                <w:bottom w:val="none" w:sz="0" w:space="0" w:color="auto"/>
                <w:right w:val="none" w:sz="0" w:space="0" w:color="auto"/>
              </w:divBdr>
              <w:divsChild>
                <w:div w:id="571475137">
                  <w:marLeft w:val="0"/>
                  <w:marRight w:val="0"/>
                  <w:marTop w:val="0"/>
                  <w:marBottom w:val="0"/>
                  <w:divBdr>
                    <w:top w:val="none" w:sz="0" w:space="0" w:color="auto"/>
                    <w:left w:val="none" w:sz="0" w:space="0" w:color="auto"/>
                    <w:bottom w:val="none" w:sz="0" w:space="0" w:color="auto"/>
                    <w:right w:val="none" w:sz="0" w:space="0" w:color="auto"/>
                  </w:divBdr>
                  <w:divsChild>
                    <w:div w:id="1928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8377">
      <w:bodyDiv w:val="1"/>
      <w:marLeft w:val="0"/>
      <w:marRight w:val="0"/>
      <w:marTop w:val="0"/>
      <w:marBottom w:val="0"/>
      <w:divBdr>
        <w:top w:val="none" w:sz="0" w:space="0" w:color="auto"/>
        <w:left w:val="none" w:sz="0" w:space="0" w:color="auto"/>
        <w:bottom w:val="none" w:sz="0" w:space="0" w:color="auto"/>
        <w:right w:val="none" w:sz="0" w:space="0" w:color="auto"/>
      </w:divBdr>
      <w:divsChild>
        <w:div w:id="739641622">
          <w:marLeft w:val="0"/>
          <w:marRight w:val="0"/>
          <w:marTop w:val="0"/>
          <w:marBottom w:val="0"/>
          <w:divBdr>
            <w:top w:val="none" w:sz="0" w:space="0" w:color="auto"/>
            <w:left w:val="none" w:sz="0" w:space="0" w:color="auto"/>
            <w:bottom w:val="none" w:sz="0" w:space="0" w:color="auto"/>
            <w:right w:val="none" w:sz="0" w:space="0" w:color="auto"/>
          </w:divBdr>
          <w:divsChild>
            <w:div w:id="1679186938">
              <w:marLeft w:val="0"/>
              <w:marRight w:val="0"/>
              <w:marTop w:val="0"/>
              <w:marBottom w:val="0"/>
              <w:divBdr>
                <w:top w:val="none" w:sz="0" w:space="0" w:color="auto"/>
                <w:left w:val="none" w:sz="0" w:space="0" w:color="auto"/>
                <w:bottom w:val="none" w:sz="0" w:space="0" w:color="auto"/>
                <w:right w:val="none" w:sz="0" w:space="0" w:color="auto"/>
              </w:divBdr>
              <w:divsChild>
                <w:div w:id="947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3714">
      <w:bodyDiv w:val="1"/>
      <w:marLeft w:val="0"/>
      <w:marRight w:val="0"/>
      <w:marTop w:val="0"/>
      <w:marBottom w:val="0"/>
      <w:divBdr>
        <w:top w:val="none" w:sz="0" w:space="0" w:color="auto"/>
        <w:left w:val="none" w:sz="0" w:space="0" w:color="auto"/>
        <w:bottom w:val="none" w:sz="0" w:space="0" w:color="auto"/>
        <w:right w:val="none" w:sz="0" w:space="0" w:color="auto"/>
      </w:divBdr>
      <w:divsChild>
        <w:div w:id="1466314326">
          <w:marLeft w:val="0"/>
          <w:marRight w:val="0"/>
          <w:marTop w:val="0"/>
          <w:marBottom w:val="0"/>
          <w:divBdr>
            <w:top w:val="none" w:sz="0" w:space="0" w:color="auto"/>
            <w:left w:val="none" w:sz="0" w:space="0" w:color="auto"/>
            <w:bottom w:val="none" w:sz="0" w:space="0" w:color="auto"/>
            <w:right w:val="none" w:sz="0" w:space="0" w:color="auto"/>
          </w:divBdr>
          <w:divsChild>
            <w:div w:id="1941597531">
              <w:marLeft w:val="0"/>
              <w:marRight w:val="0"/>
              <w:marTop w:val="0"/>
              <w:marBottom w:val="0"/>
              <w:divBdr>
                <w:top w:val="none" w:sz="0" w:space="0" w:color="auto"/>
                <w:left w:val="none" w:sz="0" w:space="0" w:color="auto"/>
                <w:bottom w:val="none" w:sz="0" w:space="0" w:color="auto"/>
                <w:right w:val="none" w:sz="0" w:space="0" w:color="auto"/>
              </w:divBdr>
              <w:divsChild>
                <w:div w:id="13330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2264">
      <w:bodyDiv w:val="1"/>
      <w:marLeft w:val="0"/>
      <w:marRight w:val="0"/>
      <w:marTop w:val="0"/>
      <w:marBottom w:val="0"/>
      <w:divBdr>
        <w:top w:val="none" w:sz="0" w:space="0" w:color="auto"/>
        <w:left w:val="none" w:sz="0" w:space="0" w:color="auto"/>
        <w:bottom w:val="none" w:sz="0" w:space="0" w:color="auto"/>
        <w:right w:val="none" w:sz="0" w:space="0" w:color="auto"/>
      </w:divBdr>
      <w:divsChild>
        <w:div w:id="2145732737">
          <w:marLeft w:val="0"/>
          <w:marRight w:val="0"/>
          <w:marTop w:val="0"/>
          <w:marBottom w:val="0"/>
          <w:divBdr>
            <w:top w:val="none" w:sz="0" w:space="0" w:color="auto"/>
            <w:left w:val="none" w:sz="0" w:space="0" w:color="auto"/>
            <w:bottom w:val="none" w:sz="0" w:space="0" w:color="auto"/>
            <w:right w:val="none" w:sz="0" w:space="0" w:color="auto"/>
          </w:divBdr>
          <w:divsChild>
            <w:div w:id="633562693">
              <w:marLeft w:val="0"/>
              <w:marRight w:val="0"/>
              <w:marTop w:val="0"/>
              <w:marBottom w:val="0"/>
              <w:divBdr>
                <w:top w:val="none" w:sz="0" w:space="0" w:color="auto"/>
                <w:left w:val="none" w:sz="0" w:space="0" w:color="auto"/>
                <w:bottom w:val="none" w:sz="0" w:space="0" w:color="auto"/>
                <w:right w:val="none" w:sz="0" w:space="0" w:color="auto"/>
              </w:divBdr>
              <w:divsChild>
                <w:div w:id="1569414585">
                  <w:marLeft w:val="0"/>
                  <w:marRight w:val="0"/>
                  <w:marTop w:val="0"/>
                  <w:marBottom w:val="0"/>
                  <w:divBdr>
                    <w:top w:val="none" w:sz="0" w:space="0" w:color="auto"/>
                    <w:left w:val="none" w:sz="0" w:space="0" w:color="auto"/>
                    <w:bottom w:val="none" w:sz="0" w:space="0" w:color="auto"/>
                    <w:right w:val="none" w:sz="0" w:space="0" w:color="auto"/>
                  </w:divBdr>
                  <w:divsChild>
                    <w:div w:id="4427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19685">
      <w:bodyDiv w:val="1"/>
      <w:marLeft w:val="0"/>
      <w:marRight w:val="0"/>
      <w:marTop w:val="0"/>
      <w:marBottom w:val="0"/>
      <w:divBdr>
        <w:top w:val="none" w:sz="0" w:space="0" w:color="auto"/>
        <w:left w:val="none" w:sz="0" w:space="0" w:color="auto"/>
        <w:bottom w:val="none" w:sz="0" w:space="0" w:color="auto"/>
        <w:right w:val="none" w:sz="0" w:space="0" w:color="auto"/>
      </w:divBdr>
      <w:divsChild>
        <w:div w:id="1233083950">
          <w:marLeft w:val="0"/>
          <w:marRight w:val="0"/>
          <w:marTop w:val="0"/>
          <w:marBottom w:val="0"/>
          <w:divBdr>
            <w:top w:val="none" w:sz="0" w:space="0" w:color="auto"/>
            <w:left w:val="none" w:sz="0" w:space="0" w:color="auto"/>
            <w:bottom w:val="none" w:sz="0" w:space="0" w:color="auto"/>
            <w:right w:val="none" w:sz="0" w:space="0" w:color="auto"/>
          </w:divBdr>
          <w:divsChild>
            <w:div w:id="645359558">
              <w:marLeft w:val="0"/>
              <w:marRight w:val="0"/>
              <w:marTop w:val="0"/>
              <w:marBottom w:val="0"/>
              <w:divBdr>
                <w:top w:val="none" w:sz="0" w:space="0" w:color="auto"/>
                <w:left w:val="none" w:sz="0" w:space="0" w:color="auto"/>
                <w:bottom w:val="none" w:sz="0" w:space="0" w:color="auto"/>
                <w:right w:val="none" w:sz="0" w:space="0" w:color="auto"/>
              </w:divBdr>
              <w:divsChild>
                <w:div w:id="1020861746">
                  <w:marLeft w:val="0"/>
                  <w:marRight w:val="0"/>
                  <w:marTop w:val="0"/>
                  <w:marBottom w:val="0"/>
                  <w:divBdr>
                    <w:top w:val="none" w:sz="0" w:space="0" w:color="auto"/>
                    <w:left w:val="none" w:sz="0" w:space="0" w:color="auto"/>
                    <w:bottom w:val="none" w:sz="0" w:space="0" w:color="auto"/>
                    <w:right w:val="none" w:sz="0" w:space="0" w:color="auto"/>
                  </w:divBdr>
                  <w:divsChild>
                    <w:div w:id="10019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23030">
      <w:bodyDiv w:val="1"/>
      <w:marLeft w:val="0"/>
      <w:marRight w:val="0"/>
      <w:marTop w:val="0"/>
      <w:marBottom w:val="0"/>
      <w:divBdr>
        <w:top w:val="none" w:sz="0" w:space="0" w:color="auto"/>
        <w:left w:val="none" w:sz="0" w:space="0" w:color="auto"/>
        <w:bottom w:val="none" w:sz="0" w:space="0" w:color="auto"/>
        <w:right w:val="none" w:sz="0" w:space="0" w:color="auto"/>
      </w:divBdr>
    </w:div>
    <w:div w:id="764575247">
      <w:bodyDiv w:val="1"/>
      <w:marLeft w:val="0"/>
      <w:marRight w:val="0"/>
      <w:marTop w:val="0"/>
      <w:marBottom w:val="0"/>
      <w:divBdr>
        <w:top w:val="none" w:sz="0" w:space="0" w:color="auto"/>
        <w:left w:val="none" w:sz="0" w:space="0" w:color="auto"/>
        <w:bottom w:val="none" w:sz="0" w:space="0" w:color="auto"/>
        <w:right w:val="none" w:sz="0" w:space="0" w:color="auto"/>
      </w:divBdr>
      <w:divsChild>
        <w:div w:id="83767474">
          <w:marLeft w:val="0"/>
          <w:marRight w:val="0"/>
          <w:marTop w:val="0"/>
          <w:marBottom w:val="0"/>
          <w:divBdr>
            <w:top w:val="none" w:sz="0" w:space="0" w:color="auto"/>
            <w:left w:val="none" w:sz="0" w:space="0" w:color="auto"/>
            <w:bottom w:val="none" w:sz="0" w:space="0" w:color="auto"/>
            <w:right w:val="none" w:sz="0" w:space="0" w:color="auto"/>
          </w:divBdr>
          <w:divsChild>
            <w:div w:id="1132871097">
              <w:marLeft w:val="0"/>
              <w:marRight w:val="0"/>
              <w:marTop w:val="0"/>
              <w:marBottom w:val="0"/>
              <w:divBdr>
                <w:top w:val="none" w:sz="0" w:space="0" w:color="auto"/>
                <w:left w:val="none" w:sz="0" w:space="0" w:color="auto"/>
                <w:bottom w:val="none" w:sz="0" w:space="0" w:color="auto"/>
                <w:right w:val="none" w:sz="0" w:space="0" w:color="auto"/>
              </w:divBdr>
              <w:divsChild>
                <w:div w:id="17404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5618">
      <w:bodyDiv w:val="1"/>
      <w:marLeft w:val="0"/>
      <w:marRight w:val="0"/>
      <w:marTop w:val="0"/>
      <w:marBottom w:val="0"/>
      <w:divBdr>
        <w:top w:val="none" w:sz="0" w:space="0" w:color="auto"/>
        <w:left w:val="none" w:sz="0" w:space="0" w:color="auto"/>
        <w:bottom w:val="none" w:sz="0" w:space="0" w:color="auto"/>
        <w:right w:val="none" w:sz="0" w:space="0" w:color="auto"/>
      </w:divBdr>
      <w:divsChild>
        <w:div w:id="93207611">
          <w:marLeft w:val="0"/>
          <w:marRight w:val="0"/>
          <w:marTop w:val="0"/>
          <w:marBottom w:val="0"/>
          <w:divBdr>
            <w:top w:val="none" w:sz="0" w:space="0" w:color="auto"/>
            <w:left w:val="none" w:sz="0" w:space="0" w:color="auto"/>
            <w:bottom w:val="none" w:sz="0" w:space="0" w:color="auto"/>
            <w:right w:val="none" w:sz="0" w:space="0" w:color="auto"/>
          </w:divBdr>
          <w:divsChild>
            <w:div w:id="1672102817">
              <w:marLeft w:val="0"/>
              <w:marRight w:val="0"/>
              <w:marTop w:val="0"/>
              <w:marBottom w:val="0"/>
              <w:divBdr>
                <w:top w:val="none" w:sz="0" w:space="0" w:color="auto"/>
                <w:left w:val="none" w:sz="0" w:space="0" w:color="auto"/>
                <w:bottom w:val="none" w:sz="0" w:space="0" w:color="auto"/>
                <w:right w:val="none" w:sz="0" w:space="0" w:color="auto"/>
              </w:divBdr>
              <w:divsChild>
                <w:div w:id="34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98159">
      <w:bodyDiv w:val="1"/>
      <w:marLeft w:val="0"/>
      <w:marRight w:val="0"/>
      <w:marTop w:val="0"/>
      <w:marBottom w:val="0"/>
      <w:divBdr>
        <w:top w:val="none" w:sz="0" w:space="0" w:color="auto"/>
        <w:left w:val="none" w:sz="0" w:space="0" w:color="auto"/>
        <w:bottom w:val="none" w:sz="0" w:space="0" w:color="auto"/>
        <w:right w:val="none" w:sz="0" w:space="0" w:color="auto"/>
      </w:divBdr>
    </w:div>
    <w:div w:id="814565122">
      <w:bodyDiv w:val="1"/>
      <w:marLeft w:val="0"/>
      <w:marRight w:val="0"/>
      <w:marTop w:val="0"/>
      <w:marBottom w:val="0"/>
      <w:divBdr>
        <w:top w:val="none" w:sz="0" w:space="0" w:color="auto"/>
        <w:left w:val="none" w:sz="0" w:space="0" w:color="auto"/>
        <w:bottom w:val="none" w:sz="0" w:space="0" w:color="auto"/>
        <w:right w:val="none" w:sz="0" w:space="0" w:color="auto"/>
      </w:divBdr>
    </w:div>
    <w:div w:id="822819797">
      <w:bodyDiv w:val="1"/>
      <w:marLeft w:val="0"/>
      <w:marRight w:val="0"/>
      <w:marTop w:val="0"/>
      <w:marBottom w:val="0"/>
      <w:divBdr>
        <w:top w:val="none" w:sz="0" w:space="0" w:color="auto"/>
        <w:left w:val="none" w:sz="0" w:space="0" w:color="auto"/>
        <w:bottom w:val="none" w:sz="0" w:space="0" w:color="auto"/>
        <w:right w:val="none" w:sz="0" w:space="0" w:color="auto"/>
      </w:divBdr>
    </w:div>
    <w:div w:id="846987277">
      <w:bodyDiv w:val="1"/>
      <w:marLeft w:val="0"/>
      <w:marRight w:val="0"/>
      <w:marTop w:val="0"/>
      <w:marBottom w:val="0"/>
      <w:divBdr>
        <w:top w:val="none" w:sz="0" w:space="0" w:color="auto"/>
        <w:left w:val="none" w:sz="0" w:space="0" w:color="auto"/>
        <w:bottom w:val="none" w:sz="0" w:space="0" w:color="auto"/>
        <w:right w:val="none" w:sz="0" w:space="0" w:color="auto"/>
      </w:divBdr>
      <w:divsChild>
        <w:div w:id="2087262948">
          <w:marLeft w:val="0"/>
          <w:marRight w:val="0"/>
          <w:marTop w:val="0"/>
          <w:marBottom w:val="0"/>
          <w:divBdr>
            <w:top w:val="none" w:sz="0" w:space="0" w:color="auto"/>
            <w:left w:val="none" w:sz="0" w:space="0" w:color="auto"/>
            <w:bottom w:val="none" w:sz="0" w:space="0" w:color="auto"/>
            <w:right w:val="none" w:sz="0" w:space="0" w:color="auto"/>
          </w:divBdr>
          <w:divsChild>
            <w:div w:id="2022006497">
              <w:marLeft w:val="0"/>
              <w:marRight w:val="0"/>
              <w:marTop w:val="0"/>
              <w:marBottom w:val="0"/>
              <w:divBdr>
                <w:top w:val="none" w:sz="0" w:space="0" w:color="auto"/>
                <w:left w:val="none" w:sz="0" w:space="0" w:color="auto"/>
                <w:bottom w:val="none" w:sz="0" w:space="0" w:color="auto"/>
                <w:right w:val="none" w:sz="0" w:space="0" w:color="auto"/>
              </w:divBdr>
              <w:divsChild>
                <w:div w:id="194780362">
                  <w:marLeft w:val="0"/>
                  <w:marRight w:val="0"/>
                  <w:marTop w:val="0"/>
                  <w:marBottom w:val="0"/>
                  <w:divBdr>
                    <w:top w:val="none" w:sz="0" w:space="0" w:color="auto"/>
                    <w:left w:val="none" w:sz="0" w:space="0" w:color="auto"/>
                    <w:bottom w:val="none" w:sz="0" w:space="0" w:color="auto"/>
                    <w:right w:val="none" w:sz="0" w:space="0" w:color="auto"/>
                  </w:divBdr>
                  <w:divsChild>
                    <w:div w:id="422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466685">
      <w:bodyDiv w:val="1"/>
      <w:marLeft w:val="0"/>
      <w:marRight w:val="0"/>
      <w:marTop w:val="0"/>
      <w:marBottom w:val="0"/>
      <w:divBdr>
        <w:top w:val="none" w:sz="0" w:space="0" w:color="auto"/>
        <w:left w:val="none" w:sz="0" w:space="0" w:color="auto"/>
        <w:bottom w:val="none" w:sz="0" w:space="0" w:color="auto"/>
        <w:right w:val="none" w:sz="0" w:space="0" w:color="auto"/>
      </w:divBdr>
      <w:divsChild>
        <w:div w:id="1720208447">
          <w:marLeft w:val="0"/>
          <w:marRight w:val="0"/>
          <w:marTop w:val="0"/>
          <w:marBottom w:val="0"/>
          <w:divBdr>
            <w:top w:val="none" w:sz="0" w:space="0" w:color="auto"/>
            <w:left w:val="none" w:sz="0" w:space="0" w:color="auto"/>
            <w:bottom w:val="none" w:sz="0" w:space="0" w:color="auto"/>
            <w:right w:val="none" w:sz="0" w:space="0" w:color="auto"/>
          </w:divBdr>
          <w:divsChild>
            <w:div w:id="721515561">
              <w:marLeft w:val="0"/>
              <w:marRight w:val="0"/>
              <w:marTop w:val="0"/>
              <w:marBottom w:val="0"/>
              <w:divBdr>
                <w:top w:val="none" w:sz="0" w:space="0" w:color="auto"/>
                <w:left w:val="none" w:sz="0" w:space="0" w:color="auto"/>
                <w:bottom w:val="none" w:sz="0" w:space="0" w:color="auto"/>
                <w:right w:val="none" w:sz="0" w:space="0" w:color="auto"/>
              </w:divBdr>
              <w:divsChild>
                <w:div w:id="11408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2553">
      <w:bodyDiv w:val="1"/>
      <w:marLeft w:val="0"/>
      <w:marRight w:val="0"/>
      <w:marTop w:val="0"/>
      <w:marBottom w:val="0"/>
      <w:divBdr>
        <w:top w:val="none" w:sz="0" w:space="0" w:color="auto"/>
        <w:left w:val="none" w:sz="0" w:space="0" w:color="auto"/>
        <w:bottom w:val="none" w:sz="0" w:space="0" w:color="auto"/>
        <w:right w:val="none" w:sz="0" w:space="0" w:color="auto"/>
      </w:divBdr>
    </w:div>
    <w:div w:id="872377573">
      <w:bodyDiv w:val="1"/>
      <w:marLeft w:val="0"/>
      <w:marRight w:val="0"/>
      <w:marTop w:val="0"/>
      <w:marBottom w:val="0"/>
      <w:divBdr>
        <w:top w:val="none" w:sz="0" w:space="0" w:color="auto"/>
        <w:left w:val="none" w:sz="0" w:space="0" w:color="auto"/>
        <w:bottom w:val="none" w:sz="0" w:space="0" w:color="auto"/>
        <w:right w:val="none" w:sz="0" w:space="0" w:color="auto"/>
      </w:divBdr>
    </w:div>
    <w:div w:id="884489504">
      <w:bodyDiv w:val="1"/>
      <w:marLeft w:val="0"/>
      <w:marRight w:val="0"/>
      <w:marTop w:val="0"/>
      <w:marBottom w:val="0"/>
      <w:divBdr>
        <w:top w:val="none" w:sz="0" w:space="0" w:color="auto"/>
        <w:left w:val="none" w:sz="0" w:space="0" w:color="auto"/>
        <w:bottom w:val="none" w:sz="0" w:space="0" w:color="auto"/>
        <w:right w:val="none" w:sz="0" w:space="0" w:color="auto"/>
      </w:divBdr>
    </w:div>
    <w:div w:id="897208295">
      <w:bodyDiv w:val="1"/>
      <w:marLeft w:val="0"/>
      <w:marRight w:val="0"/>
      <w:marTop w:val="0"/>
      <w:marBottom w:val="0"/>
      <w:divBdr>
        <w:top w:val="none" w:sz="0" w:space="0" w:color="auto"/>
        <w:left w:val="none" w:sz="0" w:space="0" w:color="auto"/>
        <w:bottom w:val="none" w:sz="0" w:space="0" w:color="auto"/>
        <w:right w:val="none" w:sz="0" w:space="0" w:color="auto"/>
      </w:divBdr>
      <w:divsChild>
        <w:div w:id="586962341">
          <w:marLeft w:val="0"/>
          <w:marRight w:val="0"/>
          <w:marTop w:val="0"/>
          <w:marBottom w:val="0"/>
          <w:divBdr>
            <w:top w:val="none" w:sz="0" w:space="0" w:color="auto"/>
            <w:left w:val="none" w:sz="0" w:space="0" w:color="auto"/>
            <w:bottom w:val="none" w:sz="0" w:space="0" w:color="auto"/>
            <w:right w:val="none" w:sz="0" w:space="0" w:color="auto"/>
          </w:divBdr>
          <w:divsChild>
            <w:div w:id="702367396">
              <w:marLeft w:val="0"/>
              <w:marRight w:val="0"/>
              <w:marTop w:val="0"/>
              <w:marBottom w:val="0"/>
              <w:divBdr>
                <w:top w:val="none" w:sz="0" w:space="0" w:color="auto"/>
                <w:left w:val="none" w:sz="0" w:space="0" w:color="auto"/>
                <w:bottom w:val="none" w:sz="0" w:space="0" w:color="auto"/>
                <w:right w:val="none" w:sz="0" w:space="0" w:color="auto"/>
              </w:divBdr>
              <w:divsChild>
                <w:div w:id="16714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25083">
      <w:bodyDiv w:val="1"/>
      <w:marLeft w:val="0"/>
      <w:marRight w:val="0"/>
      <w:marTop w:val="0"/>
      <w:marBottom w:val="0"/>
      <w:divBdr>
        <w:top w:val="none" w:sz="0" w:space="0" w:color="auto"/>
        <w:left w:val="none" w:sz="0" w:space="0" w:color="auto"/>
        <w:bottom w:val="none" w:sz="0" w:space="0" w:color="auto"/>
        <w:right w:val="none" w:sz="0" w:space="0" w:color="auto"/>
      </w:divBdr>
      <w:divsChild>
        <w:div w:id="245462095">
          <w:marLeft w:val="0"/>
          <w:marRight w:val="0"/>
          <w:marTop w:val="0"/>
          <w:marBottom w:val="0"/>
          <w:divBdr>
            <w:top w:val="none" w:sz="0" w:space="0" w:color="auto"/>
            <w:left w:val="none" w:sz="0" w:space="0" w:color="auto"/>
            <w:bottom w:val="none" w:sz="0" w:space="0" w:color="auto"/>
            <w:right w:val="none" w:sz="0" w:space="0" w:color="auto"/>
          </w:divBdr>
          <w:divsChild>
            <w:div w:id="1328560693">
              <w:marLeft w:val="0"/>
              <w:marRight w:val="0"/>
              <w:marTop w:val="0"/>
              <w:marBottom w:val="0"/>
              <w:divBdr>
                <w:top w:val="none" w:sz="0" w:space="0" w:color="auto"/>
                <w:left w:val="none" w:sz="0" w:space="0" w:color="auto"/>
                <w:bottom w:val="none" w:sz="0" w:space="0" w:color="auto"/>
                <w:right w:val="none" w:sz="0" w:space="0" w:color="auto"/>
              </w:divBdr>
              <w:divsChild>
                <w:div w:id="3935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3632">
      <w:bodyDiv w:val="1"/>
      <w:marLeft w:val="0"/>
      <w:marRight w:val="0"/>
      <w:marTop w:val="0"/>
      <w:marBottom w:val="0"/>
      <w:divBdr>
        <w:top w:val="none" w:sz="0" w:space="0" w:color="auto"/>
        <w:left w:val="none" w:sz="0" w:space="0" w:color="auto"/>
        <w:bottom w:val="none" w:sz="0" w:space="0" w:color="auto"/>
        <w:right w:val="none" w:sz="0" w:space="0" w:color="auto"/>
      </w:divBdr>
      <w:divsChild>
        <w:div w:id="1785733731">
          <w:marLeft w:val="0"/>
          <w:marRight w:val="0"/>
          <w:marTop w:val="0"/>
          <w:marBottom w:val="0"/>
          <w:divBdr>
            <w:top w:val="none" w:sz="0" w:space="0" w:color="auto"/>
            <w:left w:val="none" w:sz="0" w:space="0" w:color="auto"/>
            <w:bottom w:val="none" w:sz="0" w:space="0" w:color="auto"/>
            <w:right w:val="none" w:sz="0" w:space="0" w:color="auto"/>
          </w:divBdr>
          <w:divsChild>
            <w:div w:id="1818841453">
              <w:marLeft w:val="0"/>
              <w:marRight w:val="0"/>
              <w:marTop w:val="0"/>
              <w:marBottom w:val="0"/>
              <w:divBdr>
                <w:top w:val="none" w:sz="0" w:space="0" w:color="auto"/>
                <w:left w:val="none" w:sz="0" w:space="0" w:color="auto"/>
                <w:bottom w:val="none" w:sz="0" w:space="0" w:color="auto"/>
                <w:right w:val="none" w:sz="0" w:space="0" w:color="auto"/>
              </w:divBdr>
              <w:divsChild>
                <w:div w:id="492449501">
                  <w:marLeft w:val="0"/>
                  <w:marRight w:val="0"/>
                  <w:marTop w:val="0"/>
                  <w:marBottom w:val="0"/>
                  <w:divBdr>
                    <w:top w:val="none" w:sz="0" w:space="0" w:color="auto"/>
                    <w:left w:val="none" w:sz="0" w:space="0" w:color="auto"/>
                    <w:bottom w:val="none" w:sz="0" w:space="0" w:color="auto"/>
                    <w:right w:val="none" w:sz="0" w:space="0" w:color="auto"/>
                  </w:divBdr>
                  <w:divsChild>
                    <w:div w:id="19698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97070">
      <w:bodyDiv w:val="1"/>
      <w:marLeft w:val="0"/>
      <w:marRight w:val="0"/>
      <w:marTop w:val="0"/>
      <w:marBottom w:val="0"/>
      <w:divBdr>
        <w:top w:val="none" w:sz="0" w:space="0" w:color="auto"/>
        <w:left w:val="none" w:sz="0" w:space="0" w:color="auto"/>
        <w:bottom w:val="none" w:sz="0" w:space="0" w:color="auto"/>
        <w:right w:val="none" w:sz="0" w:space="0" w:color="auto"/>
      </w:divBdr>
    </w:div>
    <w:div w:id="928394844">
      <w:bodyDiv w:val="1"/>
      <w:marLeft w:val="0"/>
      <w:marRight w:val="0"/>
      <w:marTop w:val="0"/>
      <w:marBottom w:val="0"/>
      <w:divBdr>
        <w:top w:val="none" w:sz="0" w:space="0" w:color="auto"/>
        <w:left w:val="none" w:sz="0" w:space="0" w:color="auto"/>
        <w:bottom w:val="none" w:sz="0" w:space="0" w:color="auto"/>
        <w:right w:val="none" w:sz="0" w:space="0" w:color="auto"/>
      </w:divBdr>
      <w:divsChild>
        <w:div w:id="2071149103">
          <w:marLeft w:val="0"/>
          <w:marRight w:val="0"/>
          <w:marTop w:val="0"/>
          <w:marBottom w:val="0"/>
          <w:divBdr>
            <w:top w:val="none" w:sz="0" w:space="0" w:color="auto"/>
            <w:left w:val="none" w:sz="0" w:space="0" w:color="auto"/>
            <w:bottom w:val="none" w:sz="0" w:space="0" w:color="auto"/>
            <w:right w:val="none" w:sz="0" w:space="0" w:color="auto"/>
          </w:divBdr>
          <w:divsChild>
            <w:div w:id="215707085">
              <w:marLeft w:val="0"/>
              <w:marRight w:val="0"/>
              <w:marTop w:val="0"/>
              <w:marBottom w:val="0"/>
              <w:divBdr>
                <w:top w:val="none" w:sz="0" w:space="0" w:color="auto"/>
                <w:left w:val="none" w:sz="0" w:space="0" w:color="auto"/>
                <w:bottom w:val="none" w:sz="0" w:space="0" w:color="auto"/>
                <w:right w:val="none" w:sz="0" w:space="0" w:color="auto"/>
              </w:divBdr>
              <w:divsChild>
                <w:div w:id="165754427">
                  <w:marLeft w:val="0"/>
                  <w:marRight w:val="0"/>
                  <w:marTop w:val="0"/>
                  <w:marBottom w:val="0"/>
                  <w:divBdr>
                    <w:top w:val="none" w:sz="0" w:space="0" w:color="auto"/>
                    <w:left w:val="none" w:sz="0" w:space="0" w:color="auto"/>
                    <w:bottom w:val="none" w:sz="0" w:space="0" w:color="auto"/>
                    <w:right w:val="none" w:sz="0" w:space="0" w:color="auto"/>
                  </w:divBdr>
                  <w:divsChild>
                    <w:div w:id="673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72759">
      <w:bodyDiv w:val="1"/>
      <w:marLeft w:val="0"/>
      <w:marRight w:val="0"/>
      <w:marTop w:val="0"/>
      <w:marBottom w:val="0"/>
      <w:divBdr>
        <w:top w:val="none" w:sz="0" w:space="0" w:color="auto"/>
        <w:left w:val="none" w:sz="0" w:space="0" w:color="auto"/>
        <w:bottom w:val="none" w:sz="0" w:space="0" w:color="auto"/>
        <w:right w:val="none" w:sz="0" w:space="0" w:color="auto"/>
      </w:divBdr>
      <w:divsChild>
        <w:div w:id="1278902085">
          <w:marLeft w:val="0"/>
          <w:marRight w:val="0"/>
          <w:marTop w:val="0"/>
          <w:marBottom w:val="0"/>
          <w:divBdr>
            <w:top w:val="none" w:sz="0" w:space="0" w:color="auto"/>
            <w:left w:val="none" w:sz="0" w:space="0" w:color="auto"/>
            <w:bottom w:val="none" w:sz="0" w:space="0" w:color="auto"/>
            <w:right w:val="none" w:sz="0" w:space="0" w:color="auto"/>
          </w:divBdr>
          <w:divsChild>
            <w:div w:id="1377394596">
              <w:marLeft w:val="0"/>
              <w:marRight w:val="0"/>
              <w:marTop w:val="0"/>
              <w:marBottom w:val="0"/>
              <w:divBdr>
                <w:top w:val="none" w:sz="0" w:space="0" w:color="auto"/>
                <w:left w:val="none" w:sz="0" w:space="0" w:color="auto"/>
                <w:bottom w:val="none" w:sz="0" w:space="0" w:color="auto"/>
                <w:right w:val="none" w:sz="0" w:space="0" w:color="auto"/>
              </w:divBdr>
              <w:divsChild>
                <w:div w:id="650334362">
                  <w:marLeft w:val="0"/>
                  <w:marRight w:val="0"/>
                  <w:marTop w:val="0"/>
                  <w:marBottom w:val="0"/>
                  <w:divBdr>
                    <w:top w:val="none" w:sz="0" w:space="0" w:color="auto"/>
                    <w:left w:val="none" w:sz="0" w:space="0" w:color="auto"/>
                    <w:bottom w:val="none" w:sz="0" w:space="0" w:color="auto"/>
                    <w:right w:val="none" w:sz="0" w:space="0" w:color="auto"/>
                  </w:divBdr>
                  <w:divsChild>
                    <w:div w:id="780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340544">
      <w:bodyDiv w:val="1"/>
      <w:marLeft w:val="0"/>
      <w:marRight w:val="0"/>
      <w:marTop w:val="0"/>
      <w:marBottom w:val="0"/>
      <w:divBdr>
        <w:top w:val="none" w:sz="0" w:space="0" w:color="auto"/>
        <w:left w:val="none" w:sz="0" w:space="0" w:color="auto"/>
        <w:bottom w:val="none" w:sz="0" w:space="0" w:color="auto"/>
        <w:right w:val="none" w:sz="0" w:space="0" w:color="auto"/>
      </w:divBdr>
    </w:div>
    <w:div w:id="946350089">
      <w:bodyDiv w:val="1"/>
      <w:marLeft w:val="0"/>
      <w:marRight w:val="0"/>
      <w:marTop w:val="0"/>
      <w:marBottom w:val="0"/>
      <w:divBdr>
        <w:top w:val="none" w:sz="0" w:space="0" w:color="auto"/>
        <w:left w:val="none" w:sz="0" w:space="0" w:color="auto"/>
        <w:bottom w:val="none" w:sz="0" w:space="0" w:color="auto"/>
        <w:right w:val="none" w:sz="0" w:space="0" w:color="auto"/>
      </w:divBdr>
      <w:divsChild>
        <w:div w:id="810632932">
          <w:marLeft w:val="0"/>
          <w:marRight w:val="0"/>
          <w:marTop w:val="0"/>
          <w:marBottom w:val="0"/>
          <w:divBdr>
            <w:top w:val="none" w:sz="0" w:space="0" w:color="auto"/>
            <w:left w:val="none" w:sz="0" w:space="0" w:color="auto"/>
            <w:bottom w:val="none" w:sz="0" w:space="0" w:color="auto"/>
            <w:right w:val="none" w:sz="0" w:space="0" w:color="auto"/>
          </w:divBdr>
          <w:divsChild>
            <w:div w:id="584148183">
              <w:marLeft w:val="0"/>
              <w:marRight w:val="0"/>
              <w:marTop w:val="0"/>
              <w:marBottom w:val="0"/>
              <w:divBdr>
                <w:top w:val="none" w:sz="0" w:space="0" w:color="auto"/>
                <w:left w:val="none" w:sz="0" w:space="0" w:color="auto"/>
                <w:bottom w:val="none" w:sz="0" w:space="0" w:color="auto"/>
                <w:right w:val="none" w:sz="0" w:space="0" w:color="auto"/>
              </w:divBdr>
              <w:divsChild>
                <w:div w:id="20071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8238">
      <w:bodyDiv w:val="1"/>
      <w:marLeft w:val="0"/>
      <w:marRight w:val="0"/>
      <w:marTop w:val="0"/>
      <w:marBottom w:val="0"/>
      <w:divBdr>
        <w:top w:val="none" w:sz="0" w:space="0" w:color="auto"/>
        <w:left w:val="none" w:sz="0" w:space="0" w:color="auto"/>
        <w:bottom w:val="none" w:sz="0" w:space="0" w:color="auto"/>
        <w:right w:val="none" w:sz="0" w:space="0" w:color="auto"/>
      </w:divBdr>
      <w:divsChild>
        <w:div w:id="1665620776">
          <w:marLeft w:val="0"/>
          <w:marRight w:val="0"/>
          <w:marTop w:val="0"/>
          <w:marBottom w:val="0"/>
          <w:divBdr>
            <w:top w:val="none" w:sz="0" w:space="0" w:color="auto"/>
            <w:left w:val="none" w:sz="0" w:space="0" w:color="auto"/>
            <w:bottom w:val="none" w:sz="0" w:space="0" w:color="auto"/>
            <w:right w:val="none" w:sz="0" w:space="0" w:color="auto"/>
          </w:divBdr>
          <w:divsChild>
            <w:div w:id="493568004">
              <w:marLeft w:val="0"/>
              <w:marRight w:val="0"/>
              <w:marTop w:val="0"/>
              <w:marBottom w:val="0"/>
              <w:divBdr>
                <w:top w:val="none" w:sz="0" w:space="0" w:color="auto"/>
                <w:left w:val="none" w:sz="0" w:space="0" w:color="auto"/>
                <w:bottom w:val="none" w:sz="0" w:space="0" w:color="auto"/>
                <w:right w:val="none" w:sz="0" w:space="0" w:color="auto"/>
              </w:divBdr>
              <w:divsChild>
                <w:div w:id="2556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1080">
      <w:bodyDiv w:val="1"/>
      <w:marLeft w:val="0"/>
      <w:marRight w:val="0"/>
      <w:marTop w:val="0"/>
      <w:marBottom w:val="0"/>
      <w:divBdr>
        <w:top w:val="none" w:sz="0" w:space="0" w:color="auto"/>
        <w:left w:val="none" w:sz="0" w:space="0" w:color="auto"/>
        <w:bottom w:val="none" w:sz="0" w:space="0" w:color="auto"/>
        <w:right w:val="none" w:sz="0" w:space="0" w:color="auto"/>
      </w:divBdr>
      <w:divsChild>
        <w:div w:id="1605646945">
          <w:marLeft w:val="0"/>
          <w:marRight w:val="0"/>
          <w:marTop w:val="0"/>
          <w:marBottom w:val="0"/>
          <w:divBdr>
            <w:top w:val="none" w:sz="0" w:space="0" w:color="auto"/>
            <w:left w:val="none" w:sz="0" w:space="0" w:color="auto"/>
            <w:bottom w:val="none" w:sz="0" w:space="0" w:color="auto"/>
            <w:right w:val="none" w:sz="0" w:space="0" w:color="auto"/>
          </w:divBdr>
          <w:divsChild>
            <w:div w:id="1412004154">
              <w:marLeft w:val="0"/>
              <w:marRight w:val="0"/>
              <w:marTop w:val="0"/>
              <w:marBottom w:val="0"/>
              <w:divBdr>
                <w:top w:val="none" w:sz="0" w:space="0" w:color="auto"/>
                <w:left w:val="none" w:sz="0" w:space="0" w:color="auto"/>
                <w:bottom w:val="none" w:sz="0" w:space="0" w:color="auto"/>
                <w:right w:val="none" w:sz="0" w:space="0" w:color="auto"/>
              </w:divBdr>
              <w:divsChild>
                <w:div w:id="5528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6695">
      <w:bodyDiv w:val="1"/>
      <w:marLeft w:val="0"/>
      <w:marRight w:val="0"/>
      <w:marTop w:val="0"/>
      <w:marBottom w:val="0"/>
      <w:divBdr>
        <w:top w:val="none" w:sz="0" w:space="0" w:color="auto"/>
        <w:left w:val="none" w:sz="0" w:space="0" w:color="auto"/>
        <w:bottom w:val="none" w:sz="0" w:space="0" w:color="auto"/>
        <w:right w:val="none" w:sz="0" w:space="0" w:color="auto"/>
      </w:divBdr>
      <w:divsChild>
        <w:div w:id="996110215">
          <w:marLeft w:val="0"/>
          <w:marRight w:val="0"/>
          <w:marTop w:val="0"/>
          <w:marBottom w:val="0"/>
          <w:divBdr>
            <w:top w:val="none" w:sz="0" w:space="0" w:color="auto"/>
            <w:left w:val="none" w:sz="0" w:space="0" w:color="auto"/>
            <w:bottom w:val="none" w:sz="0" w:space="0" w:color="auto"/>
            <w:right w:val="none" w:sz="0" w:space="0" w:color="auto"/>
          </w:divBdr>
          <w:divsChild>
            <w:div w:id="240992626">
              <w:marLeft w:val="0"/>
              <w:marRight w:val="0"/>
              <w:marTop w:val="0"/>
              <w:marBottom w:val="0"/>
              <w:divBdr>
                <w:top w:val="none" w:sz="0" w:space="0" w:color="auto"/>
                <w:left w:val="none" w:sz="0" w:space="0" w:color="auto"/>
                <w:bottom w:val="none" w:sz="0" w:space="0" w:color="auto"/>
                <w:right w:val="none" w:sz="0" w:space="0" w:color="auto"/>
              </w:divBdr>
              <w:divsChild>
                <w:div w:id="1275475322">
                  <w:marLeft w:val="0"/>
                  <w:marRight w:val="0"/>
                  <w:marTop w:val="0"/>
                  <w:marBottom w:val="0"/>
                  <w:divBdr>
                    <w:top w:val="none" w:sz="0" w:space="0" w:color="auto"/>
                    <w:left w:val="none" w:sz="0" w:space="0" w:color="auto"/>
                    <w:bottom w:val="none" w:sz="0" w:space="0" w:color="auto"/>
                    <w:right w:val="none" w:sz="0" w:space="0" w:color="auto"/>
                  </w:divBdr>
                  <w:divsChild>
                    <w:div w:id="13085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52478">
      <w:bodyDiv w:val="1"/>
      <w:marLeft w:val="0"/>
      <w:marRight w:val="0"/>
      <w:marTop w:val="0"/>
      <w:marBottom w:val="0"/>
      <w:divBdr>
        <w:top w:val="none" w:sz="0" w:space="0" w:color="auto"/>
        <w:left w:val="none" w:sz="0" w:space="0" w:color="auto"/>
        <w:bottom w:val="none" w:sz="0" w:space="0" w:color="auto"/>
        <w:right w:val="none" w:sz="0" w:space="0" w:color="auto"/>
      </w:divBdr>
      <w:divsChild>
        <w:div w:id="326518340">
          <w:marLeft w:val="0"/>
          <w:marRight w:val="0"/>
          <w:marTop w:val="0"/>
          <w:marBottom w:val="0"/>
          <w:divBdr>
            <w:top w:val="none" w:sz="0" w:space="0" w:color="auto"/>
            <w:left w:val="none" w:sz="0" w:space="0" w:color="auto"/>
            <w:bottom w:val="none" w:sz="0" w:space="0" w:color="auto"/>
            <w:right w:val="none" w:sz="0" w:space="0" w:color="auto"/>
          </w:divBdr>
          <w:divsChild>
            <w:div w:id="1041831644">
              <w:marLeft w:val="0"/>
              <w:marRight w:val="0"/>
              <w:marTop w:val="0"/>
              <w:marBottom w:val="0"/>
              <w:divBdr>
                <w:top w:val="none" w:sz="0" w:space="0" w:color="auto"/>
                <w:left w:val="none" w:sz="0" w:space="0" w:color="auto"/>
                <w:bottom w:val="none" w:sz="0" w:space="0" w:color="auto"/>
                <w:right w:val="none" w:sz="0" w:space="0" w:color="auto"/>
              </w:divBdr>
              <w:divsChild>
                <w:div w:id="847788077">
                  <w:marLeft w:val="0"/>
                  <w:marRight w:val="0"/>
                  <w:marTop w:val="0"/>
                  <w:marBottom w:val="0"/>
                  <w:divBdr>
                    <w:top w:val="none" w:sz="0" w:space="0" w:color="auto"/>
                    <w:left w:val="none" w:sz="0" w:space="0" w:color="auto"/>
                    <w:bottom w:val="none" w:sz="0" w:space="0" w:color="auto"/>
                    <w:right w:val="none" w:sz="0" w:space="0" w:color="auto"/>
                  </w:divBdr>
                  <w:divsChild>
                    <w:div w:id="17677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54080">
      <w:bodyDiv w:val="1"/>
      <w:marLeft w:val="0"/>
      <w:marRight w:val="0"/>
      <w:marTop w:val="0"/>
      <w:marBottom w:val="0"/>
      <w:divBdr>
        <w:top w:val="none" w:sz="0" w:space="0" w:color="auto"/>
        <w:left w:val="none" w:sz="0" w:space="0" w:color="auto"/>
        <w:bottom w:val="none" w:sz="0" w:space="0" w:color="auto"/>
        <w:right w:val="none" w:sz="0" w:space="0" w:color="auto"/>
      </w:divBdr>
    </w:div>
    <w:div w:id="1056781769">
      <w:bodyDiv w:val="1"/>
      <w:marLeft w:val="0"/>
      <w:marRight w:val="0"/>
      <w:marTop w:val="0"/>
      <w:marBottom w:val="0"/>
      <w:divBdr>
        <w:top w:val="none" w:sz="0" w:space="0" w:color="auto"/>
        <w:left w:val="none" w:sz="0" w:space="0" w:color="auto"/>
        <w:bottom w:val="none" w:sz="0" w:space="0" w:color="auto"/>
        <w:right w:val="none" w:sz="0" w:space="0" w:color="auto"/>
      </w:divBdr>
      <w:divsChild>
        <w:div w:id="607274641">
          <w:marLeft w:val="0"/>
          <w:marRight w:val="0"/>
          <w:marTop w:val="0"/>
          <w:marBottom w:val="0"/>
          <w:divBdr>
            <w:top w:val="none" w:sz="0" w:space="0" w:color="auto"/>
            <w:left w:val="none" w:sz="0" w:space="0" w:color="auto"/>
            <w:bottom w:val="none" w:sz="0" w:space="0" w:color="auto"/>
            <w:right w:val="none" w:sz="0" w:space="0" w:color="auto"/>
          </w:divBdr>
          <w:divsChild>
            <w:div w:id="911621045">
              <w:marLeft w:val="0"/>
              <w:marRight w:val="0"/>
              <w:marTop w:val="0"/>
              <w:marBottom w:val="0"/>
              <w:divBdr>
                <w:top w:val="none" w:sz="0" w:space="0" w:color="auto"/>
                <w:left w:val="none" w:sz="0" w:space="0" w:color="auto"/>
                <w:bottom w:val="none" w:sz="0" w:space="0" w:color="auto"/>
                <w:right w:val="none" w:sz="0" w:space="0" w:color="auto"/>
              </w:divBdr>
              <w:divsChild>
                <w:div w:id="1236819519">
                  <w:marLeft w:val="0"/>
                  <w:marRight w:val="0"/>
                  <w:marTop w:val="0"/>
                  <w:marBottom w:val="0"/>
                  <w:divBdr>
                    <w:top w:val="none" w:sz="0" w:space="0" w:color="auto"/>
                    <w:left w:val="none" w:sz="0" w:space="0" w:color="auto"/>
                    <w:bottom w:val="none" w:sz="0" w:space="0" w:color="auto"/>
                    <w:right w:val="none" w:sz="0" w:space="0" w:color="auto"/>
                  </w:divBdr>
                  <w:divsChild>
                    <w:div w:id="1413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32366">
      <w:bodyDiv w:val="1"/>
      <w:marLeft w:val="0"/>
      <w:marRight w:val="0"/>
      <w:marTop w:val="0"/>
      <w:marBottom w:val="0"/>
      <w:divBdr>
        <w:top w:val="none" w:sz="0" w:space="0" w:color="auto"/>
        <w:left w:val="none" w:sz="0" w:space="0" w:color="auto"/>
        <w:bottom w:val="none" w:sz="0" w:space="0" w:color="auto"/>
        <w:right w:val="none" w:sz="0" w:space="0" w:color="auto"/>
      </w:divBdr>
      <w:divsChild>
        <w:div w:id="1024207406">
          <w:marLeft w:val="0"/>
          <w:marRight w:val="0"/>
          <w:marTop w:val="0"/>
          <w:marBottom w:val="0"/>
          <w:divBdr>
            <w:top w:val="none" w:sz="0" w:space="0" w:color="auto"/>
            <w:left w:val="none" w:sz="0" w:space="0" w:color="auto"/>
            <w:bottom w:val="none" w:sz="0" w:space="0" w:color="auto"/>
            <w:right w:val="none" w:sz="0" w:space="0" w:color="auto"/>
          </w:divBdr>
          <w:divsChild>
            <w:div w:id="2032224496">
              <w:marLeft w:val="0"/>
              <w:marRight w:val="0"/>
              <w:marTop w:val="0"/>
              <w:marBottom w:val="0"/>
              <w:divBdr>
                <w:top w:val="none" w:sz="0" w:space="0" w:color="auto"/>
                <w:left w:val="none" w:sz="0" w:space="0" w:color="auto"/>
                <w:bottom w:val="none" w:sz="0" w:space="0" w:color="auto"/>
                <w:right w:val="none" w:sz="0" w:space="0" w:color="auto"/>
              </w:divBdr>
              <w:divsChild>
                <w:div w:id="1188982965">
                  <w:marLeft w:val="0"/>
                  <w:marRight w:val="0"/>
                  <w:marTop w:val="0"/>
                  <w:marBottom w:val="0"/>
                  <w:divBdr>
                    <w:top w:val="none" w:sz="0" w:space="0" w:color="auto"/>
                    <w:left w:val="none" w:sz="0" w:space="0" w:color="auto"/>
                    <w:bottom w:val="none" w:sz="0" w:space="0" w:color="auto"/>
                    <w:right w:val="none" w:sz="0" w:space="0" w:color="auto"/>
                  </w:divBdr>
                  <w:divsChild>
                    <w:div w:id="9350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4508">
      <w:bodyDiv w:val="1"/>
      <w:marLeft w:val="0"/>
      <w:marRight w:val="0"/>
      <w:marTop w:val="0"/>
      <w:marBottom w:val="0"/>
      <w:divBdr>
        <w:top w:val="none" w:sz="0" w:space="0" w:color="auto"/>
        <w:left w:val="none" w:sz="0" w:space="0" w:color="auto"/>
        <w:bottom w:val="none" w:sz="0" w:space="0" w:color="auto"/>
        <w:right w:val="none" w:sz="0" w:space="0" w:color="auto"/>
      </w:divBdr>
      <w:divsChild>
        <w:div w:id="12614903">
          <w:marLeft w:val="0"/>
          <w:marRight w:val="0"/>
          <w:marTop w:val="0"/>
          <w:marBottom w:val="0"/>
          <w:divBdr>
            <w:top w:val="none" w:sz="0" w:space="0" w:color="auto"/>
            <w:left w:val="none" w:sz="0" w:space="0" w:color="auto"/>
            <w:bottom w:val="none" w:sz="0" w:space="0" w:color="auto"/>
            <w:right w:val="none" w:sz="0" w:space="0" w:color="auto"/>
          </w:divBdr>
          <w:divsChild>
            <w:div w:id="1106274391">
              <w:marLeft w:val="0"/>
              <w:marRight w:val="0"/>
              <w:marTop w:val="0"/>
              <w:marBottom w:val="0"/>
              <w:divBdr>
                <w:top w:val="none" w:sz="0" w:space="0" w:color="auto"/>
                <w:left w:val="none" w:sz="0" w:space="0" w:color="auto"/>
                <w:bottom w:val="none" w:sz="0" w:space="0" w:color="auto"/>
                <w:right w:val="none" w:sz="0" w:space="0" w:color="auto"/>
              </w:divBdr>
              <w:divsChild>
                <w:div w:id="14256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9358">
      <w:bodyDiv w:val="1"/>
      <w:marLeft w:val="0"/>
      <w:marRight w:val="0"/>
      <w:marTop w:val="0"/>
      <w:marBottom w:val="0"/>
      <w:divBdr>
        <w:top w:val="none" w:sz="0" w:space="0" w:color="auto"/>
        <w:left w:val="none" w:sz="0" w:space="0" w:color="auto"/>
        <w:bottom w:val="none" w:sz="0" w:space="0" w:color="auto"/>
        <w:right w:val="none" w:sz="0" w:space="0" w:color="auto"/>
      </w:divBdr>
      <w:divsChild>
        <w:div w:id="535972644">
          <w:marLeft w:val="0"/>
          <w:marRight w:val="0"/>
          <w:marTop w:val="0"/>
          <w:marBottom w:val="0"/>
          <w:divBdr>
            <w:top w:val="none" w:sz="0" w:space="0" w:color="auto"/>
            <w:left w:val="none" w:sz="0" w:space="0" w:color="auto"/>
            <w:bottom w:val="none" w:sz="0" w:space="0" w:color="auto"/>
            <w:right w:val="none" w:sz="0" w:space="0" w:color="auto"/>
          </w:divBdr>
          <w:divsChild>
            <w:div w:id="1702854015">
              <w:marLeft w:val="0"/>
              <w:marRight w:val="0"/>
              <w:marTop w:val="0"/>
              <w:marBottom w:val="0"/>
              <w:divBdr>
                <w:top w:val="none" w:sz="0" w:space="0" w:color="auto"/>
                <w:left w:val="none" w:sz="0" w:space="0" w:color="auto"/>
                <w:bottom w:val="none" w:sz="0" w:space="0" w:color="auto"/>
                <w:right w:val="none" w:sz="0" w:space="0" w:color="auto"/>
              </w:divBdr>
              <w:divsChild>
                <w:div w:id="795952058">
                  <w:marLeft w:val="0"/>
                  <w:marRight w:val="0"/>
                  <w:marTop w:val="0"/>
                  <w:marBottom w:val="0"/>
                  <w:divBdr>
                    <w:top w:val="none" w:sz="0" w:space="0" w:color="auto"/>
                    <w:left w:val="none" w:sz="0" w:space="0" w:color="auto"/>
                    <w:bottom w:val="none" w:sz="0" w:space="0" w:color="auto"/>
                    <w:right w:val="none" w:sz="0" w:space="0" w:color="auto"/>
                  </w:divBdr>
                  <w:divsChild>
                    <w:div w:id="12145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5952">
      <w:bodyDiv w:val="1"/>
      <w:marLeft w:val="0"/>
      <w:marRight w:val="0"/>
      <w:marTop w:val="0"/>
      <w:marBottom w:val="0"/>
      <w:divBdr>
        <w:top w:val="none" w:sz="0" w:space="0" w:color="auto"/>
        <w:left w:val="none" w:sz="0" w:space="0" w:color="auto"/>
        <w:bottom w:val="none" w:sz="0" w:space="0" w:color="auto"/>
        <w:right w:val="none" w:sz="0" w:space="0" w:color="auto"/>
      </w:divBdr>
    </w:div>
    <w:div w:id="1125856599">
      <w:bodyDiv w:val="1"/>
      <w:marLeft w:val="0"/>
      <w:marRight w:val="0"/>
      <w:marTop w:val="0"/>
      <w:marBottom w:val="0"/>
      <w:divBdr>
        <w:top w:val="none" w:sz="0" w:space="0" w:color="auto"/>
        <w:left w:val="none" w:sz="0" w:space="0" w:color="auto"/>
        <w:bottom w:val="none" w:sz="0" w:space="0" w:color="auto"/>
        <w:right w:val="none" w:sz="0" w:space="0" w:color="auto"/>
      </w:divBdr>
    </w:div>
    <w:div w:id="1129665286">
      <w:bodyDiv w:val="1"/>
      <w:marLeft w:val="0"/>
      <w:marRight w:val="0"/>
      <w:marTop w:val="0"/>
      <w:marBottom w:val="0"/>
      <w:divBdr>
        <w:top w:val="none" w:sz="0" w:space="0" w:color="auto"/>
        <w:left w:val="none" w:sz="0" w:space="0" w:color="auto"/>
        <w:bottom w:val="none" w:sz="0" w:space="0" w:color="auto"/>
        <w:right w:val="none" w:sz="0" w:space="0" w:color="auto"/>
      </w:divBdr>
      <w:divsChild>
        <w:div w:id="1819153137">
          <w:marLeft w:val="0"/>
          <w:marRight w:val="0"/>
          <w:marTop w:val="0"/>
          <w:marBottom w:val="0"/>
          <w:divBdr>
            <w:top w:val="none" w:sz="0" w:space="0" w:color="auto"/>
            <w:left w:val="none" w:sz="0" w:space="0" w:color="auto"/>
            <w:bottom w:val="none" w:sz="0" w:space="0" w:color="auto"/>
            <w:right w:val="none" w:sz="0" w:space="0" w:color="auto"/>
          </w:divBdr>
          <w:divsChild>
            <w:div w:id="1202088230">
              <w:marLeft w:val="0"/>
              <w:marRight w:val="0"/>
              <w:marTop w:val="0"/>
              <w:marBottom w:val="0"/>
              <w:divBdr>
                <w:top w:val="none" w:sz="0" w:space="0" w:color="auto"/>
                <w:left w:val="none" w:sz="0" w:space="0" w:color="auto"/>
                <w:bottom w:val="none" w:sz="0" w:space="0" w:color="auto"/>
                <w:right w:val="none" w:sz="0" w:space="0" w:color="auto"/>
              </w:divBdr>
              <w:divsChild>
                <w:div w:id="388115137">
                  <w:marLeft w:val="0"/>
                  <w:marRight w:val="0"/>
                  <w:marTop w:val="0"/>
                  <w:marBottom w:val="0"/>
                  <w:divBdr>
                    <w:top w:val="none" w:sz="0" w:space="0" w:color="auto"/>
                    <w:left w:val="none" w:sz="0" w:space="0" w:color="auto"/>
                    <w:bottom w:val="none" w:sz="0" w:space="0" w:color="auto"/>
                    <w:right w:val="none" w:sz="0" w:space="0" w:color="auto"/>
                  </w:divBdr>
                  <w:divsChild>
                    <w:div w:id="7241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52447">
      <w:bodyDiv w:val="1"/>
      <w:marLeft w:val="0"/>
      <w:marRight w:val="0"/>
      <w:marTop w:val="0"/>
      <w:marBottom w:val="0"/>
      <w:divBdr>
        <w:top w:val="none" w:sz="0" w:space="0" w:color="auto"/>
        <w:left w:val="none" w:sz="0" w:space="0" w:color="auto"/>
        <w:bottom w:val="none" w:sz="0" w:space="0" w:color="auto"/>
        <w:right w:val="none" w:sz="0" w:space="0" w:color="auto"/>
      </w:divBdr>
    </w:div>
    <w:div w:id="1166700445">
      <w:bodyDiv w:val="1"/>
      <w:marLeft w:val="0"/>
      <w:marRight w:val="0"/>
      <w:marTop w:val="0"/>
      <w:marBottom w:val="0"/>
      <w:divBdr>
        <w:top w:val="none" w:sz="0" w:space="0" w:color="auto"/>
        <w:left w:val="none" w:sz="0" w:space="0" w:color="auto"/>
        <w:bottom w:val="none" w:sz="0" w:space="0" w:color="auto"/>
        <w:right w:val="none" w:sz="0" w:space="0" w:color="auto"/>
      </w:divBdr>
      <w:divsChild>
        <w:div w:id="1861044861">
          <w:marLeft w:val="0"/>
          <w:marRight w:val="0"/>
          <w:marTop w:val="0"/>
          <w:marBottom w:val="0"/>
          <w:divBdr>
            <w:top w:val="none" w:sz="0" w:space="0" w:color="auto"/>
            <w:left w:val="none" w:sz="0" w:space="0" w:color="auto"/>
            <w:bottom w:val="none" w:sz="0" w:space="0" w:color="auto"/>
            <w:right w:val="none" w:sz="0" w:space="0" w:color="auto"/>
          </w:divBdr>
          <w:divsChild>
            <w:div w:id="1250192635">
              <w:marLeft w:val="0"/>
              <w:marRight w:val="0"/>
              <w:marTop w:val="0"/>
              <w:marBottom w:val="0"/>
              <w:divBdr>
                <w:top w:val="none" w:sz="0" w:space="0" w:color="auto"/>
                <w:left w:val="none" w:sz="0" w:space="0" w:color="auto"/>
                <w:bottom w:val="none" w:sz="0" w:space="0" w:color="auto"/>
                <w:right w:val="none" w:sz="0" w:space="0" w:color="auto"/>
              </w:divBdr>
              <w:divsChild>
                <w:div w:id="621961948">
                  <w:marLeft w:val="0"/>
                  <w:marRight w:val="0"/>
                  <w:marTop w:val="0"/>
                  <w:marBottom w:val="0"/>
                  <w:divBdr>
                    <w:top w:val="none" w:sz="0" w:space="0" w:color="auto"/>
                    <w:left w:val="none" w:sz="0" w:space="0" w:color="auto"/>
                    <w:bottom w:val="none" w:sz="0" w:space="0" w:color="auto"/>
                    <w:right w:val="none" w:sz="0" w:space="0" w:color="auto"/>
                  </w:divBdr>
                  <w:divsChild>
                    <w:div w:id="18835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255867">
      <w:bodyDiv w:val="1"/>
      <w:marLeft w:val="0"/>
      <w:marRight w:val="0"/>
      <w:marTop w:val="0"/>
      <w:marBottom w:val="0"/>
      <w:divBdr>
        <w:top w:val="none" w:sz="0" w:space="0" w:color="auto"/>
        <w:left w:val="none" w:sz="0" w:space="0" w:color="auto"/>
        <w:bottom w:val="none" w:sz="0" w:space="0" w:color="auto"/>
        <w:right w:val="none" w:sz="0" w:space="0" w:color="auto"/>
      </w:divBdr>
      <w:divsChild>
        <w:div w:id="1097561361">
          <w:marLeft w:val="0"/>
          <w:marRight w:val="0"/>
          <w:marTop w:val="0"/>
          <w:marBottom w:val="0"/>
          <w:divBdr>
            <w:top w:val="none" w:sz="0" w:space="0" w:color="auto"/>
            <w:left w:val="none" w:sz="0" w:space="0" w:color="auto"/>
            <w:bottom w:val="none" w:sz="0" w:space="0" w:color="auto"/>
            <w:right w:val="none" w:sz="0" w:space="0" w:color="auto"/>
          </w:divBdr>
          <w:divsChild>
            <w:div w:id="1022782119">
              <w:marLeft w:val="0"/>
              <w:marRight w:val="0"/>
              <w:marTop w:val="0"/>
              <w:marBottom w:val="0"/>
              <w:divBdr>
                <w:top w:val="none" w:sz="0" w:space="0" w:color="auto"/>
                <w:left w:val="none" w:sz="0" w:space="0" w:color="auto"/>
                <w:bottom w:val="none" w:sz="0" w:space="0" w:color="auto"/>
                <w:right w:val="none" w:sz="0" w:space="0" w:color="auto"/>
              </w:divBdr>
              <w:divsChild>
                <w:div w:id="5849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3983">
      <w:bodyDiv w:val="1"/>
      <w:marLeft w:val="0"/>
      <w:marRight w:val="0"/>
      <w:marTop w:val="0"/>
      <w:marBottom w:val="0"/>
      <w:divBdr>
        <w:top w:val="none" w:sz="0" w:space="0" w:color="auto"/>
        <w:left w:val="none" w:sz="0" w:space="0" w:color="auto"/>
        <w:bottom w:val="none" w:sz="0" w:space="0" w:color="auto"/>
        <w:right w:val="none" w:sz="0" w:space="0" w:color="auto"/>
      </w:divBdr>
    </w:div>
    <w:div w:id="1181163327">
      <w:bodyDiv w:val="1"/>
      <w:marLeft w:val="0"/>
      <w:marRight w:val="0"/>
      <w:marTop w:val="0"/>
      <w:marBottom w:val="0"/>
      <w:divBdr>
        <w:top w:val="none" w:sz="0" w:space="0" w:color="auto"/>
        <w:left w:val="none" w:sz="0" w:space="0" w:color="auto"/>
        <w:bottom w:val="none" w:sz="0" w:space="0" w:color="auto"/>
        <w:right w:val="none" w:sz="0" w:space="0" w:color="auto"/>
      </w:divBdr>
    </w:div>
    <w:div w:id="1197278128">
      <w:bodyDiv w:val="1"/>
      <w:marLeft w:val="0"/>
      <w:marRight w:val="0"/>
      <w:marTop w:val="0"/>
      <w:marBottom w:val="0"/>
      <w:divBdr>
        <w:top w:val="none" w:sz="0" w:space="0" w:color="auto"/>
        <w:left w:val="none" w:sz="0" w:space="0" w:color="auto"/>
        <w:bottom w:val="none" w:sz="0" w:space="0" w:color="auto"/>
        <w:right w:val="none" w:sz="0" w:space="0" w:color="auto"/>
      </w:divBdr>
      <w:divsChild>
        <w:div w:id="168255603">
          <w:marLeft w:val="0"/>
          <w:marRight w:val="0"/>
          <w:marTop w:val="0"/>
          <w:marBottom w:val="0"/>
          <w:divBdr>
            <w:top w:val="none" w:sz="0" w:space="0" w:color="auto"/>
            <w:left w:val="none" w:sz="0" w:space="0" w:color="auto"/>
            <w:bottom w:val="none" w:sz="0" w:space="0" w:color="auto"/>
            <w:right w:val="none" w:sz="0" w:space="0" w:color="auto"/>
          </w:divBdr>
          <w:divsChild>
            <w:div w:id="351155294">
              <w:marLeft w:val="0"/>
              <w:marRight w:val="0"/>
              <w:marTop w:val="0"/>
              <w:marBottom w:val="0"/>
              <w:divBdr>
                <w:top w:val="none" w:sz="0" w:space="0" w:color="auto"/>
                <w:left w:val="none" w:sz="0" w:space="0" w:color="auto"/>
                <w:bottom w:val="none" w:sz="0" w:space="0" w:color="auto"/>
                <w:right w:val="none" w:sz="0" w:space="0" w:color="auto"/>
              </w:divBdr>
              <w:divsChild>
                <w:div w:id="74012378">
                  <w:marLeft w:val="0"/>
                  <w:marRight w:val="0"/>
                  <w:marTop w:val="0"/>
                  <w:marBottom w:val="0"/>
                  <w:divBdr>
                    <w:top w:val="none" w:sz="0" w:space="0" w:color="auto"/>
                    <w:left w:val="none" w:sz="0" w:space="0" w:color="auto"/>
                    <w:bottom w:val="none" w:sz="0" w:space="0" w:color="auto"/>
                    <w:right w:val="none" w:sz="0" w:space="0" w:color="auto"/>
                  </w:divBdr>
                  <w:divsChild>
                    <w:div w:id="18475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80746">
      <w:bodyDiv w:val="1"/>
      <w:marLeft w:val="0"/>
      <w:marRight w:val="0"/>
      <w:marTop w:val="0"/>
      <w:marBottom w:val="0"/>
      <w:divBdr>
        <w:top w:val="none" w:sz="0" w:space="0" w:color="auto"/>
        <w:left w:val="none" w:sz="0" w:space="0" w:color="auto"/>
        <w:bottom w:val="none" w:sz="0" w:space="0" w:color="auto"/>
        <w:right w:val="none" w:sz="0" w:space="0" w:color="auto"/>
      </w:divBdr>
    </w:div>
    <w:div w:id="1228225930">
      <w:bodyDiv w:val="1"/>
      <w:marLeft w:val="0"/>
      <w:marRight w:val="0"/>
      <w:marTop w:val="0"/>
      <w:marBottom w:val="0"/>
      <w:divBdr>
        <w:top w:val="none" w:sz="0" w:space="0" w:color="auto"/>
        <w:left w:val="none" w:sz="0" w:space="0" w:color="auto"/>
        <w:bottom w:val="none" w:sz="0" w:space="0" w:color="auto"/>
        <w:right w:val="none" w:sz="0" w:space="0" w:color="auto"/>
      </w:divBdr>
      <w:divsChild>
        <w:div w:id="267086243">
          <w:marLeft w:val="0"/>
          <w:marRight w:val="0"/>
          <w:marTop w:val="0"/>
          <w:marBottom w:val="0"/>
          <w:divBdr>
            <w:top w:val="none" w:sz="0" w:space="0" w:color="auto"/>
            <w:left w:val="none" w:sz="0" w:space="0" w:color="auto"/>
            <w:bottom w:val="none" w:sz="0" w:space="0" w:color="auto"/>
            <w:right w:val="none" w:sz="0" w:space="0" w:color="auto"/>
          </w:divBdr>
          <w:divsChild>
            <w:div w:id="396243918">
              <w:marLeft w:val="0"/>
              <w:marRight w:val="0"/>
              <w:marTop w:val="0"/>
              <w:marBottom w:val="0"/>
              <w:divBdr>
                <w:top w:val="none" w:sz="0" w:space="0" w:color="auto"/>
                <w:left w:val="none" w:sz="0" w:space="0" w:color="auto"/>
                <w:bottom w:val="none" w:sz="0" w:space="0" w:color="auto"/>
                <w:right w:val="none" w:sz="0" w:space="0" w:color="auto"/>
              </w:divBdr>
              <w:divsChild>
                <w:div w:id="5888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6750">
      <w:bodyDiv w:val="1"/>
      <w:marLeft w:val="0"/>
      <w:marRight w:val="0"/>
      <w:marTop w:val="0"/>
      <w:marBottom w:val="0"/>
      <w:divBdr>
        <w:top w:val="none" w:sz="0" w:space="0" w:color="auto"/>
        <w:left w:val="none" w:sz="0" w:space="0" w:color="auto"/>
        <w:bottom w:val="none" w:sz="0" w:space="0" w:color="auto"/>
        <w:right w:val="none" w:sz="0" w:space="0" w:color="auto"/>
      </w:divBdr>
    </w:div>
    <w:div w:id="1259630764">
      <w:bodyDiv w:val="1"/>
      <w:marLeft w:val="0"/>
      <w:marRight w:val="0"/>
      <w:marTop w:val="0"/>
      <w:marBottom w:val="0"/>
      <w:divBdr>
        <w:top w:val="none" w:sz="0" w:space="0" w:color="auto"/>
        <w:left w:val="none" w:sz="0" w:space="0" w:color="auto"/>
        <w:bottom w:val="none" w:sz="0" w:space="0" w:color="auto"/>
        <w:right w:val="none" w:sz="0" w:space="0" w:color="auto"/>
      </w:divBdr>
    </w:div>
    <w:div w:id="1271353075">
      <w:bodyDiv w:val="1"/>
      <w:marLeft w:val="0"/>
      <w:marRight w:val="0"/>
      <w:marTop w:val="0"/>
      <w:marBottom w:val="0"/>
      <w:divBdr>
        <w:top w:val="none" w:sz="0" w:space="0" w:color="auto"/>
        <w:left w:val="none" w:sz="0" w:space="0" w:color="auto"/>
        <w:bottom w:val="none" w:sz="0" w:space="0" w:color="auto"/>
        <w:right w:val="none" w:sz="0" w:space="0" w:color="auto"/>
      </w:divBdr>
      <w:divsChild>
        <w:div w:id="311326173">
          <w:marLeft w:val="0"/>
          <w:marRight w:val="0"/>
          <w:marTop w:val="0"/>
          <w:marBottom w:val="0"/>
          <w:divBdr>
            <w:top w:val="none" w:sz="0" w:space="0" w:color="auto"/>
            <w:left w:val="none" w:sz="0" w:space="0" w:color="auto"/>
            <w:bottom w:val="none" w:sz="0" w:space="0" w:color="auto"/>
            <w:right w:val="none" w:sz="0" w:space="0" w:color="auto"/>
          </w:divBdr>
          <w:divsChild>
            <w:div w:id="1025985068">
              <w:marLeft w:val="0"/>
              <w:marRight w:val="0"/>
              <w:marTop w:val="0"/>
              <w:marBottom w:val="0"/>
              <w:divBdr>
                <w:top w:val="none" w:sz="0" w:space="0" w:color="auto"/>
                <w:left w:val="none" w:sz="0" w:space="0" w:color="auto"/>
                <w:bottom w:val="none" w:sz="0" w:space="0" w:color="auto"/>
                <w:right w:val="none" w:sz="0" w:space="0" w:color="auto"/>
              </w:divBdr>
              <w:divsChild>
                <w:div w:id="15176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1278">
      <w:bodyDiv w:val="1"/>
      <w:marLeft w:val="0"/>
      <w:marRight w:val="0"/>
      <w:marTop w:val="0"/>
      <w:marBottom w:val="0"/>
      <w:divBdr>
        <w:top w:val="none" w:sz="0" w:space="0" w:color="auto"/>
        <w:left w:val="none" w:sz="0" w:space="0" w:color="auto"/>
        <w:bottom w:val="none" w:sz="0" w:space="0" w:color="auto"/>
        <w:right w:val="none" w:sz="0" w:space="0" w:color="auto"/>
      </w:divBdr>
      <w:divsChild>
        <w:div w:id="1878740659">
          <w:marLeft w:val="0"/>
          <w:marRight w:val="0"/>
          <w:marTop w:val="0"/>
          <w:marBottom w:val="0"/>
          <w:divBdr>
            <w:top w:val="none" w:sz="0" w:space="0" w:color="auto"/>
            <w:left w:val="none" w:sz="0" w:space="0" w:color="auto"/>
            <w:bottom w:val="none" w:sz="0" w:space="0" w:color="auto"/>
            <w:right w:val="none" w:sz="0" w:space="0" w:color="auto"/>
          </w:divBdr>
          <w:divsChild>
            <w:div w:id="1094595731">
              <w:marLeft w:val="0"/>
              <w:marRight w:val="0"/>
              <w:marTop w:val="0"/>
              <w:marBottom w:val="0"/>
              <w:divBdr>
                <w:top w:val="none" w:sz="0" w:space="0" w:color="auto"/>
                <w:left w:val="none" w:sz="0" w:space="0" w:color="auto"/>
                <w:bottom w:val="none" w:sz="0" w:space="0" w:color="auto"/>
                <w:right w:val="none" w:sz="0" w:space="0" w:color="auto"/>
              </w:divBdr>
              <w:divsChild>
                <w:div w:id="1799032401">
                  <w:marLeft w:val="0"/>
                  <w:marRight w:val="0"/>
                  <w:marTop w:val="0"/>
                  <w:marBottom w:val="0"/>
                  <w:divBdr>
                    <w:top w:val="none" w:sz="0" w:space="0" w:color="auto"/>
                    <w:left w:val="none" w:sz="0" w:space="0" w:color="auto"/>
                    <w:bottom w:val="none" w:sz="0" w:space="0" w:color="auto"/>
                    <w:right w:val="none" w:sz="0" w:space="0" w:color="auto"/>
                  </w:divBdr>
                  <w:divsChild>
                    <w:div w:id="121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3981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69">
          <w:marLeft w:val="0"/>
          <w:marRight w:val="0"/>
          <w:marTop w:val="0"/>
          <w:marBottom w:val="0"/>
          <w:divBdr>
            <w:top w:val="none" w:sz="0" w:space="0" w:color="auto"/>
            <w:left w:val="none" w:sz="0" w:space="0" w:color="auto"/>
            <w:bottom w:val="none" w:sz="0" w:space="0" w:color="auto"/>
            <w:right w:val="none" w:sz="0" w:space="0" w:color="auto"/>
          </w:divBdr>
          <w:divsChild>
            <w:div w:id="369189501">
              <w:marLeft w:val="0"/>
              <w:marRight w:val="0"/>
              <w:marTop w:val="0"/>
              <w:marBottom w:val="0"/>
              <w:divBdr>
                <w:top w:val="none" w:sz="0" w:space="0" w:color="auto"/>
                <w:left w:val="none" w:sz="0" w:space="0" w:color="auto"/>
                <w:bottom w:val="none" w:sz="0" w:space="0" w:color="auto"/>
                <w:right w:val="none" w:sz="0" w:space="0" w:color="auto"/>
              </w:divBdr>
              <w:divsChild>
                <w:div w:id="627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1924">
      <w:bodyDiv w:val="1"/>
      <w:marLeft w:val="0"/>
      <w:marRight w:val="0"/>
      <w:marTop w:val="0"/>
      <w:marBottom w:val="0"/>
      <w:divBdr>
        <w:top w:val="none" w:sz="0" w:space="0" w:color="auto"/>
        <w:left w:val="none" w:sz="0" w:space="0" w:color="auto"/>
        <w:bottom w:val="none" w:sz="0" w:space="0" w:color="auto"/>
        <w:right w:val="none" w:sz="0" w:space="0" w:color="auto"/>
      </w:divBdr>
      <w:divsChild>
        <w:div w:id="271402291">
          <w:marLeft w:val="0"/>
          <w:marRight w:val="0"/>
          <w:marTop w:val="0"/>
          <w:marBottom w:val="0"/>
          <w:divBdr>
            <w:top w:val="none" w:sz="0" w:space="0" w:color="auto"/>
            <w:left w:val="none" w:sz="0" w:space="0" w:color="auto"/>
            <w:bottom w:val="none" w:sz="0" w:space="0" w:color="auto"/>
            <w:right w:val="none" w:sz="0" w:space="0" w:color="auto"/>
          </w:divBdr>
          <w:divsChild>
            <w:div w:id="1177236777">
              <w:marLeft w:val="0"/>
              <w:marRight w:val="0"/>
              <w:marTop w:val="0"/>
              <w:marBottom w:val="0"/>
              <w:divBdr>
                <w:top w:val="none" w:sz="0" w:space="0" w:color="auto"/>
                <w:left w:val="none" w:sz="0" w:space="0" w:color="auto"/>
                <w:bottom w:val="none" w:sz="0" w:space="0" w:color="auto"/>
                <w:right w:val="none" w:sz="0" w:space="0" w:color="auto"/>
              </w:divBdr>
              <w:divsChild>
                <w:div w:id="5875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5449">
      <w:bodyDiv w:val="1"/>
      <w:marLeft w:val="0"/>
      <w:marRight w:val="0"/>
      <w:marTop w:val="0"/>
      <w:marBottom w:val="0"/>
      <w:divBdr>
        <w:top w:val="none" w:sz="0" w:space="0" w:color="auto"/>
        <w:left w:val="none" w:sz="0" w:space="0" w:color="auto"/>
        <w:bottom w:val="none" w:sz="0" w:space="0" w:color="auto"/>
        <w:right w:val="none" w:sz="0" w:space="0" w:color="auto"/>
      </w:divBdr>
      <w:divsChild>
        <w:div w:id="1601991296">
          <w:marLeft w:val="0"/>
          <w:marRight w:val="0"/>
          <w:marTop w:val="0"/>
          <w:marBottom w:val="0"/>
          <w:divBdr>
            <w:top w:val="none" w:sz="0" w:space="0" w:color="auto"/>
            <w:left w:val="none" w:sz="0" w:space="0" w:color="auto"/>
            <w:bottom w:val="none" w:sz="0" w:space="0" w:color="auto"/>
            <w:right w:val="none" w:sz="0" w:space="0" w:color="auto"/>
          </w:divBdr>
          <w:divsChild>
            <w:div w:id="644627796">
              <w:marLeft w:val="0"/>
              <w:marRight w:val="0"/>
              <w:marTop w:val="0"/>
              <w:marBottom w:val="0"/>
              <w:divBdr>
                <w:top w:val="none" w:sz="0" w:space="0" w:color="auto"/>
                <w:left w:val="none" w:sz="0" w:space="0" w:color="auto"/>
                <w:bottom w:val="none" w:sz="0" w:space="0" w:color="auto"/>
                <w:right w:val="none" w:sz="0" w:space="0" w:color="auto"/>
              </w:divBdr>
              <w:divsChild>
                <w:div w:id="1442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7129">
      <w:bodyDiv w:val="1"/>
      <w:marLeft w:val="0"/>
      <w:marRight w:val="0"/>
      <w:marTop w:val="0"/>
      <w:marBottom w:val="0"/>
      <w:divBdr>
        <w:top w:val="none" w:sz="0" w:space="0" w:color="auto"/>
        <w:left w:val="none" w:sz="0" w:space="0" w:color="auto"/>
        <w:bottom w:val="none" w:sz="0" w:space="0" w:color="auto"/>
        <w:right w:val="none" w:sz="0" w:space="0" w:color="auto"/>
      </w:divBdr>
      <w:divsChild>
        <w:div w:id="1576475402">
          <w:marLeft w:val="0"/>
          <w:marRight w:val="0"/>
          <w:marTop w:val="0"/>
          <w:marBottom w:val="0"/>
          <w:divBdr>
            <w:top w:val="none" w:sz="0" w:space="0" w:color="auto"/>
            <w:left w:val="none" w:sz="0" w:space="0" w:color="auto"/>
            <w:bottom w:val="none" w:sz="0" w:space="0" w:color="auto"/>
            <w:right w:val="none" w:sz="0" w:space="0" w:color="auto"/>
          </w:divBdr>
          <w:divsChild>
            <w:div w:id="1284800443">
              <w:marLeft w:val="0"/>
              <w:marRight w:val="0"/>
              <w:marTop w:val="0"/>
              <w:marBottom w:val="0"/>
              <w:divBdr>
                <w:top w:val="none" w:sz="0" w:space="0" w:color="auto"/>
                <w:left w:val="none" w:sz="0" w:space="0" w:color="auto"/>
                <w:bottom w:val="none" w:sz="0" w:space="0" w:color="auto"/>
                <w:right w:val="none" w:sz="0" w:space="0" w:color="auto"/>
              </w:divBdr>
              <w:divsChild>
                <w:div w:id="1273051118">
                  <w:marLeft w:val="0"/>
                  <w:marRight w:val="0"/>
                  <w:marTop w:val="0"/>
                  <w:marBottom w:val="0"/>
                  <w:divBdr>
                    <w:top w:val="none" w:sz="0" w:space="0" w:color="auto"/>
                    <w:left w:val="none" w:sz="0" w:space="0" w:color="auto"/>
                    <w:bottom w:val="none" w:sz="0" w:space="0" w:color="auto"/>
                    <w:right w:val="none" w:sz="0" w:space="0" w:color="auto"/>
                  </w:divBdr>
                  <w:divsChild>
                    <w:div w:id="7330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11178">
      <w:bodyDiv w:val="1"/>
      <w:marLeft w:val="0"/>
      <w:marRight w:val="0"/>
      <w:marTop w:val="0"/>
      <w:marBottom w:val="0"/>
      <w:divBdr>
        <w:top w:val="none" w:sz="0" w:space="0" w:color="auto"/>
        <w:left w:val="none" w:sz="0" w:space="0" w:color="auto"/>
        <w:bottom w:val="none" w:sz="0" w:space="0" w:color="auto"/>
        <w:right w:val="none" w:sz="0" w:space="0" w:color="auto"/>
      </w:divBdr>
      <w:divsChild>
        <w:div w:id="1695308742">
          <w:marLeft w:val="0"/>
          <w:marRight w:val="0"/>
          <w:marTop w:val="0"/>
          <w:marBottom w:val="0"/>
          <w:divBdr>
            <w:top w:val="none" w:sz="0" w:space="0" w:color="auto"/>
            <w:left w:val="none" w:sz="0" w:space="0" w:color="auto"/>
            <w:bottom w:val="none" w:sz="0" w:space="0" w:color="auto"/>
            <w:right w:val="none" w:sz="0" w:space="0" w:color="auto"/>
          </w:divBdr>
          <w:divsChild>
            <w:div w:id="1439833836">
              <w:marLeft w:val="0"/>
              <w:marRight w:val="0"/>
              <w:marTop w:val="0"/>
              <w:marBottom w:val="0"/>
              <w:divBdr>
                <w:top w:val="none" w:sz="0" w:space="0" w:color="auto"/>
                <w:left w:val="none" w:sz="0" w:space="0" w:color="auto"/>
                <w:bottom w:val="none" w:sz="0" w:space="0" w:color="auto"/>
                <w:right w:val="none" w:sz="0" w:space="0" w:color="auto"/>
              </w:divBdr>
              <w:divsChild>
                <w:div w:id="393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8279">
      <w:bodyDiv w:val="1"/>
      <w:marLeft w:val="0"/>
      <w:marRight w:val="0"/>
      <w:marTop w:val="0"/>
      <w:marBottom w:val="0"/>
      <w:divBdr>
        <w:top w:val="none" w:sz="0" w:space="0" w:color="auto"/>
        <w:left w:val="none" w:sz="0" w:space="0" w:color="auto"/>
        <w:bottom w:val="none" w:sz="0" w:space="0" w:color="auto"/>
        <w:right w:val="none" w:sz="0" w:space="0" w:color="auto"/>
      </w:divBdr>
      <w:divsChild>
        <w:div w:id="387072016">
          <w:marLeft w:val="0"/>
          <w:marRight w:val="0"/>
          <w:marTop w:val="0"/>
          <w:marBottom w:val="0"/>
          <w:divBdr>
            <w:top w:val="none" w:sz="0" w:space="0" w:color="auto"/>
            <w:left w:val="none" w:sz="0" w:space="0" w:color="auto"/>
            <w:bottom w:val="none" w:sz="0" w:space="0" w:color="auto"/>
            <w:right w:val="none" w:sz="0" w:space="0" w:color="auto"/>
          </w:divBdr>
          <w:divsChild>
            <w:div w:id="453523671">
              <w:marLeft w:val="0"/>
              <w:marRight w:val="0"/>
              <w:marTop w:val="0"/>
              <w:marBottom w:val="0"/>
              <w:divBdr>
                <w:top w:val="none" w:sz="0" w:space="0" w:color="auto"/>
                <w:left w:val="none" w:sz="0" w:space="0" w:color="auto"/>
                <w:bottom w:val="none" w:sz="0" w:space="0" w:color="auto"/>
                <w:right w:val="none" w:sz="0" w:space="0" w:color="auto"/>
              </w:divBdr>
              <w:divsChild>
                <w:div w:id="584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1724">
      <w:bodyDiv w:val="1"/>
      <w:marLeft w:val="0"/>
      <w:marRight w:val="0"/>
      <w:marTop w:val="0"/>
      <w:marBottom w:val="0"/>
      <w:divBdr>
        <w:top w:val="none" w:sz="0" w:space="0" w:color="auto"/>
        <w:left w:val="none" w:sz="0" w:space="0" w:color="auto"/>
        <w:bottom w:val="none" w:sz="0" w:space="0" w:color="auto"/>
        <w:right w:val="none" w:sz="0" w:space="0" w:color="auto"/>
      </w:divBdr>
      <w:divsChild>
        <w:div w:id="1824541450">
          <w:marLeft w:val="0"/>
          <w:marRight w:val="0"/>
          <w:marTop w:val="0"/>
          <w:marBottom w:val="0"/>
          <w:divBdr>
            <w:top w:val="none" w:sz="0" w:space="0" w:color="auto"/>
            <w:left w:val="none" w:sz="0" w:space="0" w:color="auto"/>
            <w:bottom w:val="none" w:sz="0" w:space="0" w:color="auto"/>
            <w:right w:val="none" w:sz="0" w:space="0" w:color="auto"/>
          </w:divBdr>
          <w:divsChild>
            <w:div w:id="371854726">
              <w:marLeft w:val="0"/>
              <w:marRight w:val="0"/>
              <w:marTop w:val="0"/>
              <w:marBottom w:val="0"/>
              <w:divBdr>
                <w:top w:val="none" w:sz="0" w:space="0" w:color="auto"/>
                <w:left w:val="none" w:sz="0" w:space="0" w:color="auto"/>
                <w:bottom w:val="none" w:sz="0" w:space="0" w:color="auto"/>
                <w:right w:val="none" w:sz="0" w:space="0" w:color="auto"/>
              </w:divBdr>
              <w:divsChild>
                <w:div w:id="1676033726">
                  <w:marLeft w:val="0"/>
                  <w:marRight w:val="0"/>
                  <w:marTop w:val="0"/>
                  <w:marBottom w:val="0"/>
                  <w:divBdr>
                    <w:top w:val="none" w:sz="0" w:space="0" w:color="auto"/>
                    <w:left w:val="none" w:sz="0" w:space="0" w:color="auto"/>
                    <w:bottom w:val="none" w:sz="0" w:space="0" w:color="auto"/>
                    <w:right w:val="none" w:sz="0" w:space="0" w:color="auto"/>
                  </w:divBdr>
                  <w:divsChild>
                    <w:div w:id="12602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171278">
      <w:bodyDiv w:val="1"/>
      <w:marLeft w:val="0"/>
      <w:marRight w:val="0"/>
      <w:marTop w:val="0"/>
      <w:marBottom w:val="0"/>
      <w:divBdr>
        <w:top w:val="none" w:sz="0" w:space="0" w:color="auto"/>
        <w:left w:val="none" w:sz="0" w:space="0" w:color="auto"/>
        <w:bottom w:val="none" w:sz="0" w:space="0" w:color="auto"/>
        <w:right w:val="none" w:sz="0" w:space="0" w:color="auto"/>
      </w:divBdr>
      <w:divsChild>
        <w:div w:id="1431200687">
          <w:marLeft w:val="0"/>
          <w:marRight w:val="0"/>
          <w:marTop w:val="0"/>
          <w:marBottom w:val="0"/>
          <w:divBdr>
            <w:top w:val="none" w:sz="0" w:space="0" w:color="auto"/>
            <w:left w:val="none" w:sz="0" w:space="0" w:color="auto"/>
            <w:bottom w:val="none" w:sz="0" w:space="0" w:color="auto"/>
            <w:right w:val="none" w:sz="0" w:space="0" w:color="auto"/>
          </w:divBdr>
          <w:divsChild>
            <w:div w:id="154882209">
              <w:marLeft w:val="0"/>
              <w:marRight w:val="0"/>
              <w:marTop w:val="0"/>
              <w:marBottom w:val="0"/>
              <w:divBdr>
                <w:top w:val="none" w:sz="0" w:space="0" w:color="auto"/>
                <w:left w:val="none" w:sz="0" w:space="0" w:color="auto"/>
                <w:bottom w:val="none" w:sz="0" w:space="0" w:color="auto"/>
                <w:right w:val="none" w:sz="0" w:space="0" w:color="auto"/>
              </w:divBdr>
              <w:divsChild>
                <w:div w:id="136265519">
                  <w:marLeft w:val="0"/>
                  <w:marRight w:val="0"/>
                  <w:marTop w:val="0"/>
                  <w:marBottom w:val="0"/>
                  <w:divBdr>
                    <w:top w:val="none" w:sz="0" w:space="0" w:color="auto"/>
                    <w:left w:val="none" w:sz="0" w:space="0" w:color="auto"/>
                    <w:bottom w:val="none" w:sz="0" w:space="0" w:color="auto"/>
                    <w:right w:val="none" w:sz="0" w:space="0" w:color="auto"/>
                  </w:divBdr>
                  <w:divsChild>
                    <w:div w:id="16063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919527">
      <w:bodyDiv w:val="1"/>
      <w:marLeft w:val="0"/>
      <w:marRight w:val="0"/>
      <w:marTop w:val="0"/>
      <w:marBottom w:val="0"/>
      <w:divBdr>
        <w:top w:val="none" w:sz="0" w:space="0" w:color="auto"/>
        <w:left w:val="none" w:sz="0" w:space="0" w:color="auto"/>
        <w:bottom w:val="none" w:sz="0" w:space="0" w:color="auto"/>
        <w:right w:val="none" w:sz="0" w:space="0" w:color="auto"/>
      </w:divBdr>
      <w:divsChild>
        <w:div w:id="1236010433">
          <w:marLeft w:val="0"/>
          <w:marRight w:val="0"/>
          <w:marTop w:val="0"/>
          <w:marBottom w:val="0"/>
          <w:divBdr>
            <w:top w:val="none" w:sz="0" w:space="0" w:color="auto"/>
            <w:left w:val="none" w:sz="0" w:space="0" w:color="auto"/>
            <w:bottom w:val="none" w:sz="0" w:space="0" w:color="auto"/>
            <w:right w:val="none" w:sz="0" w:space="0" w:color="auto"/>
          </w:divBdr>
          <w:divsChild>
            <w:div w:id="1667631724">
              <w:marLeft w:val="0"/>
              <w:marRight w:val="0"/>
              <w:marTop w:val="0"/>
              <w:marBottom w:val="0"/>
              <w:divBdr>
                <w:top w:val="none" w:sz="0" w:space="0" w:color="auto"/>
                <w:left w:val="none" w:sz="0" w:space="0" w:color="auto"/>
                <w:bottom w:val="none" w:sz="0" w:space="0" w:color="auto"/>
                <w:right w:val="none" w:sz="0" w:space="0" w:color="auto"/>
              </w:divBdr>
              <w:divsChild>
                <w:div w:id="406271689">
                  <w:marLeft w:val="0"/>
                  <w:marRight w:val="0"/>
                  <w:marTop w:val="0"/>
                  <w:marBottom w:val="0"/>
                  <w:divBdr>
                    <w:top w:val="none" w:sz="0" w:space="0" w:color="auto"/>
                    <w:left w:val="none" w:sz="0" w:space="0" w:color="auto"/>
                    <w:bottom w:val="none" w:sz="0" w:space="0" w:color="auto"/>
                    <w:right w:val="none" w:sz="0" w:space="0" w:color="auto"/>
                  </w:divBdr>
                  <w:divsChild>
                    <w:div w:id="6653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03338">
      <w:bodyDiv w:val="1"/>
      <w:marLeft w:val="0"/>
      <w:marRight w:val="0"/>
      <w:marTop w:val="0"/>
      <w:marBottom w:val="0"/>
      <w:divBdr>
        <w:top w:val="none" w:sz="0" w:space="0" w:color="auto"/>
        <w:left w:val="none" w:sz="0" w:space="0" w:color="auto"/>
        <w:bottom w:val="none" w:sz="0" w:space="0" w:color="auto"/>
        <w:right w:val="none" w:sz="0" w:space="0" w:color="auto"/>
      </w:divBdr>
    </w:div>
    <w:div w:id="1506751170">
      <w:bodyDiv w:val="1"/>
      <w:marLeft w:val="0"/>
      <w:marRight w:val="0"/>
      <w:marTop w:val="0"/>
      <w:marBottom w:val="0"/>
      <w:divBdr>
        <w:top w:val="none" w:sz="0" w:space="0" w:color="auto"/>
        <w:left w:val="none" w:sz="0" w:space="0" w:color="auto"/>
        <w:bottom w:val="none" w:sz="0" w:space="0" w:color="auto"/>
        <w:right w:val="none" w:sz="0" w:space="0" w:color="auto"/>
      </w:divBdr>
      <w:divsChild>
        <w:div w:id="341512672">
          <w:marLeft w:val="0"/>
          <w:marRight w:val="0"/>
          <w:marTop w:val="0"/>
          <w:marBottom w:val="0"/>
          <w:divBdr>
            <w:top w:val="none" w:sz="0" w:space="0" w:color="auto"/>
            <w:left w:val="none" w:sz="0" w:space="0" w:color="auto"/>
            <w:bottom w:val="none" w:sz="0" w:space="0" w:color="auto"/>
            <w:right w:val="none" w:sz="0" w:space="0" w:color="auto"/>
          </w:divBdr>
          <w:divsChild>
            <w:div w:id="2108115940">
              <w:marLeft w:val="0"/>
              <w:marRight w:val="0"/>
              <w:marTop w:val="0"/>
              <w:marBottom w:val="0"/>
              <w:divBdr>
                <w:top w:val="none" w:sz="0" w:space="0" w:color="auto"/>
                <w:left w:val="none" w:sz="0" w:space="0" w:color="auto"/>
                <w:bottom w:val="none" w:sz="0" w:space="0" w:color="auto"/>
                <w:right w:val="none" w:sz="0" w:space="0" w:color="auto"/>
              </w:divBdr>
              <w:divsChild>
                <w:div w:id="1630622078">
                  <w:marLeft w:val="0"/>
                  <w:marRight w:val="0"/>
                  <w:marTop w:val="0"/>
                  <w:marBottom w:val="0"/>
                  <w:divBdr>
                    <w:top w:val="none" w:sz="0" w:space="0" w:color="auto"/>
                    <w:left w:val="none" w:sz="0" w:space="0" w:color="auto"/>
                    <w:bottom w:val="none" w:sz="0" w:space="0" w:color="auto"/>
                    <w:right w:val="none" w:sz="0" w:space="0" w:color="auto"/>
                  </w:divBdr>
                  <w:divsChild>
                    <w:div w:id="3318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18147">
      <w:bodyDiv w:val="1"/>
      <w:marLeft w:val="0"/>
      <w:marRight w:val="0"/>
      <w:marTop w:val="0"/>
      <w:marBottom w:val="0"/>
      <w:divBdr>
        <w:top w:val="none" w:sz="0" w:space="0" w:color="auto"/>
        <w:left w:val="none" w:sz="0" w:space="0" w:color="auto"/>
        <w:bottom w:val="none" w:sz="0" w:space="0" w:color="auto"/>
        <w:right w:val="none" w:sz="0" w:space="0" w:color="auto"/>
      </w:divBdr>
    </w:div>
    <w:div w:id="1568567555">
      <w:bodyDiv w:val="1"/>
      <w:marLeft w:val="0"/>
      <w:marRight w:val="0"/>
      <w:marTop w:val="0"/>
      <w:marBottom w:val="0"/>
      <w:divBdr>
        <w:top w:val="none" w:sz="0" w:space="0" w:color="auto"/>
        <w:left w:val="none" w:sz="0" w:space="0" w:color="auto"/>
        <w:bottom w:val="none" w:sz="0" w:space="0" w:color="auto"/>
        <w:right w:val="none" w:sz="0" w:space="0" w:color="auto"/>
      </w:divBdr>
      <w:divsChild>
        <w:div w:id="1403914229">
          <w:marLeft w:val="0"/>
          <w:marRight w:val="0"/>
          <w:marTop w:val="0"/>
          <w:marBottom w:val="0"/>
          <w:divBdr>
            <w:top w:val="none" w:sz="0" w:space="0" w:color="auto"/>
            <w:left w:val="none" w:sz="0" w:space="0" w:color="auto"/>
            <w:bottom w:val="none" w:sz="0" w:space="0" w:color="auto"/>
            <w:right w:val="none" w:sz="0" w:space="0" w:color="auto"/>
          </w:divBdr>
          <w:divsChild>
            <w:div w:id="944733782">
              <w:marLeft w:val="0"/>
              <w:marRight w:val="0"/>
              <w:marTop w:val="0"/>
              <w:marBottom w:val="0"/>
              <w:divBdr>
                <w:top w:val="none" w:sz="0" w:space="0" w:color="auto"/>
                <w:left w:val="none" w:sz="0" w:space="0" w:color="auto"/>
                <w:bottom w:val="none" w:sz="0" w:space="0" w:color="auto"/>
                <w:right w:val="none" w:sz="0" w:space="0" w:color="auto"/>
              </w:divBdr>
              <w:divsChild>
                <w:div w:id="1058557135">
                  <w:marLeft w:val="0"/>
                  <w:marRight w:val="0"/>
                  <w:marTop w:val="0"/>
                  <w:marBottom w:val="0"/>
                  <w:divBdr>
                    <w:top w:val="none" w:sz="0" w:space="0" w:color="auto"/>
                    <w:left w:val="none" w:sz="0" w:space="0" w:color="auto"/>
                    <w:bottom w:val="none" w:sz="0" w:space="0" w:color="auto"/>
                    <w:right w:val="none" w:sz="0" w:space="0" w:color="auto"/>
                  </w:divBdr>
                  <w:divsChild>
                    <w:div w:id="161313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3214">
      <w:bodyDiv w:val="1"/>
      <w:marLeft w:val="0"/>
      <w:marRight w:val="0"/>
      <w:marTop w:val="0"/>
      <w:marBottom w:val="0"/>
      <w:divBdr>
        <w:top w:val="none" w:sz="0" w:space="0" w:color="auto"/>
        <w:left w:val="none" w:sz="0" w:space="0" w:color="auto"/>
        <w:bottom w:val="none" w:sz="0" w:space="0" w:color="auto"/>
        <w:right w:val="none" w:sz="0" w:space="0" w:color="auto"/>
      </w:divBdr>
      <w:divsChild>
        <w:div w:id="1091853044">
          <w:marLeft w:val="0"/>
          <w:marRight w:val="0"/>
          <w:marTop w:val="0"/>
          <w:marBottom w:val="0"/>
          <w:divBdr>
            <w:top w:val="none" w:sz="0" w:space="0" w:color="auto"/>
            <w:left w:val="none" w:sz="0" w:space="0" w:color="auto"/>
            <w:bottom w:val="none" w:sz="0" w:space="0" w:color="auto"/>
            <w:right w:val="none" w:sz="0" w:space="0" w:color="auto"/>
          </w:divBdr>
          <w:divsChild>
            <w:div w:id="1091468398">
              <w:marLeft w:val="0"/>
              <w:marRight w:val="0"/>
              <w:marTop w:val="0"/>
              <w:marBottom w:val="0"/>
              <w:divBdr>
                <w:top w:val="none" w:sz="0" w:space="0" w:color="auto"/>
                <w:left w:val="none" w:sz="0" w:space="0" w:color="auto"/>
                <w:bottom w:val="none" w:sz="0" w:space="0" w:color="auto"/>
                <w:right w:val="none" w:sz="0" w:space="0" w:color="auto"/>
              </w:divBdr>
              <w:divsChild>
                <w:div w:id="15313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2292">
      <w:bodyDiv w:val="1"/>
      <w:marLeft w:val="0"/>
      <w:marRight w:val="0"/>
      <w:marTop w:val="0"/>
      <w:marBottom w:val="0"/>
      <w:divBdr>
        <w:top w:val="none" w:sz="0" w:space="0" w:color="auto"/>
        <w:left w:val="none" w:sz="0" w:space="0" w:color="auto"/>
        <w:bottom w:val="none" w:sz="0" w:space="0" w:color="auto"/>
        <w:right w:val="none" w:sz="0" w:space="0" w:color="auto"/>
      </w:divBdr>
      <w:divsChild>
        <w:div w:id="1929382084">
          <w:marLeft w:val="0"/>
          <w:marRight w:val="0"/>
          <w:marTop w:val="0"/>
          <w:marBottom w:val="0"/>
          <w:divBdr>
            <w:top w:val="none" w:sz="0" w:space="0" w:color="auto"/>
            <w:left w:val="none" w:sz="0" w:space="0" w:color="auto"/>
            <w:bottom w:val="none" w:sz="0" w:space="0" w:color="auto"/>
            <w:right w:val="none" w:sz="0" w:space="0" w:color="auto"/>
          </w:divBdr>
          <w:divsChild>
            <w:div w:id="1054811572">
              <w:marLeft w:val="0"/>
              <w:marRight w:val="0"/>
              <w:marTop w:val="0"/>
              <w:marBottom w:val="0"/>
              <w:divBdr>
                <w:top w:val="none" w:sz="0" w:space="0" w:color="auto"/>
                <w:left w:val="none" w:sz="0" w:space="0" w:color="auto"/>
                <w:bottom w:val="none" w:sz="0" w:space="0" w:color="auto"/>
                <w:right w:val="none" w:sz="0" w:space="0" w:color="auto"/>
              </w:divBdr>
              <w:divsChild>
                <w:div w:id="11197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11040">
      <w:bodyDiv w:val="1"/>
      <w:marLeft w:val="0"/>
      <w:marRight w:val="0"/>
      <w:marTop w:val="0"/>
      <w:marBottom w:val="0"/>
      <w:divBdr>
        <w:top w:val="none" w:sz="0" w:space="0" w:color="auto"/>
        <w:left w:val="none" w:sz="0" w:space="0" w:color="auto"/>
        <w:bottom w:val="none" w:sz="0" w:space="0" w:color="auto"/>
        <w:right w:val="none" w:sz="0" w:space="0" w:color="auto"/>
      </w:divBdr>
      <w:divsChild>
        <w:div w:id="1701779637">
          <w:marLeft w:val="0"/>
          <w:marRight w:val="0"/>
          <w:marTop w:val="0"/>
          <w:marBottom w:val="0"/>
          <w:divBdr>
            <w:top w:val="none" w:sz="0" w:space="0" w:color="auto"/>
            <w:left w:val="none" w:sz="0" w:space="0" w:color="auto"/>
            <w:bottom w:val="none" w:sz="0" w:space="0" w:color="auto"/>
            <w:right w:val="none" w:sz="0" w:space="0" w:color="auto"/>
          </w:divBdr>
          <w:divsChild>
            <w:div w:id="1904828625">
              <w:marLeft w:val="0"/>
              <w:marRight w:val="0"/>
              <w:marTop w:val="0"/>
              <w:marBottom w:val="0"/>
              <w:divBdr>
                <w:top w:val="none" w:sz="0" w:space="0" w:color="auto"/>
                <w:left w:val="none" w:sz="0" w:space="0" w:color="auto"/>
                <w:bottom w:val="none" w:sz="0" w:space="0" w:color="auto"/>
                <w:right w:val="none" w:sz="0" w:space="0" w:color="auto"/>
              </w:divBdr>
              <w:divsChild>
                <w:div w:id="5879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744">
      <w:bodyDiv w:val="1"/>
      <w:marLeft w:val="0"/>
      <w:marRight w:val="0"/>
      <w:marTop w:val="0"/>
      <w:marBottom w:val="0"/>
      <w:divBdr>
        <w:top w:val="none" w:sz="0" w:space="0" w:color="auto"/>
        <w:left w:val="none" w:sz="0" w:space="0" w:color="auto"/>
        <w:bottom w:val="none" w:sz="0" w:space="0" w:color="auto"/>
        <w:right w:val="none" w:sz="0" w:space="0" w:color="auto"/>
      </w:divBdr>
      <w:divsChild>
        <w:div w:id="94324617">
          <w:marLeft w:val="0"/>
          <w:marRight w:val="0"/>
          <w:marTop w:val="0"/>
          <w:marBottom w:val="0"/>
          <w:divBdr>
            <w:top w:val="none" w:sz="0" w:space="0" w:color="auto"/>
            <w:left w:val="none" w:sz="0" w:space="0" w:color="auto"/>
            <w:bottom w:val="none" w:sz="0" w:space="0" w:color="auto"/>
            <w:right w:val="none" w:sz="0" w:space="0" w:color="auto"/>
          </w:divBdr>
          <w:divsChild>
            <w:div w:id="2136020783">
              <w:marLeft w:val="0"/>
              <w:marRight w:val="0"/>
              <w:marTop w:val="0"/>
              <w:marBottom w:val="0"/>
              <w:divBdr>
                <w:top w:val="none" w:sz="0" w:space="0" w:color="auto"/>
                <w:left w:val="none" w:sz="0" w:space="0" w:color="auto"/>
                <w:bottom w:val="none" w:sz="0" w:space="0" w:color="auto"/>
                <w:right w:val="none" w:sz="0" w:space="0" w:color="auto"/>
              </w:divBdr>
              <w:divsChild>
                <w:div w:id="619070248">
                  <w:marLeft w:val="0"/>
                  <w:marRight w:val="0"/>
                  <w:marTop w:val="0"/>
                  <w:marBottom w:val="0"/>
                  <w:divBdr>
                    <w:top w:val="none" w:sz="0" w:space="0" w:color="auto"/>
                    <w:left w:val="none" w:sz="0" w:space="0" w:color="auto"/>
                    <w:bottom w:val="none" w:sz="0" w:space="0" w:color="auto"/>
                    <w:right w:val="none" w:sz="0" w:space="0" w:color="auto"/>
                  </w:divBdr>
                  <w:divsChild>
                    <w:div w:id="18294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10868">
      <w:bodyDiv w:val="1"/>
      <w:marLeft w:val="0"/>
      <w:marRight w:val="0"/>
      <w:marTop w:val="0"/>
      <w:marBottom w:val="0"/>
      <w:divBdr>
        <w:top w:val="none" w:sz="0" w:space="0" w:color="auto"/>
        <w:left w:val="none" w:sz="0" w:space="0" w:color="auto"/>
        <w:bottom w:val="none" w:sz="0" w:space="0" w:color="auto"/>
        <w:right w:val="none" w:sz="0" w:space="0" w:color="auto"/>
      </w:divBdr>
      <w:divsChild>
        <w:div w:id="1677225550">
          <w:marLeft w:val="0"/>
          <w:marRight w:val="0"/>
          <w:marTop w:val="0"/>
          <w:marBottom w:val="0"/>
          <w:divBdr>
            <w:top w:val="none" w:sz="0" w:space="0" w:color="auto"/>
            <w:left w:val="none" w:sz="0" w:space="0" w:color="auto"/>
            <w:bottom w:val="none" w:sz="0" w:space="0" w:color="auto"/>
            <w:right w:val="none" w:sz="0" w:space="0" w:color="auto"/>
          </w:divBdr>
          <w:divsChild>
            <w:div w:id="490604430">
              <w:marLeft w:val="0"/>
              <w:marRight w:val="0"/>
              <w:marTop w:val="0"/>
              <w:marBottom w:val="0"/>
              <w:divBdr>
                <w:top w:val="none" w:sz="0" w:space="0" w:color="auto"/>
                <w:left w:val="none" w:sz="0" w:space="0" w:color="auto"/>
                <w:bottom w:val="none" w:sz="0" w:space="0" w:color="auto"/>
                <w:right w:val="none" w:sz="0" w:space="0" w:color="auto"/>
              </w:divBdr>
              <w:divsChild>
                <w:div w:id="951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6634">
      <w:bodyDiv w:val="1"/>
      <w:marLeft w:val="0"/>
      <w:marRight w:val="0"/>
      <w:marTop w:val="0"/>
      <w:marBottom w:val="0"/>
      <w:divBdr>
        <w:top w:val="none" w:sz="0" w:space="0" w:color="auto"/>
        <w:left w:val="none" w:sz="0" w:space="0" w:color="auto"/>
        <w:bottom w:val="none" w:sz="0" w:space="0" w:color="auto"/>
        <w:right w:val="none" w:sz="0" w:space="0" w:color="auto"/>
      </w:divBdr>
      <w:divsChild>
        <w:div w:id="281886970">
          <w:marLeft w:val="0"/>
          <w:marRight w:val="0"/>
          <w:marTop w:val="0"/>
          <w:marBottom w:val="0"/>
          <w:divBdr>
            <w:top w:val="none" w:sz="0" w:space="0" w:color="auto"/>
            <w:left w:val="none" w:sz="0" w:space="0" w:color="auto"/>
            <w:bottom w:val="none" w:sz="0" w:space="0" w:color="auto"/>
            <w:right w:val="none" w:sz="0" w:space="0" w:color="auto"/>
          </w:divBdr>
          <w:divsChild>
            <w:div w:id="1741249096">
              <w:marLeft w:val="0"/>
              <w:marRight w:val="0"/>
              <w:marTop w:val="0"/>
              <w:marBottom w:val="0"/>
              <w:divBdr>
                <w:top w:val="none" w:sz="0" w:space="0" w:color="auto"/>
                <w:left w:val="none" w:sz="0" w:space="0" w:color="auto"/>
                <w:bottom w:val="none" w:sz="0" w:space="0" w:color="auto"/>
                <w:right w:val="none" w:sz="0" w:space="0" w:color="auto"/>
              </w:divBdr>
              <w:divsChild>
                <w:div w:id="21456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51447">
      <w:bodyDiv w:val="1"/>
      <w:marLeft w:val="0"/>
      <w:marRight w:val="0"/>
      <w:marTop w:val="0"/>
      <w:marBottom w:val="0"/>
      <w:divBdr>
        <w:top w:val="none" w:sz="0" w:space="0" w:color="auto"/>
        <w:left w:val="none" w:sz="0" w:space="0" w:color="auto"/>
        <w:bottom w:val="none" w:sz="0" w:space="0" w:color="auto"/>
        <w:right w:val="none" w:sz="0" w:space="0" w:color="auto"/>
      </w:divBdr>
    </w:div>
    <w:div w:id="1661076185">
      <w:bodyDiv w:val="1"/>
      <w:marLeft w:val="0"/>
      <w:marRight w:val="0"/>
      <w:marTop w:val="0"/>
      <w:marBottom w:val="0"/>
      <w:divBdr>
        <w:top w:val="none" w:sz="0" w:space="0" w:color="auto"/>
        <w:left w:val="none" w:sz="0" w:space="0" w:color="auto"/>
        <w:bottom w:val="none" w:sz="0" w:space="0" w:color="auto"/>
        <w:right w:val="none" w:sz="0" w:space="0" w:color="auto"/>
      </w:divBdr>
    </w:div>
    <w:div w:id="1662999715">
      <w:bodyDiv w:val="1"/>
      <w:marLeft w:val="0"/>
      <w:marRight w:val="0"/>
      <w:marTop w:val="0"/>
      <w:marBottom w:val="0"/>
      <w:divBdr>
        <w:top w:val="none" w:sz="0" w:space="0" w:color="auto"/>
        <w:left w:val="none" w:sz="0" w:space="0" w:color="auto"/>
        <w:bottom w:val="none" w:sz="0" w:space="0" w:color="auto"/>
        <w:right w:val="none" w:sz="0" w:space="0" w:color="auto"/>
      </w:divBdr>
    </w:div>
    <w:div w:id="1669869187">
      <w:bodyDiv w:val="1"/>
      <w:marLeft w:val="0"/>
      <w:marRight w:val="0"/>
      <w:marTop w:val="0"/>
      <w:marBottom w:val="0"/>
      <w:divBdr>
        <w:top w:val="none" w:sz="0" w:space="0" w:color="auto"/>
        <w:left w:val="none" w:sz="0" w:space="0" w:color="auto"/>
        <w:bottom w:val="none" w:sz="0" w:space="0" w:color="auto"/>
        <w:right w:val="none" w:sz="0" w:space="0" w:color="auto"/>
      </w:divBdr>
      <w:divsChild>
        <w:div w:id="814368735">
          <w:marLeft w:val="0"/>
          <w:marRight w:val="0"/>
          <w:marTop w:val="0"/>
          <w:marBottom w:val="0"/>
          <w:divBdr>
            <w:top w:val="none" w:sz="0" w:space="0" w:color="auto"/>
            <w:left w:val="none" w:sz="0" w:space="0" w:color="auto"/>
            <w:bottom w:val="none" w:sz="0" w:space="0" w:color="auto"/>
            <w:right w:val="none" w:sz="0" w:space="0" w:color="auto"/>
          </w:divBdr>
          <w:divsChild>
            <w:div w:id="31074385">
              <w:marLeft w:val="0"/>
              <w:marRight w:val="0"/>
              <w:marTop w:val="0"/>
              <w:marBottom w:val="0"/>
              <w:divBdr>
                <w:top w:val="none" w:sz="0" w:space="0" w:color="auto"/>
                <w:left w:val="none" w:sz="0" w:space="0" w:color="auto"/>
                <w:bottom w:val="none" w:sz="0" w:space="0" w:color="auto"/>
                <w:right w:val="none" w:sz="0" w:space="0" w:color="auto"/>
              </w:divBdr>
              <w:divsChild>
                <w:div w:id="823745329">
                  <w:marLeft w:val="0"/>
                  <w:marRight w:val="0"/>
                  <w:marTop w:val="0"/>
                  <w:marBottom w:val="0"/>
                  <w:divBdr>
                    <w:top w:val="none" w:sz="0" w:space="0" w:color="auto"/>
                    <w:left w:val="none" w:sz="0" w:space="0" w:color="auto"/>
                    <w:bottom w:val="none" w:sz="0" w:space="0" w:color="auto"/>
                    <w:right w:val="none" w:sz="0" w:space="0" w:color="auto"/>
                  </w:divBdr>
                  <w:divsChild>
                    <w:div w:id="941449113">
                      <w:marLeft w:val="0"/>
                      <w:marRight w:val="0"/>
                      <w:marTop w:val="0"/>
                      <w:marBottom w:val="0"/>
                      <w:divBdr>
                        <w:top w:val="none" w:sz="0" w:space="0" w:color="auto"/>
                        <w:left w:val="none" w:sz="0" w:space="0" w:color="auto"/>
                        <w:bottom w:val="none" w:sz="0" w:space="0" w:color="auto"/>
                        <w:right w:val="none" w:sz="0" w:space="0" w:color="auto"/>
                      </w:divBdr>
                    </w:div>
                    <w:div w:id="493885784">
                      <w:marLeft w:val="0"/>
                      <w:marRight w:val="0"/>
                      <w:marTop w:val="0"/>
                      <w:marBottom w:val="0"/>
                      <w:divBdr>
                        <w:top w:val="none" w:sz="0" w:space="0" w:color="auto"/>
                        <w:left w:val="none" w:sz="0" w:space="0" w:color="auto"/>
                        <w:bottom w:val="none" w:sz="0" w:space="0" w:color="auto"/>
                        <w:right w:val="none" w:sz="0" w:space="0" w:color="auto"/>
                      </w:divBdr>
                    </w:div>
                    <w:div w:id="1140731094">
                      <w:marLeft w:val="0"/>
                      <w:marRight w:val="0"/>
                      <w:marTop w:val="0"/>
                      <w:marBottom w:val="0"/>
                      <w:divBdr>
                        <w:top w:val="none" w:sz="0" w:space="0" w:color="auto"/>
                        <w:left w:val="none" w:sz="0" w:space="0" w:color="auto"/>
                        <w:bottom w:val="none" w:sz="0" w:space="0" w:color="auto"/>
                        <w:right w:val="none" w:sz="0" w:space="0" w:color="auto"/>
                      </w:divBdr>
                    </w:div>
                  </w:divsChild>
                </w:div>
                <w:div w:id="1024597694">
                  <w:marLeft w:val="0"/>
                  <w:marRight w:val="0"/>
                  <w:marTop w:val="0"/>
                  <w:marBottom w:val="0"/>
                  <w:divBdr>
                    <w:top w:val="none" w:sz="0" w:space="0" w:color="auto"/>
                    <w:left w:val="none" w:sz="0" w:space="0" w:color="auto"/>
                    <w:bottom w:val="none" w:sz="0" w:space="0" w:color="auto"/>
                    <w:right w:val="none" w:sz="0" w:space="0" w:color="auto"/>
                  </w:divBdr>
                  <w:divsChild>
                    <w:div w:id="662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78018">
      <w:bodyDiv w:val="1"/>
      <w:marLeft w:val="0"/>
      <w:marRight w:val="0"/>
      <w:marTop w:val="0"/>
      <w:marBottom w:val="0"/>
      <w:divBdr>
        <w:top w:val="none" w:sz="0" w:space="0" w:color="auto"/>
        <w:left w:val="none" w:sz="0" w:space="0" w:color="auto"/>
        <w:bottom w:val="none" w:sz="0" w:space="0" w:color="auto"/>
        <w:right w:val="none" w:sz="0" w:space="0" w:color="auto"/>
      </w:divBdr>
      <w:divsChild>
        <w:div w:id="944994228">
          <w:marLeft w:val="0"/>
          <w:marRight w:val="0"/>
          <w:marTop w:val="0"/>
          <w:marBottom w:val="0"/>
          <w:divBdr>
            <w:top w:val="none" w:sz="0" w:space="0" w:color="auto"/>
            <w:left w:val="none" w:sz="0" w:space="0" w:color="auto"/>
            <w:bottom w:val="none" w:sz="0" w:space="0" w:color="auto"/>
            <w:right w:val="none" w:sz="0" w:space="0" w:color="auto"/>
          </w:divBdr>
          <w:divsChild>
            <w:div w:id="916744314">
              <w:marLeft w:val="0"/>
              <w:marRight w:val="0"/>
              <w:marTop w:val="0"/>
              <w:marBottom w:val="0"/>
              <w:divBdr>
                <w:top w:val="none" w:sz="0" w:space="0" w:color="auto"/>
                <w:left w:val="none" w:sz="0" w:space="0" w:color="auto"/>
                <w:bottom w:val="none" w:sz="0" w:space="0" w:color="auto"/>
                <w:right w:val="none" w:sz="0" w:space="0" w:color="auto"/>
              </w:divBdr>
              <w:divsChild>
                <w:div w:id="984894591">
                  <w:marLeft w:val="0"/>
                  <w:marRight w:val="0"/>
                  <w:marTop w:val="0"/>
                  <w:marBottom w:val="0"/>
                  <w:divBdr>
                    <w:top w:val="none" w:sz="0" w:space="0" w:color="auto"/>
                    <w:left w:val="none" w:sz="0" w:space="0" w:color="auto"/>
                    <w:bottom w:val="none" w:sz="0" w:space="0" w:color="auto"/>
                    <w:right w:val="none" w:sz="0" w:space="0" w:color="auto"/>
                  </w:divBdr>
                  <w:divsChild>
                    <w:div w:id="352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7666">
      <w:bodyDiv w:val="1"/>
      <w:marLeft w:val="0"/>
      <w:marRight w:val="0"/>
      <w:marTop w:val="0"/>
      <w:marBottom w:val="0"/>
      <w:divBdr>
        <w:top w:val="none" w:sz="0" w:space="0" w:color="auto"/>
        <w:left w:val="none" w:sz="0" w:space="0" w:color="auto"/>
        <w:bottom w:val="none" w:sz="0" w:space="0" w:color="auto"/>
        <w:right w:val="none" w:sz="0" w:space="0" w:color="auto"/>
      </w:divBdr>
      <w:divsChild>
        <w:div w:id="1596747513">
          <w:marLeft w:val="0"/>
          <w:marRight w:val="0"/>
          <w:marTop w:val="0"/>
          <w:marBottom w:val="0"/>
          <w:divBdr>
            <w:top w:val="none" w:sz="0" w:space="0" w:color="auto"/>
            <w:left w:val="none" w:sz="0" w:space="0" w:color="auto"/>
            <w:bottom w:val="none" w:sz="0" w:space="0" w:color="auto"/>
            <w:right w:val="none" w:sz="0" w:space="0" w:color="auto"/>
          </w:divBdr>
          <w:divsChild>
            <w:div w:id="1223173125">
              <w:marLeft w:val="0"/>
              <w:marRight w:val="0"/>
              <w:marTop w:val="0"/>
              <w:marBottom w:val="0"/>
              <w:divBdr>
                <w:top w:val="none" w:sz="0" w:space="0" w:color="auto"/>
                <w:left w:val="none" w:sz="0" w:space="0" w:color="auto"/>
                <w:bottom w:val="none" w:sz="0" w:space="0" w:color="auto"/>
                <w:right w:val="none" w:sz="0" w:space="0" w:color="auto"/>
              </w:divBdr>
              <w:divsChild>
                <w:div w:id="906299901">
                  <w:marLeft w:val="0"/>
                  <w:marRight w:val="0"/>
                  <w:marTop w:val="0"/>
                  <w:marBottom w:val="0"/>
                  <w:divBdr>
                    <w:top w:val="none" w:sz="0" w:space="0" w:color="auto"/>
                    <w:left w:val="none" w:sz="0" w:space="0" w:color="auto"/>
                    <w:bottom w:val="none" w:sz="0" w:space="0" w:color="auto"/>
                    <w:right w:val="none" w:sz="0" w:space="0" w:color="auto"/>
                  </w:divBdr>
                  <w:divsChild>
                    <w:div w:id="20035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14039">
      <w:bodyDiv w:val="1"/>
      <w:marLeft w:val="0"/>
      <w:marRight w:val="0"/>
      <w:marTop w:val="0"/>
      <w:marBottom w:val="0"/>
      <w:divBdr>
        <w:top w:val="none" w:sz="0" w:space="0" w:color="auto"/>
        <w:left w:val="none" w:sz="0" w:space="0" w:color="auto"/>
        <w:bottom w:val="none" w:sz="0" w:space="0" w:color="auto"/>
        <w:right w:val="none" w:sz="0" w:space="0" w:color="auto"/>
      </w:divBdr>
      <w:divsChild>
        <w:div w:id="1591156841">
          <w:marLeft w:val="0"/>
          <w:marRight w:val="0"/>
          <w:marTop w:val="0"/>
          <w:marBottom w:val="0"/>
          <w:divBdr>
            <w:top w:val="none" w:sz="0" w:space="0" w:color="auto"/>
            <w:left w:val="none" w:sz="0" w:space="0" w:color="auto"/>
            <w:bottom w:val="none" w:sz="0" w:space="0" w:color="auto"/>
            <w:right w:val="none" w:sz="0" w:space="0" w:color="auto"/>
          </w:divBdr>
          <w:divsChild>
            <w:div w:id="1739790800">
              <w:marLeft w:val="0"/>
              <w:marRight w:val="0"/>
              <w:marTop w:val="0"/>
              <w:marBottom w:val="0"/>
              <w:divBdr>
                <w:top w:val="none" w:sz="0" w:space="0" w:color="auto"/>
                <w:left w:val="none" w:sz="0" w:space="0" w:color="auto"/>
                <w:bottom w:val="none" w:sz="0" w:space="0" w:color="auto"/>
                <w:right w:val="none" w:sz="0" w:space="0" w:color="auto"/>
              </w:divBdr>
              <w:divsChild>
                <w:div w:id="288703032">
                  <w:marLeft w:val="0"/>
                  <w:marRight w:val="0"/>
                  <w:marTop w:val="0"/>
                  <w:marBottom w:val="0"/>
                  <w:divBdr>
                    <w:top w:val="none" w:sz="0" w:space="0" w:color="auto"/>
                    <w:left w:val="none" w:sz="0" w:space="0" w:color="auto"/>
                    <w:bottom w:val="none" w:sz="0" w:space="0" w:color="auto"/>
                    <w:right w:val="none" w:sz="0" w:space="0" w:color="auto"/>
                  </w:divBdr>
                  <w:divsChild>
                    <w:div w:id="11113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96712">
      <w:bodyDiv w:val="1"/>
      <w:marLeft w:val="0"/>
      <w:marRight w:val="0"/>
      <w:marTop w:val="0"/>
      <w:marBottom w:val="0"/>
      <w:divBdr>
        <w:top w:val="none" w:sz="0" w:space="0" w:color="auto"/>
        <w:left w:val="none" w:sz="0" w:space="0" w:color="auto"/>
        <w:bottom w:val="none" w:sz="0" w:space="0" w:color="auto"/>
        <w:right w:val="none" w:sz="0" w:space="0" w:color="auto"/>
      </w:divBdr>
      <w:divsChild>
        <w:div w:id="154956991">
          <w:marLeft w:val="0"/>
          <w:marRight w:val="0"/>
          <w:marTop w:val="0"/>
          <w:marBottom w:val="0"/>
          <w:divBdr>
            <w:top w:val="none" w:sz="0" w:space="0" w:color="auto"/>
            <w:left w:val="none" w:sz="0" w:space="0" w:color="auto"/>
            <w:bottom w:val="none" w:sz="0" w:space="0" w:color="auto"/>
            <w:right w:val="none" w:sz="0" w:space="0" w:color="auto"/>
          </w:divBdr>
          <w:divsChild>
            <w:div w:id="2058046479">
              <w:marLeft w:val="0"/>
              <w:marRight w:val="0"/>
              <w:marTop w:val="0"/>
              <w:marBottom w:val="0"/>
              <w:divBdr>
                <w:top w:val="none" w:sz="0" w:space="0" w:color="auto"/>
                <w:left w:val="none" w:sz="0" w:space="0" w:color="auto"/>
                <w:bottom w:val="none" w:sz="0" w:space="0" w:color="auto"/>
                <w:right w:val="none" w:sz="0" w:space="0" w:color="auto"/>
              </w:divBdr>
              <w:divsChild>
                <w:div w:id="20727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9423">
      <w:bodyDiv w:val="1"/>
      <w:marLeft w:val="0"/>
      <w:marRight w:val="0"/>
      <w:marTop w:val="0"/>
      <w:marBottom w:val="0"/>
      <w:divBdr>
        <w:top w:val="none" w:sz="0" w:space="0" w:color="auto"/>
        <w:left w:val="none" w:sz="0" w:space="0" w:color="auto"/>
        <w:bottom w:val="none" w:sz="0" w:space="0" w:color="auto"/>
        <w:right w:val="none" w:sz="0" w:space="0" w:color="auto"/>
      </w:divBdr>
    </w:div>
    <w:div w:id="1725332463">
      <w:bodyDiv w:val="1"/>
      <w:marLeft w:val="0"/>
      <w:marRight w:val="0"/>
      <w:marTop w:val="0"/>
      <w:marBottom w:val="0"/>
      <w:divBdr>
        <w:top w:val="none" w:sz="0" w:space="0" w:color="auto"/>
        <w:left w:val="none" w:sz="0" w:space="0" w:color="auto"/>
        <w:bottom w:val="none" w:sz="0" w:space="0" w:color="auto"/>
        <w:right w:val="none" w:sz="0" w:space="0" w:color="auto"/>
      </w:divBdr>
      <w:divsChild>
        <w:div w:id="554774204">
          <w:marLeft w:val="0"/>
          <w:marRight w:val="0"/>
          <w:marTop w:val="0"/>
          <w:marBottom w:val="0"/>
          <w:divBdr>
            <w:top w:val="none" w:sz="0" w:space="0" w:color="auto"/>
            <w:left w:val="none" w:sz="0" w:space="0" w:color="auto"/>
            <w:bottom w:val="none" w:sz="0" w:space="0" w:color="auto"/>
            <w:right w:val="none" w:sz="0" w:space="0" w:color="auto"/>
          </w:divBdr>
          <w:divsChild>
            <w:div w:id="785737936">
              <w:marLeft w:val="0"/>
              <w:marRight w:val="0"/>
              <w:marTop w:val="0"/>
              <w:marBottom w:val="0"/>
              <w:divBdr>
                <w:top w:val="none" w:sz="0" w:space="0" w:color="auto"/>
                <w:left w:val="none" w:sz="0" w:space="0" w:color="auto"/>
                <w:bottom w:val="none" w:sz="0" w:space="0" w:color="auto"/>
                <w:right w:val="none" w:sz="0" w:space="0" w:color="auto"/>
              </w:divBdr>
              <w:divsChild>
                <w:div w:id="438185374">
                  <w:marLeft w:val="0"/>
                  <w:marRight w:val="0"/>
                  <w:marTop w:val="0"/>
                  <w:marBottom w:val="0"/>
                  <w:divBdr>
                    <w:top w:val="none" w:sz="0" w:space="0" w:color="auto"/>
                    <w:left w:val="none" w:sz="0" w:space="0" w:color="auto"/>
                    <w:bottom w:val="none" w:sz="0" w:space="0" w:color="auto"/>
                    <w:right w:val="none" w:sz="0" w:space="0" w:color="auto"/>
                  </w:divBdr>
                  <w:divsChild>
                    <w:div w:id="14321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46599">
      <w:bodyDiv w:val="1"/>
      <w:marLeft w:val="0"/>
      <w:marRight w:val="0"/>
      <w:marTop w:val="0"/>
      <w:marBottom w:val="0"/>
      <w:divBdr>
        <w:top w:val="none" w:sz="0" w:space="0" w:color="auto"/>
        <w:left w:val="none" w:sz="0" w:space="0" w:color="auto"/>
        <w:bottom w:val="none" w:sz="0" w:space="0" w:color="auto"/>
        <w:right w:val="none" w:sz="0" w:space="0" w:color="auto"/>
      </w:divBdr>
    </w:div>
    <w:div w:id="1740593215">
      <w:bodyDiv w:val="1"/>
      <w:marLeft w:val="0"/>
      <w:marRight w:val="0"/>
      <w:marTop w:val="0"/>
      <w:marBottom w:val="0"/>
      <w:divBdr>
        <w:top w:val="none" w:sz="0" w:space="0" w:color="auto"/>
        <w:left w:val="none" w:sz="0" w:space="0" w:color="auto"/>
        <w:bottom w:val="none" w:sz="0" w:space="0" w:color="auto"/>
        <w:right w:val="none" w:sz="0" w:space="0" w:color="auto"/>
      </w:divBdr>
      <w:divsChild>
        <w:div w:id="2090734849">
          <w:marLeft w:val="0"/>
          <w:marRight w:val="0"/>
          <w:marTop w:val="0"/>
          <w:marBottom w:val="0"/>
          <w:divBdr>
            <w:top w:val="none" w:sz="0" w:space="0" w:color="auto"/>
            <w:left w:val="none" w:sz="0" w:space="0" w:color="auto"/>
            <w:bottom w:val="none" w:sz="0" w:space="0" w:color="auto"/>
            <w:right w:val="none" w:sz="0" w:space="0" w:color="auto"/>
          </w:divBdr>
          <w:divsChild>
            <w:div w:id="601956437">
              <w:marLeft w:val="0"/>
              <w:marRight w:val="0"/>
              <w:marTop w:val="0"/>
              <w:marBottom w:val="0"/>
              <w:divBdr>
                <w:top w:val="none" w:sz="0" w:space="0" w:color="auto"/>
                <w:left w:val="none" w:sz="0" w:space="0" w:color="auto"/>
                <w:bottom w:val="none" w:sz="0" w:space="0" w:color="auto"/>
                <w:right w:val="none" w:sz="0" w:space="0" w:color="auto"/>
              </w:divBdr>
              <w:divsChild>
                <w:div w:id="1591769034">
                  <w:marLeft w:val="0"/>
                  <w:marRight w:val="0"/>
                  <w:marTop w:val="0"/>
                  <w:marBottom w:val="0"/>
                  <w:divBdr>
                    <w:top w:val="none" w:sz="0" w:space="0" w:color="auto"/>
                    <w:left w:val="none" w:sz="0" w:space="0" w:color="auto"/>
                    <w:bottom w:val="none" w:sz="0" w:space="0" w:color="auto"/>
                    <w:right w:val="none" w:sz="0" w:space="0" w:color="auto"/>
                  </w:divBdr>
                  <w:divsChild>
                    <w:div w:id="10365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81538">
      <w:bodyDiv w:val="1"/>
      <w:marLeft w:val="0"/>
      <w:marRight w:val="0"/>
      <w:marTop w:val="0"/>
      <w:marBottom w:val="0"/>
      <w:divBdr>
        <w:top w:val="none" w:sz="0" w:space="0" w:color="auto"/>
        <w:left w:val="none" w:sz="0" w:space="0" w:color="auto"/>
        <w:bottom w:val="none" w:sz="0" w:space="0" w:color="auto"/>
        <w:right w:val="none" w:sz="0" w:space="0" w:color="auto"/>
      </w:divBdr>
    </w:div>
    <w:div w:id="1761442531">
      <w:bodyDiv w:val="1"/>
      <w:marLeft w:val="0"/>
      <w:marRight w:val="0"/>
      <w:marTop w:val="0"/>
      <w:marBottom w:val="0"/>
      <w:divBdr>
        <w:top w:val="none" w:sz="0" w:space="0" w:color="auto"/>
        <w:left w:val="none" w:sz="0" w:space="0" w:color="auto"/>
        <w:bottom w:val="none" w:sz="0" w:space="0" w:color="auto"/>
        <w:right w:val="none" w:sz="0" w:space="0" w:color="auto"/>
      </w:divBdr>
    </w:div>
    <w:div w:id="1762990533">
      <w:bodyDiv w:val="1"/>
      <w:marLeft w:val="0"/>
      <w:marRight w:val="0"/>
      <w:marTop w:val="0"/>
      <w:marBottom w:val="0"/>
      <w:divBdr>
        <w:top w:val="none" w:sz="0" w:space="0" w:color="auto"/>
        <w:left w:val="none" w:sz="0" w:space="0" w:color="auto"/>
        <w:bottom w:val="none" w:sz="0" w:space="0" w:color="auto"/>
        <w:right w:val="none" w:sz="0" w:space="0" w:color="auto"/>
      </w:divBdr>
      <w:divsChild>
        <w:div w:id="35085464">
          <w:marLeft w:val="0"/>
          <w:marRight w:val="0"/>
          <w:marTop w:val="0"/>
          <w:marBottom w:val="0"/>
          <w:divBdr>
            <w:top w:val="none" w:sz="0" w:space="0" w:color="auto"/>
            <w:left w:val="none" w:sz="0" w:space="0" w:color="auto"/>
            <w:bottom w:val="none" w:sz="0" w:space="0" w:color="auto"/>
            <w:right w:val="none" w:sz="0" w:space="0" w:color="auto"/>
          </w:divBdr>
          <w:divsChild>
            <w:div w:id="1609047339">
              <w:marLeft w:val="0"/>
              <w:marRight w:val="0"/>
              <w:marTop w:val="0"/>
              <w:marBottom w:val="0"/>
              <w:divBdr>
                <w:top w:val="none" w:sz="0" w:space="0" w:color="auto"/>
                <w:left w:val="none" w:sz="0" w:space="0" w:color="auto"/>
                <w:bottom w:val="none" w:sz="0" w:space="0" w:color="auto"/>
                <w:right w:val="none" w:sz="0" w:space="0" w:color="auto"/>
              </w:divBdr>
              <w:divsChild>
                <w:div w:id="14171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2498">
      <w:bodyDiv w:val="1"/>
      <w:marLeft w:val="0"/>
      <w:marRight w:val="0"/>
      <w:marTop w:val="0"/>
      <w:marBottom w:val="0"/>
      <w:divBdr>
        <w:top w:val="none" w:sz="0" w:space="0" w:color="auto"/>
        <w:left w:val="none" w:sz="0" w:space="0" w:color="auto"/>
        <w:bottom w:val="none" w:sz="0" w:space="0" w:color="auto"/>
        <w:right w:val="none" w:sz="0" w:space="0" w:color="auto"/>
      </w:divBdr>
      <w:divsChild>
        <w:div w:id="351151082">
          <w:marLeft w:val="0"/>
          <w:marRight w:val="0"/>
          <w:marTop w:val="0"/>
          <w:marBottom w:val="0"/>
          <w:divBdr>
            <w:top w:val="none" w:sz="0" w:space="0" w:color="auto"/>
            <w:left w:val="none" w:sz="0" w:space="0" w:color="auto"/>
            <w:bottom w:val="none" w:sz="0" w:space="0" w:color="auto"/>
            <w:right w:val="none" w:sz="0" w:space="0" w:color="auto"/>
          </w:divBdr>
          <w:divsChild>
            <w:div w:id="962229310">
              <w:marLeft w:val="0"/>
              <w:marRight w:val="0"/>
              <w:marTop w:val="0"/>
              <w:marBottom w:val="0"/>
              <w:divBdr>
                <w:top w:val="none" w:sz="0" w:space="0" w:color="auto"/>
                <w:left w:val="none" w:sz="0" w:space="0" w:color="auto"/>
                <w:bottom w:val="none" w:sz="0" w:space="0" w:color="auto"/>
                <w:right w:val="none" w:sz="0" w:space="0" w:color="auto"/>
              </w:divBdr>
              <w:divsChild>
                <w:div w:id="5829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6905">
      <w:bodyDiv w:val="1"/>
      <w:marLeft w:val="0"/>
      <w:marRight w:val="0"/>
      <w:marTop w:val="0"/>
      <w:marBottom w:val="0"/>
      <w:divBdr>
        <w:top w:val="none" w:sz="0" w:space="0" w:color="auto"/>
        <w:left w:val="none" w:sz="0" w:space="0" w:color="auto"/>
        <w:bottom w:val="none" w:sz="0" w:space="0" w:color="auto"/>
        <w:right w:val="none" w:sz="0" w:space="0" w:color="auto"/>
      </w:divBdr>
    </w:div>
    <w:div w:id="1837114946">
      <w:bodyDiv w:val="1"/>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224534855">
                  <w:marLeft w:val="0"/>
                  <w:marRight w:val="0"/>
                  <w:marTop w:val="0"/>
                  <w:marBottom w:val="0"/>
                  <w:divBdr>
                    <w:top w:val="none" w:sz="0" w:space="0" w:color="auto"/>
                    <w:left w:val="none" w:sz="0" w:space="0" w:color="auto"/>
                    <w:bottom w:val="none" w:sz="0" w:space="0" w:color="auto"/>
                    <w:right w:val="none" w:sz="0" w:space="0" w:color="auto"/>
                  </w:divBdr>
                  <w:divsChild>
                    <w:div w:id="553388528">
                      <w:marLeft w:val="0"/>
                      <w:marRight w:val="0"/>
                      <w:marTop w:val="0"/>
                      <w:marBottom w:val="0"/>
                      <w:divBdr>
                        <w:top w:val="none" w:sz="0" w:space="0" w:color="auto"/>
                        <w:left w:val="none" w:sz="0" w:space="0" w:color="auto"/>
                        <w:bottom w:val="none" w:sz="0" w:space="0" w:color="auto"/>
                        <w:right w:val="none" w:sz="0" w:space="0" w:color="auto"/>
                      </w:divBdr>
                    </w:div>
                    <w:div w:id="985015874">
                      <w:marLeft w:val="0"/>
                      <w:marRight w:val="0"/>
                      <w:marTop w:val="0"/>
                      <w:marBottom w:val="0"/>
                      <w:divBdr>
                        <w:top w:val="none" w:sz="0" w:space="0" w:color="auto"/>
                        <w:left w:val="none" w:sz="0" w:space="0" w:color="auto"/>
                        <w:bottom w:val="none" w:sz="0" w:space="0" w:color="auto"/>
                        <w:right w:val="none" w:sz="0" w:space="0" w:color="auto"/>
                      </w:divBdr>
                    </w:div>
                    <w:div w:id="1217012218">
                      <w:marLeft w:val="0"/>
                      <w:marRight w:val="0"/>
                      <w:marTop w:val="0"/>
                      <w:marBottom w:val="0"/>
                      <w:divBdr>
                        <w:top w:val="none" w:sz="0" w:space="0" w:color="auto"/>
                        <w:left w:val="none" w:sz="0" w:space="0" w:color="auto"/>
                        <w:bottom w:val="none" w:sz="0" w:space="0" w:color="auto"/>
                        <w:right w:val="none" w:sz="0" w:space="0" w:color="auto"/>
                      </w:divBdr>
                    </w:div>
                  </w:divsChild>
                </w:div>
                <w:div w:id="1061178393">
                  <w:marLeft w:val="0"/>
                  <w:marRight w:val="0"/>
                  <w:marTop w:val="0"/>
                  <w:marBottom w:val="0"/>
                  <w:divBdr>
                    <w:top w:val="none" w:sz="0" w:space="0" w:color="auto"/>
                    <w:left w:val="none" w:sz="0" w:space="0" w:color="auto"/>
                    <w:bottom w:val="none" w:sz="0" w:space="0" w:color="auto"/>
                    <w:right w:val="none" w:sz="0" w:space="0" w:color="auto"/>
                  </w:divBdr>
                  <w:divsChild>
                    <w:div w:id="1009911727">
                      <w:marLeft w:val="0"/>
                      <w:marRight w:val="0"/>
                      <w:marTop w:val="0"/>
                      <w:marBottom w:val="0"/>
                      <w:divBdr>
                        <w:top w:val="none" w:sz="0" w:space="0" w:color="auto"/>
                        <w:left w:val="none" w:sz="0" w:space="0" w:color="auto"/>
                        <w:bottom w:val="none" w:sz="0" w:space="0" w:color="auto"/>
                        <w:right w:val="none" w:sz="0" w:space="0" w:color="auto"/>
                      </w:divBdr>
                    </w:div>
                    <w:div w:id="1345282374">
                      <w:marLeft w:val="0"/>
                      <w:marRight w:val="0"/>
                      <w:marTop w:val="0"/>
                      <w:marBottom w:val="0"/>
                      <w:divBdr>
                        <w:top w:val="none" w:sz="0" w:space="0" w:color="auto"/>
                        <w:left w:val="none" w:sz="0" w:space="0" w:color="auto"/>
                        <w:bottom w:val="none" w:sz="0" w:space="0" w:color="auto"/>
                        <w:right w:val="none" w:sz="0" w:space="0" w:color="auto"/>
                      </w:divBdr>
                    </w:div>
                    <w:div w:id="1534532615">
                      <w:marLeft w:val="0"/>
                      <w:marRight w:val="0"/>
                      <w:marTop w:val="0"/>
                      <w:marBottom w:val="0"/>
                      <w:divBdr>
                        <w:top w:val="none" w:sz="0" w:space="0" w:color="auto"/>
                        <w:left w:val="none" w:sz="0" w:space="0" w:color="auto"/>
                        <w:bottom w:val="none" w:sz="0" w:space="0" w:color="auto"/>
                        <w:right w:val="none" w:sz="0" w:space="0" w:color="auto"/>
                      </w:divBdr>
                    </w:div>
                  </w:divsChild>
                </w:div>
                <w:div w:id="534467603">
                  <w:marLeft w:val="0"/>
                  <w:marRight w:val="0"/>
                  <w:marTop w:val="0"/>
                  <w:marBottom w:val="0"/>
                  <w:divBdr>
                    <w:top w:val="none" w:sz="0" w:space="0" w:color="auto"/>
                    <w:left w:val="none" w:sz="0" w:space="0" w:color="auto"/>
                    <w:bottom w:val="none" w:sz="0" w:space="0" w:color="auto"/>
                    <w:right w:val="none" w:sz="0" w:space="0" w:color="auto"/>
                  </w:divBdr>
                  <w:divsChild>
                    <w:div w:id="2146728739">
                      <w:marLeft w:val="0"/>
                      <w:marRight w:val="0"/>
                      <w:marTop w:val="0"/>
                      <w:marBottom w:val="0"/>
                      <w:divBdr>
                        <w:top w:val="none" w:sz="0" w:space="0" w:color="auto"/>
                        <w:left w:val="none" w:sz="0" w:space="0" w:color="auto"/>
                        <w:bottom w:val="none" w:sz="0" w:space="0" w:color="auto"/>
                        <w:right w:val="none" w:sz="0" w:space="0" w:color="auto"/>
                      </w:divBdr>
                    </w:div>
                    <w:div w:id="363289596">
                      <w:marLeft w:val="0"/>
                      <w:marRight w:val="0"/>
                      <w:marTop w:val="0"/>
                      <w:marBottom w:val="0"/>
                      <w:divBdr>
                        <w:top w:val="none" w:sz="0" w:space="0" w:color="auto"/>
                        <w:left w:val="none" w:sz="0" w:space="0" w:color="auto"/>
                        <w:bottom w:val="none" w:sz="0" w:space="0" w:color="auto"/>
                        <w:right w:val="none" w:sz="0" w:space="0" w:color="auto"/>
                      </w:divBdr>
                    </w:div>
                    <w:div w:id="1785878905">
                      <w:marLeft w:val="0"/>
                      <w:marRight w:val="0"/>
                      <w:marTop w:val="0"/>
                      <w:marBottom w:val="0"/>
                      <w:divBdr>
                        <w:top w:val="none" w:sz="0" w:space="0" w:color="auto"/>
                        <w:left w:val="none" w:sz="0" w:space="0" w:color="auto"/>
                        <w:bottom w:val="none" w:sz="0" w:space="0" w:color="auto"/>
                        <w:right w:val="none" w:sz="0" w:space="0" w:color="auto"/>
                      </w:divBdr>
                    </w:div>
                  </w:divsChild>
                </w:div>
                <w:div w:id="542055406">
                  <w:marLeft w:val="0"/>
                  <w:marRight w:val="0"/>
                  <w:marTop w:val="0"/>
                  <w:marBottom w:val="0"/>
                  <w:divBdr>
                    <w:top w:val="none" w:sz="0" w:space="0" w:color="auto"/>
                    <w:left w:val="none" w:sz="0" w:space="0" w:color="auto"/>
                    <w:bottom w:val="none" w:sz="0" w:space="0" w:color="auto"/>
                    <w:right w:val="none" w:sz="0" w:space="0" w:color="auto"/>
                  </w:divBdr>
                  <w:divsChild>
                    <w:div w:id="1815412963">
                      <w:marLeft w:val="0"/>
                      <w:marRight w:val="0"/>
                      <w:marTop w:val="0"/>
                      <w:marBottom w:val="0"/>
                      <w:divBdr>
                        <w:top w:val="none" w:sz="0" w:space="0" w:color="auto"/>
                        <w:left w:val="none" w:sz="0" w:space="0" w:color="auto"/>
                        <w:bottom w:val="none" w:sz="0" w:space="0" w:color="auto"/>
                        <w:right w:val="none" w:sz="0" w:space="0" w:color="auto"/>
                      </w:divBdr>
                    </w:div>
                    <w:div w:id="52655236">
                      <w:marLeft w:val="0"/>
                      <w:marRight w:val="0"/>
                      <w:marTop w:val="0"/>
                      <w:marBottom w:val="0"/>
                      <w:divBdr>
                        <w:top w:val="none" w:sz="0" w:space="0" w:color="auto"/>
                        <w:left w:val="none" w:sz="0" w:space="0" w:color="auto"/>
                        <w:bottom w:val="none" w:sz="0" w:space="0" w:color="auto"/>
                        <w:right w:val="none" w:sz="0" w:space="0" w:color="auto"/>
                      </w:divBdr>
                    </w:div>
                    <w:div w:id="471488452">
                      <w:marLeft w:val="0"/>
                      <w:marRight w:val="0"/>
                      <w:marTop w:val="0"/>
                      <w:marBottom w:val="0"/>
                      <w:divBdr>
                        <w:top w:val="none" w:sz="0" w:space="0" w:color="auto"/>
                        <w:left w:val="none" w:sz="0" w:space="0" w:color="auto"/>
                        <w:bottom w:val="none" w:sz="0" w:space="0" w:color="auto"/>
                        <w:right w:val="none" w:sz="0" w:space="0" w:color="auto"/>
                      </w:divBdr>
                    </w:div>
                  </w:divsChild>
                </w:div>
                <w:div w:id="1118990881">
                  <w:marLeft w:val="0"/>
                  <w:marRight w:val="0"/>
                  <w:marTop w:val="0"/>
                  <w:marBottom w:val="0"/>
                  <w:divBdr>
                    <w:top w:val="none" w:sz="0" w:space="0" w:color="auto"/>
                    <w:left w:val="none" w:sz="0" w:space="0" w:color="auto"/>
                    <w:bottom w:val="none" w:sz="0" w:space="0" w:color="auto"/>
                    <w:right w:val="none" w:sz="0" w:space="0" w:color="auto"/>
                  </w:divBdr>
                  <w:divsChild>
                    <w:div w:id="481241333">
                      <w:marLeft w:val="0"/>
                      <w:marRight w:val="0"/>
                      <w:marTop w:val="0"/>
                      <w:marBottom w:val="0"/>
                      <w:divBdr>
                        <w:top w:val="none" w:sz="0" w:space="0" w:color="auto"/>
                        <w:left w:val="none" w:sz="0" w:space="0" w:color="auto"/>
                        <w:bottom w:val="none" w:sz="0" w:space="0" w:color="auto"/>
                        <w:right w:val="none" w:sz="0" w:space="0" w:color="auto"/>
                      </w:divBdr>
                    </w:div>
                  </w:divsChild>
                </w:div>
                <w:div w:id="657730160">
                  <w:marLeft w:val="0"/>
                  <w:marRight w:val="0"/>
                  <w:marTop w:val="0"/>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8451">
      <w:bodyDiv w:val="1"/>
      <w:marLeft w:val="0"/>
      <w:marRight w:val="0"/>
      <w:marTop w:val="0"/>
      <w:marBottom w:val="0"/>
      <w:divBdr>
        <w:top w:val="none" w:sz="0" w:space="0" w:color="auto"/>
        <w:left w:val="none" w:sz="0" w:space="0" w:color="auto"/>
        <w:bottom w:val="none" w:sz="0" w:space="0" w:color="auto"/>
        <w:right w:val="none" w:sz="0" w:space="0" w:color="auto"/>
      </w:divBdr>
      <w:divsChild>
        <w:div w:id="903569634">
          <w:marLeft w:val="0"/>
          <w:marRight w:val="0"/>
          <w:marTop w:val="0"/>
          <w:marBottom w:val="0"/>
          <w:divBdr>
            <w:top w:val="none" w:sz="0" w:space="0" w:color="auto"/>
            <w:left w:val="none" w:sz="0" w:space="0" w:color="auto"/>
            <w:bottom w:val="none" w:sz="0" w:space="0" w:color="auto"/>
            <w:right w:val="none" w:sz="0" w:space="0" w:color="auto"/>
          </w:divBdr>
          <w:divsChild>
            <w:div w:id="1771318753">
              <w:marLeft w:val="0"/>
              <w:marRight w:val="0"/>
              <w:marTop w:val="0"/>
              <w:marBottom w:val="0"/>
              <w:divBdr>
                <w:top w:val="none" w:sz="0" w:space="0" w:color="auto"/>
                <w:left w:val="none" w:sz="0" w:space="0" w:color="auto"/>
                <w:bottom w:val="none" w:sz="0" w:space="0" w:color="auto"/>
                <w:right w:val="none" w:sz="0" w:space="0" w:color="auto"/>
              </w:divBdr>
              <w:divsChild>
                <w:div w:id="263415878">
                  <w:marLeft w:val="0"/>
                  <w:marRight w:val="0"/>
                  <w:marTop w:val="0"/>
                  <w:marBottom w:val="0"/>
                  <w:divBdr>
                    <w:top w:val="none" w:sz="0" w:space="0" w:color="auto"/>
                    <w:left w:val="none" w:sz="0" w:space="0" w:color="auto"/>
                    <w:bottom w:val="none" w:sz="0" w:space="0" w:color="auto"/>
                    <w:right w:val="none" w:sz="0" w:space="0" w:color="auto"/>
                  </w:divBdr>
                  <w:divsChild>
                    <w:div w:id="7193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6743">
      <w:bodyDiv w:val="1"/>
      <w:marLeft w:val="0"/>
      <w:marRight w:val="0"/>
      <w:marTop w:val="0"/>
      <w:marBottom w:val="0"/>
      <w:divBdr>
        <w:top w:val="none" w:sz="0" w:space="0" w:color="auto"/>
        <w:left w:val="none" w:sz="0" w:space="0" w:color="auto"/>
        <w:bottom w:val="none" w:sz="0" w:space="0" w:color="auto"/>
        <w:right w:val="none" w:sz="0" w:space="0" w:color="auto"/>
      </w:divBdr>
    </w:div>
    <w:div w:id="1870099028">
      <w:bodyDiv w:val="1"/>
      <w:marLeft w:val="0"/>
      <w:marRight w:val="0"/>
      <w:marTop w:val="0"/>
      <w:marBottom w:val="0"/>
      <w:divBdr>
        <w:top w:val="none" w:sz="0" w:space="0" w:color="auto"/>
        <w:left w:val="none" w:sz="0" w:space="0" w:color="auto"/>
        <w:bottom w:val="none" w:sz="0" w:space="0" w:color="auto"/>
        <w:right w:val="none" w:sz="0" w:space="0" w:color="auto"/>
      </w:divBdr>
      <w:divsChild>
        <w:div w:id="1768691263">
          <w:marLeft w:val="0"/>
          <w:marRight w:val="0"/>
          <w:marTop w:val="0"/>
          <w:marBottom w:val="0"/>
          <w:divBdr>
            <w:top w:val="none" w:sz="0" w:space="0" w:color="auto"/>
            <w:left w:val="none" w:sz="0" w:space="0" w:color="auto"/>
            <w:bottom w:val="none" w:sz="0" w:space="0" w:color="auto"/>
            <w:right w:val="none" w:sz="0" w:space="0" w:color="auto"/>
          </w:divBdr>
          <w:divsChild>
            <w:div w:id="96952306">
              <w:marLeft w:val="0"/>
              <w:marRight w:val="0"/>
              <w:marTop w:val="0"/>
              <w:marBottom w:val="0"/>
              <w:divBdr>
                <w:top w:val="none" w:sz="0" w:space="0" w:color="auto"/>
                <w:left w:val="none" w:sz="0" w:space="0" w:color="auto"/>
                <w:bottom w:val="none" w:sz="0" w:space="0" w:color="auto"/>
                <w:right w:val="none" w:sz="0" w:space="0" w:color="auto"/>
              </w:divBdr>
              <w:divsChild>
                <w:div w:id="1277442396">
                  <w:marLeft w:val="0"/>
                  <w:marRight w:val="0"/>
                  <w:marTop w:val="0"/>
                  <w:marBottom w:val="0"/>
                  <w:divBdr>
                    <w:top w:val="none" w:sz="0" w:space="0" w:color="auto"/>
                    <w:left w:val="none" w:sz="0" w:space="0" w:color="auto"/>
                    <w:bottom w:val="none" w:sz="0" w:space="0" w:color="auto"/>
                    <w:right w:val="none" w:sz="0" w:space="0" w:color="auto"/>
                  </w:divBdr>
                  <w:divsChild>
                    <w:div w:id="3269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03600">
      <w:bodyDiv w:val="1"/>
      <w:marLeft w:val="0"/>
      <w:marRight w:val="0"/>
      <w:marTop w:val="0"/>
      <w:marBottom w:val="0"/>
      <w:divBdr>
        <w:top w:val="none" w:sz="0" w:space="0" w:color="auto"/>
        <w:left w:val="none" w:sz="0" w:space="0" w:color="auto"/>
        <w:bottom w:val="none" w:sz="0" w:space="0" w:color="auto"/>
        <w:right w:val="none" w:sz="0" w:space="0" w:color="auto"/>
      </w:divBdr>
    </w:div>
    <w:div w:id="1882328249">
      <w:bodyDiv w:val="1"/>
      <w:marLeft w:val="0"/>
      <w:marRight w:val="0"/>
      <w:marTop w:val="0"/>
      <w:marBottom w:val="0"/>
      <w:divBdr>
        <w:top w:val="none" w:sz="0" w:space="0" w:color="auto"/>
        <w:left w:val="none" w:sz="0" w:space="0" w:color="auto"/>
        <w:bottom w:val="none" w:sz="0" w:space="0" w:color="auto"/>
        <w:right w:val="none" w:sz="0" w:space="0" w:color="auto"/>
      </w:divBdr>
      <w:divsChild>
        <w:div w:id="399787533">
          <w:marLeft w:val="0"/>
          <w:marRight w:val="0"/>
          <w:marTop w:val="0"/>
          <w:marBottom w:val="0"/>
          <w:divBdr>
            <w:top w:val="none" w:sz="0" w:space="0" w:color="auto"/>
            <w:left w:val="none" w:sz="0" w:space="0" w:color="auto"/>
            <w:bottom w:val="none" w:sz="0" w:space="0" w:color="auto"/>
            <w:right w:val="none" w:sz="0" w:space="0" w:color="auto"/>
          </w:divBdr>
          <w:divsChild>
            <w:div w:id="1703558793">
              <w:marLeft w:val="0"/>
              <w:marRight w:val="0"/>
              <w:marTop w:val="0"/>
              <w:marBottom w:val="0"/>
              <w:divBdr>
                <w:top w:val="none" w:sz="0" w:space="0" w:color="auto"/>
                <w:left w:val="none" w:sz="0" w:space="0" w:color="auto"/>
                <w:bottom w:val="none" w:sz="0" w:space="0" w:color="auto"/>
                <w:right w:val="none" w:sz="0" w:space="0" w:color="auto"/>
              </w:divBdr>
              <w:divsChild>
                <w:div w:id="9819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99584">
      <w:bodyDiv w:val="1"/>
      <w:marLeft w:val="0"/>
      <w:marRight w:val="0"/>
      <w:marTop w:val="0"/>
      <w:marBottom w:val="0"/>
      <w:divBdr>
        <w:top w:val="none" w:sz="0" w:space="0" w:color="auto"/>
        <w:left w:val="none" w:sz="0" w:space="0" w:color="auto"/>
        <w:bottom w:val="none" w:sz="0" w:space="0" w:color="auto"/>
        <w:right w:val="none" w:sz="0" w:space="0" w:color="auto"/>
      </w:divBdr>
    </w:div>
    <w:div w:id="1898856751">
      <w:bodyDiv w:val="1"/>
      <w:marLeft w:val="0"/>
      <w:marRight w:val="0"/>
      <w:marTop w:val="0"/>
      <w:marBottom w:val="0"/>
      <w:divBdr>
        <w:top w:val="none" w:sz="0" w:space="0" w:color="auto"/>
        <w:left w:val="none" w:sz="0" w:space="0" w:color="auto"/>
        <w:bottom w:val="none" w:sz="0" w:space="0" w:color="auto"/>
        <w:right w:val="none" w:sz="0" w:space="0" w:color="auto"/>
      </w:divBdr>
      <w:divsChild>
        <w:div w:id="1516916624">
          <w:marLeft w:val="0"/>
          <w:marRight w:val="0"/>
          <w:marTop w:val="0"/>
          <w:marBottom w:val="0"/>
          <w:divBdr>
            <w:top w:val="none" w:sz="0" w:space="0" w:color="auto"/>
            <w:left w:val="none" w:sz="0" w:space="0" w:color="auto"/>
            <w:bottom w:val="none" w:sz="0" w:space="0" w:color="auto"/>
            <w:right w:val="none" w:sz="0" w:space="0" w:color="auto"/>
          </w:divBdr>
          <w:divsChild>
            <w:div w:id="185489353">
              <w:marLeft w:val="0"/>
              <w:marRight w:val="0"/>
              <w:marTop w:val="0"/>
              <w:marBottom w:val="0"/>
              <w:divBdr>
                <w:top w:val="none" w:sz="0" w:space="0" w:color="auto"/>
                <w:left w:val="none" w:sz="0" w:space="0" w:color="auto"/>
                <w:bottom w:val="none" w:sz="0" w:space="0" w:color="auto"/>
                <w:right w:val="none" w:sz="0" w:space="0" w:color="auto"/>
              </w:divBdr>
              <w:divsChild>
                <w:div w:id="13245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0139">
      <w:bodyDiv w:val="1"/>
      <w:marLeft w:val="0"/>
      <w:marRight w:val="0"/>
      <w:marTop w:val="0"/>
      <w:marBottom w:val="0"/>
      <w:divBdr>
        <w:top w:val="none" w:sz="0" w:space="0" w:color="auto"/>
        <w:left w:val="none" w:sz="0" w:space="0" w:color="auto"/>
        <w:bottom w:val="none" w:sz="0" w:space="0" w:color="auto"/>
        <w:right w:val="none" w:sz="0" w:space="0" w:color="auto"/>
      </w:divBdr>
      <w:divsChild>
        <w:div w:id="455948425">
          <w:marLeft w:val="0"/>
          <w:marRight w:val="0"/>
          <w:marTop w:val="0"/>
          <w:marBottom w:val="0"/>
          <w:divBdr>
            <w:top w:val="none" w:sz="0" w:space="0" w:color="auto"/>
            <w:left w:val="none" w:sz="0" w:space="0" w:color="auto"/>
            <w:bottom w:val="none" w:sz="0" w:space="0" w:color="auto"/>
            <w:right w:val="none" w:sz="0" w:space="0" w:color="auto"/>
          </w:divBdr>
          <w:divsChild>
            <w:div w:id="379137548">
              <w:marLeft w:val="0"/>
              <w:marRight w:val="0"/>
              <w:marTop w:val="0"/>
              <w:marBottom w:val="0"/>
              <w:divBdr>
                <w:top w:val="none" w:sz="0" w:space="0" w:color="auto"/>
                <w:left w:val="none" w:sz="0" w:space="0" w:color="auto"/>
                <w:bottom w:val="none" w:sz="0" w:space="0" w:color="auto"/>
                <w:right w:val="none" w:sz="0" w:space="0" w:color="auto"/>
              </w:divBdr>
              <w:divsChild>
                <w:div w:id="15543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4472">
      <w:bodyDiv w:val="1"/>
      <w:marLeft w:val="0"/>
      <w:marRight w:val="0"/>
      <w:marTop w:val="0"/>
      <w:marBottom w:val="0"/>
      <w:divBdr>
        <w:top w:val="none" w:sz="0" w:space="0" w:color="auto"/>
        <w:left w:val="none" w:sz="0" w:space="0" w:color="auto"/>
        <w:bottom w:val="none" w:sz="0" w:space="0" w:color="auto"/>
        <w:right w:val="none" w:sz="0" w:space="0" w:color="auto"/>
      </w:divBdr>
      <w:divsChild>
        <w:div w:id="289940796">
          <w:marLeft w:val="0"/>
          <w:marRight w:val="0"/>
          <w:marTop w:val="0"/>
          <w:marBottom w:val="0"/>
          <w:divBdr>
            <w:top w:val="none" w:sz="0" w:space="0" w:color="auto"/>
            <w:left w:val="none" w:sz="0" w:space="0" w:color="auto"/>
            <w:bottom w:val="none" w:sz="0" w:space="0" w:color="auto"/>
            <w:right w:val="none" w:sz="0" w:space="0" w:color="auto"/>
          </w:divBdr>
          <w:divsChild>
            <w:div w:id="137696638">
              <w:marLeft w:val="0"/>
              <w:marRight w:val="0"/>
              <w:marTop w:val="0"/>
              <w:marBottom w:val="0"/>
              <w:divBdr>
                <w:top w:val="none" w:sz="0" w:space="0" w:color="auto"/>
                <w:left w:val="none" w:sz="0" w:space="0" w:color="auto"/>
                <w:bottom w:val="none" w:sz="0" w:space="0" w:color="auto"/>
                <w:right w:val="none" w:sz="0" w:space="0" w:color="auto"/>
              </w:divBdr>
              <w:divsChild>
                <w:div w:id="1635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096">
      <w:bodyDiv w:val="1"/>
      <w:marLeft w:val="0"/>
      <w:marRight w:val="0"/>
      <w:marTop w:val="0"/>
      <w:marBottom w:val="0"/>
      <w:divBdr>
        <w:top w:val="none" w:sz="0" w:space="0" w:color="auto"/>
        <w:left w:val="none" w:sz="0" w:space="0" w:color="auto"/>
        <w:bottom w:val="none" w:sz="0" w:space="0" w:color="auto"/>
        <w:right w:val="none" w:sz="0" w:space="0" w:color="auto"/>
      </w:divBdr>
    </w:div>
    <w:div w:id="1947492907">
      <w:bodyDiv w:val="1"/>
      <w:marLeft w:val="0"/>
      <w:marRight w:val="0"/>
      <w:marTop w:val="0"/>
      <w:marBottom w:val="0"/>
      <w:divBdr>
        <w:top w:val="none" w:sz="0" w:space="0" w:color="auto"/>
        <w:left w:val="none" w:sz="0" w:space="0" w:color="auto"/>
        <w:bottom w:val="none" w:sz="0" w:space="0" w:color="auto"/>
        <w:right w:val="none" w:sz="0" w:space="0" w:color="auto"/>
      </w:divBdr>
      <w:divsChild>
        <w:div w:id="313874511">
          <w:marLeft w:val="0"/>
          <w:marRight w:val="0"/>
          <w:marTop w:val="0"/>
          <w:marBottom w:val="0"/>
          <w:divBdr>
            <w:top w:val="none" w:sz="0" w:space="0" w:color="auto"/>
            <w:left w:val="none" w:sz="0" w:space="0" w:color="auto"/>
            <w:bottom w:val="none" w:sz="0" w:space="0" w:color="auto"/>
            <w:right w:val="none" w:sz="0" w:space="0" w:color="auto"/>
          </w:divBdr>
          <w:divsChild>
            <w:div w:id="2036072538">
              <w:marLeft w:val="0"/>
              <w:marRight w:val="0"/>
              <w:marTop w:val="0"/>
              <w:marBottom w:val="0"/>
              <w:divBdr>
                <w:top w:val="none" w:sz="0" w:space="0" w:color="auto"/>
                <w:left w:val="none" w:sz="0" w:space="0" w:color="auto"/>
                <w:bottom w:val="none" w:sz="0" w:space="0" w:color="auto"/>
                <w:right w:val="none" w:sz="0" w:space="0" w:color="auto"/>
              </w:divBdr>
              <w:divsChild>
                <w:div w:id="9231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59361">
      <w:bodyDiv w:val="1"/>
      <w:marLeft w:val="0"/>
      <w:marRight w:val="0"/>
      <w:marTop w:val="0"/>
      <w:marBottom w:val="0"/>
      <w:divBdr>
        <w:top w:val="none" w:sz="0" w:space="0" w:color="auto"/>
        <w:left w:val="none" w:sz="0" w:space="0" w:color="auto"/>
        <w:bottom w:val="none" w:sz="0" w:space="0" w:color="auto"/>
        <w:right w:val="none" w:sz="0" w:space="0" w:color="auto"/>
      </w:divBdr>
      <w:divsChild>
        <w:div w:id="1160123933">
          <w:marLeft w:val="0"/>
          <w:marRight w:val="0"/>
          <w:marTop w:val="0"/>
          <w:marBottom w:val="0"/>
          <w:divBdr>
            <w:top w:val="none" w:sz="0" w:space="0" w:color="auto"/>
            <w:left w:val="none" w:sz="0" w:space="0" w:color="auto"/>
            <w:bottom w:val="none" w:sz="0" w:space="0" w:color="auto"/>
            <w:right w:val="none" w:sz="0" w:space="0" w:color="auto"/>
          </w:divBdr>
          <w:divsChild>
            <w:div w:id="404030146">
              <w:marLeft w:val="0"/>
              <w:marRight w:val="0"/>
              <w:marTop w:val="0"/>
              <w:marBottom w:val="0"/>
              <w:divBdr>
                <w:top w:val="none" w:sz="0" w:space="0" w:color="auto"/>
                <w:left w:val="none" w:sz="0" w:space="0" w:color="auto"/>
                <w:bottom w:val="none" w:sz="0" w:space="0" w:color="auto"/>
                <w:right w:val="none" w:sz="0" w:space="0" w:color="auto"/>
              </w:divBdr>
              <w:divsChild>
                <w:div w:id="1450973420">
                  <w:marLeft w:val="0"/>
                  <w:marRight w:val="0"/>
                  <w:marTop w:val="0"/>
                  <w:marBottom w:val="0"/>
                  <w:divBdr>
                    <w:top w:val="none" w:sz="0" w:space="0" w:color="auto"/>
                    <w:left w:val="none" w:sz="0" w:space="0" w:color="auto"/>
                    <w:bottom w:val="none" w:sz="0" w:space="0" w:color="auto"/>
                    <w:right w:val="none" w:sz="0" w:space="0" w:color="auto"/>
                  </w:divBdr>
                  <w:divsChild>
                    <w:div w:id="20733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20545">
      <w:bodyDiv w:val="1"/>
      <w:marLeft w:val="0"/>
      <w:marRight w:val="0"/>
      <w:marTop w:val="0"/>
      <w:marBottom w:val="0"/>
      <w:divBdr>
        <w:top w:val="none" w:sz="0" w:space="0" w:color="auto"/>
        <w:left w:val="none" w:sz="0" w:space="0" w:color="auto"/>
        <w:bottom w:val="none" w:sz="0" w:space="0" w:color="auto"/>
        <w:right w:val="none" w:sz="0" w:space="0" w:color="auto"/>
      </w:divBdr>
      <w:divsChild>
        <w:div w:id="1958026502">
          <w:marLeft w:val="0"/>
          <w:marRight w:val="0"/>
          <w:marTop w:val="0"/>
          <w:marBottom w:val="0"/>
          <w:divBdr>
            <w:top w:val="none" w:sz="0" w:space="0" w:color="auto"/>
            <w:left w:val="none" w:sz="0" w:space="0" w:color="auto"/>
            <w:bottom w:val="none" w:sz="0" w:space="0" w:color="auto"/>
            <w:right w:val="none" w:sz="0" w:space="0" w:color="auto"/>
          </w:divBdr>
          <w:divsChild>
            <w:div w:id="211238996">
              <w:marLeft w:val="0"/>
              <w:marRight w:val="0"/>
              <w:marTop w:val="0"/>
              <w:marBottom w:val="0"/>
              <w:divBdr>
                <w:top w:val="none" w:sz="0" w:space="0" w:color="auto"/>
                <w:left w:val="none" w:sz="0" w:space="0" w:color="auto"/>
                <w:bottom w:val="none" w:sz="0" w:space="0" w:color="auto"/>
                <w:right w:val="none" w:sz="0" w:space="0" w:color="auto"/>
              </w:divBdr>
              <w:divsChild>
                <w:div w:id="184408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0956">
      <w:bodyDiv w:val="1"/>
      <w:marLeft w:val="0"/>
      <w:marRight w:val="0"/>
      <w:marTop w:val="0"/>
      <w:marBottom w:val="0"/>
      <w:divBdr>
        <w:top w:val="none" w:sz="0" w:space="0" w:color="auto"/>
        <w:left w:val="none" w:sz="0" w:space="0" w:color="auto"/>
        <w:bottom w:val="none" w:sz="0" w:space="0" w:color="auto"/>
        <w:right w:val="none" w:sz="0" w:space="0" w:color="auto"/>
      </w:divBdr>
      <w:divsChild>
        <w:div w:id="1302802955">
          <w:marLeft w:val="0"/>
          <w:marRight w:val="0"/>
          <w:marTop w:val="0"/>
          <w:marBottom w:val="0"/>
          <w:divBdr>
            <w:top w:val="none" w:sz="0" w:space="0" w:color="auto"/>
            <w:left w:val="none" w:sz="0" w:space="0" w:color="auto"/>
            <w:bottom w:val="none" w:sz="0" w:space="0" w:color="auto"/>
            <w:right w:val="none" w:sz="0" w:space="0" w:color="auto"/>
          </w:divBdr>
          <w:divsChild>
            <w:div w:id="470177536">
              <w:marLeft w:val="0"/>
              <w:marRight w:val="0"/>
              <w:marTop w:val="0"/>
              <w:marBottom w:val="0"/>
              <w:divBdr>
                <w:top w:val="none" w:sz="0" w:space="0" w:color="auto"/>
                <w:left w:val="none" w:sz="0" w:space="0" w:color="auto"/>
                <w:bottom w:val="none" w:sz="0" w:space="0" w:color="auto"/>
                <w:right w:val="none" w:sz="0" w:space="0" w:color="auto"/>
              </w:divBdr>
              <w:divsChild>
                <w:div w:id="18531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30412">
      <w:bodyDiv w:val="1"/>
      <w:marLeft w:val="0"/>
      <w:marRight w:val="0"/>
      <w:marTop w:val="0"/>
      <w:marBottom w:val="0"/>
      <w:divBdr>
        <w:top w:val="none" w:sz="0" w:space="0" w:color="auto"/>
        <w:left w:val="none" w:sz="0" w:space="0" w:color="auto"/>
        <w:bottom w:val="none" w:sz="0" w:space="0" w:color="auto"/>
        <w:right w:val="none" w:sz="0" w:space="0" w:color="auto"/>
      </w:divBdr>
      <w:divsChild>
        <w:div w:id="1683437708">
          <w:marLeft w:val="0"/>
          <w:marRight w:val="0"/>
          <w:marTop w:val="0"/>
          <w:marBottom w:val="0"/>
          <w:divBdr>
            <w:top w:val="none" w:sz="0" w:space="0" w:color="auto"/>
            <w:left w:val="none" w:sz="0" w:space="0" w:color="auto"/>
            <w:bottom w:val="none" w:sz="0" w:space="0" w:color="auto"/>
            <w:right w:val="none" w:sz="0" w:space="0" w:color="auto"/>
          </w:divBdr>
          <w:divsChild>
            <w:div w:id="1816530664">
              <w:marLeft w:val="0"/>
              <w:marRight w:val="0"/>
              <w:marTop w:val="0"/>
              <w:marBottom w:val="0"/>
              <w:divBdr>
                <w:top w:val="none" w:sz="0" w:space="0" w:color="auto"/>
                <w:left w:val="none" w:sz="0" w:space="0" w:color="auto"/>
                <w:bottom w:val="none" w:sz="0" w:space="0" w:color="auto"/>
                <w:right w:val="none" w:sz="0" w:space="0" w:color="auto"/>
              </w:divBdr>
              <w:divsChild>
                <w:div w:id="10020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221">
      <w:bodyDiv w:val="1"/>
      <w:marLeft w:val="0"/>
      <w:marRight w:val="0"/>
      <w:marTop w:val="0"/>
      <w:marBottom w:val="0"/>
      <w:divBdr>
        <w:top w:val="none" w:sz="0" w:space="0" w:color="auto"/>
        <w:left w:val="none" w:sz="0" w:space="0" w:color="auto"/>
        <w:bottom w:val="none" w:sz="0" w:space="0" w:color="auto"/>
        <w:right w:val="none" w:sz="0" w:space="0" w:color="auto"/>
      </w:divBdr>
      <w:divsChild>
        <w:div w:id="1395540416">
          <w:marLeft w:val="0"/>
          <w:marRight w:val="0"/>
          <w:marTop w:val="0"/>
          <w:marBottom w:val="0"/>
          <w:divBdr>
            <w:top w:val="none" w:sz="0" w:space="0" w:color="auto"/>
            <w:left w:val="none" w:sz="0" w:space="0" w:color="auto"/>
            <w:bottom w:val="none" w:sz="0" w:space="0" w:color="auto"/>
            <w:right w:val="none" w:sz="0" w:space="0" w:color="auto"/>
          </w:divBdr>
          <w:divsChild>
            <w:div w:id="836111987">
              <w:marLeft w:val="0"/>
              <w:marRight w:val="0"/>
              <w:marTop w:val="0"/>
              <w:marBottom w:val="0"/>
              <w:divBdr>
                <w:top w:val="none" w:sz="0" w:space="0" w:color="auto"/>
                <w:left w:val="none" w:sz="0" w:space="0" w:color="auto"/>
                <w:bottom w:val="none" w:sz="0" w:space="0" w:color="auto"/>
                <w:right w:val="none" w:sz="0" w:space="0" w:color="auto"/>
              </w:divBdr>
              <w:divsChild>
                <w:div w:id="1292205373">
                  <w:marLeft w:val="0"/>
                  <w:marRight w:val="0"/>
                  <w:marTop w:val="0"/>
                  <w:marBottom w:val="0"/>
                  <w:divBdr>
                    <w:top w:val="none" w:sz="0" w:space="0" w:color="auto"/>
                    <w:left w:val="none" w:sz="0" w:space="0" w:color="auto"/>
                    <w:bottom w:val="none" w:sz="0" w:space="0" w:color="auto"/>
                    <w:right w:val="none" w:sz="0" w:space="0" w:color="auto"/>
                  </w:divBdr>
                  <w:divsChild>
                    <w:div w:id="19767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10875">
      <w:bodyDiv w:val="1"/>
      <w:marLeft w:val="0"/>
      <w:marRight w:val="0"/>
      <w:marTop w:val="0"/>
      <w:marBottom w:val="0"/>
      <w:divBdr>
        <w:top w:val="none" w:sz="0" w:space="0" w:color="auto"/>
        <w:left w:val="none" w:sz="0" w:space="0" w:color="auto"/>
        <w:bottom w:val="none" w:sz="0" w:space="0" w:color="auto"/>
        <w:right w:val="none" w:sz="0" w:space="0" w:color="auto"/>
      </w:divBdr>
      <w:divsChild>
        <w:div w:id="1748653705">
          <w:marLeft w:val="0"/>
          <w:marRight w:val="0"/>
          <w:marTop w:val="0"/>
          <w:marBottom w:val="0"/>
          <w:divBdr>
            <w:top w:val="none" w:sz="0" w:space="0" w:color="auto"/>
            <w:left w:val="none" w:sz="0" w:space="0" w:color="auto"/>
            <w:bottom w:val="none" w:sz="0" w:space="0" w:color="auto"/>
            <w:right w:val="none" w:sz="0" w:space="0" w:color="auto"/>
          </w:divBdr>
          <w:divsChild>
            <w:div w:id="618950139">
              <w:marLeft w:val="0"/>
              <w:marRight w:val="0"/>
              <w:marTop w:val="0"/>
              <w:marBottom w:val="0"/>
              <w:divBdr>
                <w:top w:val="none" w:sz="0" w:space="0" w:color="auto"/>
                <w:left w:val="none" w:sz="0" w:space="0" w:color="auto"/>
                <w:bottom w:val="none" w:sz="0" w:space="0" w:color="auto"/>
                <w:right w:val="none" w:sz="0" w:space="0" w:color="auto"/>
              </w:divBdr>
              <w:divsChild>
                <w:div w:id="1897550077">
                  <w:marLeft w:val="0"/>
                  <w:marRight w:val="0"/>
                  <w:marTop w:val="0"/>
                  <w:marBottom w:val="0"/>
                  <w:divBdr>
                    <w:top w:val="none" w:sz="0" w:space="0" w:color="auto"/>
                    <w:left w:val="none" w:sz="0" w:space="0" w:color="auto"/>
                    <w:bottom w:val="none" w:sz="0" w:space="0" w:color="auto"/>
                    <w:right w:val="none" w:sz="0" w:space="0" w:color="auto"/>
                  </w:divBdr>
                  <w:divsChild>
                    <w:div w:id="19834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8709">
      <w:bodyDiv w:val="1"/>
      <w:marLeft w:val="0"/>
      <w:marRight w:val="0"/>
      <w:marTop w:val="0"/>
      <w:marBottom w:val="0"/>
      <w:divBdr>
        <w:top w:val="none" w:sz="0" w:space="0" w:color="auto"/>
        <w:left w:val="none" w:sz="0" w:space="0" w:color="auto"/>
        <w:bottom w:val="none" w:sz="0" w:space="0" w:color="auto"/>
        <w:right w:val="none" w:sz="0" w:space="0" w:color="auto"/>
      </w:divBdr>
    </w:div>
    <w:div w:id="2090492287">
      <w:bodyDiv w:val="1"/>
      <w:marLeft w:val="0"/>
      <w:marRight w:val="0"/>
      <w:marTop w:val="0"/>
      <w:marBottom w:val="0"/>
      <w:divBdr>
        <w:top w:val="none" w:sz="0" w:space="0" w:color="auto"/>
        <w:left w:val="none" w:sz="0" w:space="0" w:color="auto"/>
        <w:bottom w:val="none" w:sz="0" w:space="0" w:color="auto"/>
        <w:right w:val="none" w:sz="0" w:space="0" w:color="auto"/>
      </w:divBdr>
      <w:divsChild>
        <w:div w:id="1997566150">
          <w:marLeft w:val="0"/>
          <w:marRight w:val="0"/>
          <w:marTop w:val="0"/>
          <w:marBottom w:val="0"/>
          <w:divBdr>
            <w:top w:val="none" w:sz="0" w:space="0" w:color="auto"/>
            <w:left w:val="none" w:sz="0" w:space="0" w:color="auto"/>
            <w:bottom w:val="none" w:sz="0" w:space="0" w:color="auto"/>
            <w:right w:val="none" w:sz="0" w:space="0" w:color="auto"/>
          </w:divBdr>
          <w:divsChild>
            <w:div w:id="654991693">
              <w:marLeft w:val="0"/>
              <w:marRight w:val="0"/>
              <w:marTop w:val="0"/>
              <w:marBottom w:val="0"/>
              <w:divBdr>
                <w:top w:val="none" w:sz="0" w:space="0" w:color="auto"/>
                <w:left w:val="none" w:sz="0" w:space="0" w:color="auto"/>
                <w:bottom w:val="none" w:sz="0" w:space="0" w:color="auto"/>
                <w:right w:val="none" w:sz="0" w:space="0" w:color="auto"/>
              </w:divBdr>
              <w:divsChild>
                <w:div w:id="1030303708">
                  <w:marLeft w:val="0"/>
                  <w:marRight w:val="0"/>
                  <w:marTop w:val="0"/>
                  <w:marBottom w:val="0"/>
                  <w:divBdr>
                    <w:top w:val="none" w:sz="0" w:space="0" w:color="auto"/>
                    <w:left w:val="none" w:sz="0" w:space="0" w:color="auto"/>
                    <w:bottom w:val="none" w:sz="0" w:space="0" w:color="auto"/>
                    <w:right w:val="none" w:sz="0" w:space="0" w:color="auto"/>
                  </w:divBdr>
                  <w:divsChild>
                    <w:div w:id="8679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481">
      <w:bodyDiv w:val="1"/>
      <w:marLeft w:val="0"/>
      <w:marRight w:val="0"/>
      <w:marTop w:val="0"/>
      <w:marBottom w:val="0"/>
      <w:divBdr>
        <w:top w:val="none" w:sz="0" w:space="0" w:color="auto"/>
        <w:left w:val="none" w:sz="0" w:space="0" w:color="auto"/>
        <w:bottom w:val="none" w:sz="0" w:space="0" w:color="auto"/>
        <w:right w:val="none" w:sz="0" w:space="0" w:color="auto"/>
      </w:divBdr>
    </w:div>
    <w:div w:id="2111660931">
      <w:bodyDiv w:val="1"/>
      <w:marLeft w:val="0"/>
      <w:marRight w:val="0"/>
      <w:marTop w:val="0"/>
      <w:marBottom w:val="0"/>
      <w:divBdr>
        <w:top w:val="none" w:sz="0" w:space="0" w:color="auto"/>
        <w:left w:val="none" w:sz="0" w:space="0" w:color="auto"/>
        <w:bottom w:val="none" w:sz="0" w:space="0" w:color="auto"/>
        <w:right w:val="none" w:sz="0" w:space="0" w:color="auto"/>
      </w:divBdr>
      <w:divsChild>
        <w:div w:id="2114209036">
          <w:marLeft w:val="0"/>
          <w:marRight w:val="0"/>
          <w:marTop w:val="0"/>
          <w:marBottom w:val="0"/>
          <w:divBdr>
            <w:top w:val="none" w:sz="0" w:space="0" w:color="auto"/>
            <w:left w:val="none" w:sz="0" w:space="0" w:color="auto"/>
            <w:bottom w:val="none" w:sz="0" w:space="0" w:color="auto"/>
            <w:right w:val="none" w:sz="0" w:space="0" w:color="auto"/>
          </w:divBdr>
          <w:divsChild>
            <w:div w:id="1431584472">
              <w:marLeft w:val="0"/>
              <w:marRight w:val="0"/>
              <w:marTop w:val="0"/>
              <w:marBottom w:val="0"/>
              <w:divBdr>
                <w:top w:val="none" w:sz="0" w:space="0" w:color="auto"/>
                <w:left w:val="none" w:sz="0" w:space="0" w:color="auto"/>
                <w:bottom w:val="none" w:sz="0" w:space="0" w:color="auto"/>
                <w:right w:val="none" w:sz="0" w:space="0" w:color="auto"/>
              </w:divBdr>
              <w:divsChild>
                <w:div w:id="8716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1835">
      <w:bodyDiv w:val="1"/>
      <w:marLeft w:val="0"/>
      <w:marRight w:val="0"/>
      <w:marTop w:val="0"/>
      <w:marBottom w:val="0"/>
      <w:divBdr>
        <w:top w:val="none" w:sz="0" w:space="0" w:color="auto"/>
        <w:left w:val="none" w:sz="0" w:space="0" w:color="auto"/>
        <w:bottom w:val="none" w:sz="0" w:space="0" w:color="auto"/>
        <w:right w:val="none" w:sz="0" w:space="0" w:color="auto"/>
      </w:divBdr>
      <w:divsChild>
        <w:div w:id="392312222">
          <w:marLeft w:val="0"/>
          <w:marRight w:val="0"/>
          <w:marTop w:val="0"/>
          <w:marBottom w:val="0"/>
          <w:divBdr>
            <w:top w:val="none" w:sz="0" w:space="0" w:color="auto"/>
            <w:left w:val="none" w:sz="0" w:space="0" w:color="auto"/>
            <w:bottom w:val="none" w:sz="0" w:space="0" w:color="auto"/>
            <w:right w:val="none" w:sz="0" w:space="0" w:color="auto"/>
          </w:divBdr>
          <w:divsChild>
            <w:div w:id="1401051880">
              <w:marLeft w:val="0"/>
              <w:marRight w:val="0"/>
              <w:marTop w:val="0"/>
              <w:marBottom w:val="0"/>
              <w:divBdr>
                <w:top w:val="none" w:sz="0" w:space="0" w:color="auto"/>
                <w:left w:val="none" w:sz="0" w:space="0" w:color="auto"/>
                <w:bottom w:val="none" w:sz="0" w:space="0" w:color="auto"/>
                <w:right w:val="none" w:sz="0" w:space="0" w:color="auto"/>
              </w:divBdr>
              <w:divsChild>
                <w:div w:id="10662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4958">
      <w:bodyDiv w:val="1"/>
      <w:marLeft w:val="0"/>
      <w:marRight w:val="0"/>
      <w:marTop w:val="0"/>
      <w:marBottom w:val="0"/>
      <w:divBdr>
        <w:top w:val="none" w:sz="0" w:space="0" w:color="auto"/>
        <w:left w:val="none" w:sz="0" w:space="0" w:color="auto"/>
        <w:bottom w:val="none" w:sz="0" w:space="0" w:color="auto"/>
        <w:right w:val="none" w:sz="0" w:space="0" w:color="auto"/>
      </w:divBdr>
      <w:divsChild>
        <w:div w:id="1765371658">
          <w:marLeft w:val="0"/>
          <w:marRight w:val="0"/>
          <w:marTop w:val="0"/>
          <w:marBottom w:val="0"/>
          <w:divBdr>
            <w:top w:val="none" w:sz="0" w:space="0" w:color="auto"/>
            <w:left w:val="none" w:sz="0" w:space="0" w:color="auto"/>
            <w:bottom w:val="none" w:sz="0" w:space="0" w:color="auto"/>
            <w:right w:val="none" w:sz="0" w:space="0" w:color="auto"/>
          </w:divBdr>
          <w:divsChild>
            <w:div w:id="1535777226">
              <w:marLeft w:val="0"/>
              <w:marRight w:val="0"/>
              <w:marTop w:val="0"/>
              <w:marBottom w:val="0"/>
              <w:divBdr>
                <w:top w:val="none" w:sz="0" w:space="0" w:color="auto"/>
                <w:left w:val="none" w:sz="0" w:space="0" w:color="auto"/>
                <w:bottom w:val="none" w:sz="0" w:space="0" w:color="auto"/>
                <w:right w:val="none" w:sz="0" w:space="0" w:color="auto"/>
              </w:divBdr>
              <w:divsChild>
                <w:div w:id="897596953">
                  <w:marLeft w:val="0"/>
                  <w:marRight w:val="0"/>
                  <w:marTop w:val="0"/>
                  <w:marBottom w:val="0"/>
                  <w:divBdr>
                    <w:top w:val="none" w:sz="0" w:space="0" w:color="auto"/>
                    <w:left w:val="none" w:sz="0" w:space="0" w:color="auto"/>
                    <w:bottom w:val="none" w:sz="0" w:space="0" w:color="auto"/>
                    <w:right w:val="none" w:sz="0" w:space="0" w:color="auto"/>
                  </w:divBdr>
                  <w:divsChild>
                    <w:div w:id="2943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oter" Target="footer6.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eur-lex.europa.eu/LexUriServ/LexUriServ.do?uri=COM:2011:0025:FIN:en:PDF"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footer" Target="footer5.xml"/><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22B5-2D3E-B84D-844E-4BD9A4EF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5871</TotalTime>
  <Pages>131</Pages>
  <Words>97125</Words>
  <Characters>553615</Characters>
  <Application>Microsoft Office Word</Application>
  <DocSecurity>0</DocSecurity>
  <Lines>4613</Lines>
  <Paragraphs>1298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Tabosa da Silva, A.L. (Ana Lyvia)</dc:creator>
  <cp:keywords/>
  <dc:description/>
  <cp:lastModifiedBy>Tabosa da Silva, A.L. (Ana Lyvia)</cp:lastModifiedBy>
  <cp:revision>3772</cp:revision>
  <dcterms:created xsi:type="dcterms:W3CDTF">2021-05-28T10:51:00Z</dcterms:created>
  <dcterms:modified xsi:type="dcterms:W3CDTF">2021-07-13T11:58:00Z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24719547-fdcb-34ff-9556-71c5152a8347</vt:lpwstr>
  </property>
  <property fmtid="{D5CDD505-2E9C-101B-9397-08002B2CF9AE}" pid="24" name="Mendeley Citation Style_1">
    <vt:lpwstr>http://www.zotero.org/styles/apa</vt:lpwstr>
  </property>
</Properties>
</file>